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流体仿真标准过程与结果报告</w:t>
      </w:r>
    </w:p>
    <w:p>
      <w:r>
        <w:t>本报告依据《标准过程定义1-WB-20250103结果对比》组织内容，自动记录本次计算的真实参数、网格、数值执行及产物。标准内容覆盖与标准工况验收是不同结论；缺失数据明确标为未完成。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5040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项目</w:t>
            </w:r>
          </w:p>
        </w:tc>
        <w:tc>
          <w:tcPr>
            <w:tcW w:type="dxa" w:w="5040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本次记录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任务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deliverables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版本或运行号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standard_report_preview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输入标识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报告结构预览，尚未关联运行数据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运行状态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结构预览，非仿真结果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CRM 标准工程验收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未完成，不作为通过证明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计算范围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仅展示自动报告的标准结构；无计算结果。</w:t>
            </w:r>
          </w:p>
        </w:tc>
      </w:tr>
    </w:tbl>
    <w:p>
      <w:pPr>
        <w:pStyle w:val="Heading1"/>
      </w:pPr>
      <w:r>
        <w:t>一 几何造型与处理</w:t>
      </w:r>
    </w:p>
    <w:p>
      <w:r>
        <w:t>标准指定 DPW4_wb_no_tail_v03.igs；本次输入是否同一外形须按文件及哈希核对。简化翼身或球体不能替代 CRM 标模。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5040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字段</w:t>
            </w:r>
          </w:p>
        </w:tc>
        <w:tc>
          <w:tcPr>
            <w:tcW w:type="dxa" w:w="5040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记录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工作几何单位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未提取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输入 SHA256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未提取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Topo 后实体统计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{}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Topo 与检查结果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未提取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人工处理与部件分组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Topo/Paste/Orient 操作细节、wing/body 分组与外形审核记录未完整采集</w:t>
            </w:r>
          </w:p>
        </w:tc>
      </w:tr>
    </w:tbl>
    <w:p>
      <w:r>
        <w:br w:type="page"/>
      </w:r>
    </w:p>
    <w:p>
      <w:pPr>
        <w:pStyle w:val="Heading1"/>
      </w:pPr>
      <w:r>
        <w:t>二 网格定义生成与质量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3360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项目</w:t>
            </w:r>
          </w:p>
        </w:tc>
        <w:tc>
          <w:tcPr>
            <w:tcW w:type="dxa" w:w="3360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本次实测或配置</w:t>
            </w:r>
          </w:p>
        </w:tc>
        <w:tc>
          <w:tcPr>
            <w:tcW w:type="dxa" w:w="3360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标准要求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表面目标尺寸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未提取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局部线长、点数和分布需记录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表面三角形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未提取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表面无非预期开放边及相交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体单元数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未提取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参考算例约 372 万，不作为固定合格阈值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首层高度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未实测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0.01 mm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增长率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未实测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原文 &lt;1.2 与 1.2 并存，待确认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远场尺寸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未计算半展长比例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&gt;100 半展长，原文绝对长度换算待澄清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翼根翼尖及前后缘加密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未验证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&lt;0.1% 半展长或当地弦长；后缘数量原文 &gt;&gt;8 待澄清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层数与空间过渡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未实测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1 至 100 层，过渡速率 0.8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体积与体积比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见原始网格日志，尚未完整提取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无负体积；体积比一般不超过 1000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对称面归零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未验证或当前为全模型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半模型 y=0；边界分组明确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单位转换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{}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明确 mm/m，避免重复缩放</w:t>
            </w:r>
          </w:p>
        </w:tc>
      </w:tr>
    </w:tbl>
    <w:p>
      <w:r>
        <w:br w:type="page"/>
      </w:r>
    </w:p>
    <w:p>
      <w:pPr>
        <w:pStyle w:val="Heading1"/>
      </w:pPr>
      <w:r>
        <w:t>三 前处理与计算工况</w:t>
      </w:r>
    </w:p>
    <w:p>
      <w:r>
        <w:t>标准参考工况：M=0.85，Re=5×10⁶，侧滑角 0°，设计 CL=0.5，总温 311 K，总压 201194 Pa，静温 271.73 K，静压 125446.22 Pa；攻角范围的原文表格和正文存在差异，需确认。下表为实际输入，不是标准值的自动替代。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5040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实际参数</w:t>
            </w:r>
          </w:p>
        </w:tc>
        <w:tc>
          <w:tcPr>
            <w:tcW w:type="dxa" w:w="5040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数值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工况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未配置</w:t>
            </w:r>
          </w:p>
        </w:tc>
      </w:tr>
    </w:tbl>
    <w:p>
      <w:r>
        <w:t>尚需明确马赫数、雷诺数、迎角、参考面积、参考弦长、力矩参考点、湍流闭合与壁面处理，以及入口速度、出口压力和表达式定义。当前 OpenFOAM 字典替代 CFX 的 CCL/DEF；未生成的 CFX 文件不宣称已提供。</w:t>
      </w:r>
    </w:p>
    <w:p>
      <w:pPr>
        <w:pStyle w:val="Heading1"/>
      </w:pPr>
      <w:r>
        <w:t>四 求解监控与收敛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5040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字段</w:t>
            </w:r>
          </w:p>
        </w:tc>
        <w:tc>
          <w:tcPr>
            <w:tcW w:type="dxa" w:w="5040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记录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求解进程结束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否或未提取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实际最大 Courant 数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未提取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终止模拟时间 s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未提取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步数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未提取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时间步与配置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{}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数值字典追溯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{}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CL25 与 CL50 收敛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未完成，缺少真实 CL/CD/Cm 迭代序列</w:t>
            </w:r>
          </w:p>
        </w:tc>
      </w:tr>
    </w:tbl>
    <w:p>
      <w:r>
        <w:t>标准要求 |CL25−CL50|&lt;0.0001；还涉及 CD 滑动平均判据，最终采用口径须确认。完成指定时间段、低 Courant 数或程序正常退出均不能代替气动力收敛。当前重试从时间零重新计算，不等于暂停后从已有流场续算。</w:t>
      </w:r>
    </w:p>
    <w:p>
      <w:r>
        <w:br w:type="page"/>
      </w:r>
    </w:p>
    <w:p>
      <w:pPr>
        <w:pStyle w:val="Heading1"/>
      </w:pPr>
      <w:r>
        <w:t>五 后处理结果</w:t>
      </w:r>
    </w:p>
    <w:p>
      <w:r>
        <w:t>压力云图。若来自不可压求解器，原始 p 通常为运动学压力，单位及参考压力需核对。：未生成。</w:t>
      </w:r>
    </w:p>
    <w:p>
      <w:r>
        <w:t>速度分布。当前切片位置见 ParaView 状态及提取记录。：未生成。</w:t>
      </w:r>
    </w:p>
    <w:p>
      <w:pPr>
        <w:pStyle w:val="Heading1"/>
      </w:pPr>
      <w:r>
        <w:t>六 残差与实验对比</w:t>
      </w:r>
    </w:p>
    <w:p>
      <w:r>
        <w:t>残差历史。图像存在不代表残差与气动力均已收敛。：未生成。</w:t>
      </w:r>
    </w:p>
    <w:p>
      <w:r>
        <w:t>表面与空间流线：未完成。翼剖面站位、剖面 Cp 曲线及反向纵轴：未完成。Cp 计算须明确静压参考、密度与速度，不能将不可压运动学压力直接当作 Pa。</w:t>
      </w:r>
    </w:p>
    <w:p>
      <w:r>
        <w:t>DPW 升力、阻力、力矩曲线对比：未完成。设计 CL=0.5 时剖面压力分布对比：未完成。需要相同几何、工况、站位及试验来源，不能将演示模型与 CRM 试验直接作精度验收。Tecplot/Excel 对比数据及误差统计尚未接入自动报告。</w:t>
      </w:r>
    </w:p>
    <w:p>
      <w:pPr>
        <w:pStyle w:val="Heading1"/>
      </w:pPr>
      <w:r>
        <w:t>七 定量考核与过程追溯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5040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字段</w:t>
            </w:r>
          </w:p>
        </w:tc>
        <w:tc>
          <w:tcPr>
            <w:tcW w:type="dxa" w:w="5040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记录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表面脚本耗时 s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未提取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求解日志末次墙钟耗时 s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未提取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操作人员熟练度与人工耗时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待填写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CPU GPU 内存与并行核数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待采集，原标准硬件数据不作为本机数据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导入导出耗时与并行效率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待采集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核时与费用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未计算，需实际资源与计费依据</w:t>
            </w:r>
          </w:p>
        </w:tc>
      </w:tr>
    </w:tbl>
    <w:p>
      <w:r>
        <w:t>原始证据：输入文件、geometry_report.json、surface/report.json、Pointwise 原生工程、checkMesh 日志、solver.log、checkpoint.json、ParaView 状态和结果字段。失败和重试保留各自版本，报告不替代原始记录。</w:t>
      </w:r>
    </w:p>
    <w:p>
      <w:pPr>
        <w:pStyle w:val="Heading1"/>
      </w:pPr>
      <w:r>
        <w:t>八 标准要求覆盖与结论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5040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项目</w:t>
            </w:r>
          </w:p>
        </w:tc>
        <w:tc>
          <w:tcPr>
            <w:tcW w:type="dxa" w:w="5040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证据状态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指定 CRM-WB 外形与单位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缺少证据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标准网格参数与实测质量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缺少证据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标准可压缩湍流工况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缺少证据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CL CD Cm 监控与 CL 收敛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缺少证据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DPW 试验与网格敏感性验证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缺少证据</w:t>
            </w:r>
          </w:p>
        </w:tc>
      </w:tr>
    </w:tbl>
    <w:p>
      <w:r>
        <w:t>结论：本报告已按标准过程列示内容，但当前证据不足以认定 CRM-WB 标准工况或工程精度通过。未完成项应补齐后重新出具；审核人、日期与审批结论待填写。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