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8C758F">
        <w:t>1</w:t>
      </w:r>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rsidR="00FE6548">
        <w:t>.</w:t>
      </w:r>
      <w:r w:rsidR="00C05F46">
        <w:t>2</w:t>
      </w:r>
      <w:r>
        <w:t xml:space="preserve">% </w:t>
      </w:r>
      <w:r w:rsidR="00EF2816">
        <w:t>average compression</w:t>
      </w:r>
      <w:r w:rsidR="00F50D94">
        <w:t xml:space="preserve"> </w:t>
      </w:r>
      <w:r w:rsidR="003F21BB">
        <w:t xml:space="preserve">for 512-byte blocks </w:t>
      </w:r>
      <w:r w:rsidR="00BB36AD">
        <w:t xml:space="preserve">at </w:t>
      </w:r>
      <w:r w:rsidR="00FE6548">
        <w:t>2</w:t>
      </w:r>
      <w:r w:rsidR="00380196">
        <w:t>8</w:t>
      </w:r>
      <w:r w:rsidR="004758A3">
        <w:t>0</w:t>
      </w:r>
      <w:r w:rsidR="00BB36AD">
        <w:t xml:space="preserve"> Mbytes per second </w:t>
      </w:r>
      <w:r w:rsidR="00F50D94">
        <w:t xml:space="preserve">on the Squash benchmark test data (see </w:t>
      </w:r>
      <w:r w:rsidR="00C05F46">
        <w:fldChar w:fldCharType="begin"/>
      </w:r>
      <w:r w:rsidR="00C05F46">
        <w:instrText xml:space="preserve"> HYPERLINK "https://quixdb.github.io/squash-benchmark/" </w:instrText>
      </w:r>
      <w:r w:rsidR="00C05F46">
        <w:fldChar w:fldCharType="separate"/>
      </w:r>
      <w:r w:rsidR="00F50D94" w:rsidRPr="00812D72">
        <w:rPr>
          <w:rStyle w:val="Hyperlink"/>
        </w:rPr>
        <w:t>https://quixdb.github.io/squash-benchmark/#</w:t>
      </w:r>
      <w:r w:rsidR="00C05F46">
        <w:rPr>
          <w:rStyle w:val="Hyperlink"/>
        </w:rPr>
        <w:fldChar w:fldCharType="end"/>
      </w:r>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r w:rsidR="0000688E">
        <w:t xml:space="preserve"> at 260 Mbytes per second</w:t>
      </w:r>
      <w:r w:rsidR="0097283A">
        <w:t>.</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w:t>
      </w:r>
      <w:r w:rsidR="00AA6CDB">
        <w:t>internet packets</w:t>
      </w:r>
      <w:r w:rsidR="007662E2">
        <w:t xml:space="preserve"> </w:t>
      </w:r>
      <w:r w:rsidR="00812D72">
        <w:t>and</w:t>
      </w:r>
      <w:r w:rsidR="007662E2">
        <w:t xml:space="preserve"> </w:t>
      </w:r>
      <w:r w:rsidR="00AA6CDB">
        <w:t xml:space="preserve">small </w:t>
      </w:r>
      <w:r w:rsidR="007662E2">
        <w:t>programmatic objects</w:t>
      </w:r>
      <w:r w:rsidR="00AA6CDB">
        <w:t>, where a variety of data types are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r w:rsidR="00C05F46">
        <w:fldChar w:fldCharType="begin"/>
      </w:r>
      <w:r w:rsidR="00C05F46">
        <w:instrText xml:space="preserve"> HYPERLINK "http://quicklz.com/" </w:instrText>
      </w:r>
      <w:r w:rsidR="00C05F46">
        <w:fldChar w:fldCharType="separate"/>
      </w:r>
      <w:r w:rsidRPr="006F1CAA">
        <w:rPr>
          <w:rStyle w:val="Hyperlink"/>
        </w:rPr>
        <w:t>quicklz.com</w:t>
      </w:r>
      <w:r w:rsidR="00C05F46">
        <w:rPr>
          <w:rStyle w:val="Hyperlink"/>
        </w:rPr>
        <w:fldChar w:fldCharType="end"/>
      </w:r>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the arithmetic encoding program fpaq0 (</w:t>
      </w:r>
      <w:r w:rsidR="00C05F46">
        <w:fldChar w:fldCharType="begin"/>
      </w:r>
      <w:r w:rsidR="00C05F46">
        <w:instrText xml:space="preserve"> HYPERLINK "http://mattmahoney.net/dc/fpaq0.cpp" </w:instrText>
      </w:r>
      <w:r w:rsidR="00C05F46">
        <w:fldChar w:fldCharType="separate"/>
      </w:r>
      <w:r w:rsidR="003F21BB" w:rsidRPr="005A1A7C">
        <w:rPr>
          <w:rStyle w:val="Hyperlink"/>
        </w:rPr>
        <w:t>http://mattmahoney.net/dc/fpaq0.cpp</w:t>
      </w:r>
      <w:r w:rsidR="00C05F46">
        <w:rPr>
          <w:rStyle w:val="Hyperlink"/>
        </w:rPr>
        <w:fldChar w:fldCharType="end"/>
      </w:r>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r w:rsidR="00C05F46">
        <w:fldChar w:fldCharType="begin"/>
      </w:r>
      <w:r w:rsidR="00C05F46">
        <w:instrText xml:space="preserve"> HYPERLINK "https://github.com/lsleonard/tiny-data-compression" </w:instrText>
      </w:r>
      <w:r w:rsidR="00C05F46">
        <w:fldChar w:fldCharType="separate"/>
      </w:r>
      <w:r w:rsidR="00B761E3" w:rsidRPr="00B761E3">
        <w:rPr>
          <w:rStyle w:val="Hyperlink"/>
        </w:rPr>
        <w:t>https://github.com/lsleonard/tiny-data-compression</w:t>
      </w:r>
      <w:r w:rsidR="00C05F46">
        <w:rPr>
          <w:rStyle w:val="Hyperlink"/>
        </w:rPr>
        <w:fldChar w:fldCharType="end"/>
      </w:r>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lastRenderedPageBreak/>
        <w:t xml:space="preserve">Compression </w:t>
      </w:r>
      <w:r w:rsidR="003F21BB">
        <w:t xml:space="preserve">performance for td512 </w:t>
      </w:r>
      <w:r w:rsidR="00E05A58">
        <w:t>v2</w:t>
      </w:r>
      <w:r w:rsidR="00052AC5">
        <w:t xml:space="preserve">.1.3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2.2</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w:t>
      </w:r>
      <w:proofErr w:type="spellStart"/>
      <w:r w:rsidR="006E6386">
        <w:t>mozilla</w:t>
      </w:r>
      <w:proofErr w:type="spellEnd"/>
      <w:r w:rsidR="006E6386">
        <w:t xml:space="preserve"> and </w:t>
      </w:r>
      <w:proofErr w:type="spellStart"/>
      <w:r w:rsidR="006E6386">
        <w:t>nci</w:t>
      </w:r>
      <w:proofErr w:type="spellEnd"/>
      <w:r w:rsidR="006E6386">
        <w:t xml:space="preserve">, and otherwise has similar or lower compression than td512. </w:t>
      </w:r>
      <w:r w:rsidR="0036651C">
        <w:t xml:space="preserve">Both </w:t>
      </w:r>
      <w:proofErr w:type="spellStart"/>
      <w:proofErr w:type="gramStart"/>
      <w:r w:rsidR="0036651C">
        <w:t>geo</w:t>
      </w:r>
      <w:proofErr w:type="gramEnd"/>
      <w:r w:rsidR="0036651C">
        <w:t>.protodata</w:t>
      </w:r>
      <w:proofErr w:type="spellEnd"/>
      <w:r w:rsidR="0036651C">
        <w:t xml:space="preserve"> and </w:t>
      </w:r>
      <w:proofErr w:type="spellStart"/>
      <w:r w:rsidR="0036651C">
        <w:t>mozilla</w:t>
      </w:r>
      <w:proofErr w:type="spellEnd"/>
      <w:r w:rsidR="0036651C">
        <w:t xml:space="preserve"> have 512-byte blocks with more than 64 unique values, which is the limit that is currently handled by td512 extended string mode. Other f</w:t>
      </w:r>
      <w:r w:rsidR="00AE20E4">
        <w:t xml:space="preserve">iles 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6E6386">
        <w:t>. These files</w:t>
      </w:r>
      <w:r>
        <w:t xml:space="preserve"> contain frequently repeated values in small blocks, </w:t>
      </w:r>
      <w:r w:rsidR="00B1038B">
        <w:t>for example</w:t>
      </w:r>
      <w:r>
        <w:t xml:space="preserve"> 16 or more 0s in a 64-byte block</w:t>
      </w:r>
      <w:r w:rsidR="00273AAD">
        <w:t xml:space="preserve">, </w:t>
      </w:r>
      <w:r w:rsidR="006E6386">
        <w:t xml:space="preserve">and are compressed </w:t>
      </w:r>
      <w:r w:rsidR="00DA3223">
        <w:t xml:space="preserve">using </w:t>
      </w:r>
      <w:r w:rsidR="00273AAD">
        <w:t>a td64 compression mode called single value</w:t>
      </w:r>
      <w:r>
        <w:t>.</w:t>
      </w:r>
      <w:r w:rsidR="00423A61">
        <w:t xml:space="preserve"> </w:t>
      </w:r>
      <w:r w:rsidR="0036651C">
        <w:t>Blocks from</w:t>
      </w:r>
      <w:r w:rsidR="00423A61">
        <w:t xml:space="preserve"> 64</w:t>
      </w:r>
      <w:r w:rsidR="0036651C">
        <w:t xml:space="preserve"> to</w:t>
      </w:r>
      <w:r w:rsidR="00423A61">
        <w:t xml:space="preserve"> 512</w:t>
      </w:r>
      <w:r w:rsidR="0036651C">
        <w:t xml:space="preserve"> </w:t>
      </w:r>
      <w:r w:rsidR="00423A61">
        <w:t>bytes</w:t>
      </w:r>
      <w:r w:rsidR="004E2256">
        <w:t xml:space="preserve"> </w:t>
      </w:r>
      <w:r w:rsidR="00F553A9">
        <w:t xml:space="preserve">that </w:t>
      </w:r>
      <w:r w:rsidR="0036651C">
        <w:t>use</w:t>
      </w:r>
      <w:r w:rsidR="00F553A9">
        <w:t xml:space="preserve"> either the text or single value modes get similar compression results.</w:t>
      </w:r>
    </w:p>
    <w:p w:rsidR="008E1443" w:rsidRDefault="008E1443"/>
    <w:p w:rsidR="004B61B2" w:rsidRDefault="004B61B2">
      <w:r>
        <w:t xml:space="preserve">On average, td512 compresses about </w:t>
      </w:r>
      <w:r w:rsidR="00380196">
        <w:t>4</w:t>
      </w:r>
      <w:r>
        <w:t>% slower and decompresses about 2</w:t>
      </w:r>
      <w:r w:rsidR="00EA737C">
        <w:t>8</w:t>
      </w:r>
      <w:r>
        <w:t xml:space="preserve">% slower than QuickLZ. But with </w:t>
      </w:r>
      <w:r w:rsidR="0036651C">
        <w:t>4</w:t>
      </w:r>
      <w:r w:rsidR="00EA737C">
        <w:t>6</w:t>
      </w:r>
      <w:r>
        <w:t xml:space="preserve">% better average compression, this is a good tradeoff for </w:t>
      </w:r>
      <w:r w:rsidR="0036651C">
        <w:t>td512</w:t>
      </w:r>
      <w:r>
        <w:t>.</w:t>
      </w:r>
    </w:p>
    <w:p w:rsidR="004B61B2" w:rsidRDefault="004B61B2"/>
    <w:p w:rsidR="0046773D" w:rsidRDefault="0046773D" w:rsidP="0046773D">
      <w:pPr>
        <w:pStyle w:val="Caption"/>
      </w:pPr>
      <w:bookmarkStart w:id="0" w:name="_Ref87029073"/>
      <w:r>
        <w:t xml:space="preserve">Table </w:t>
      </w:r>
      <w:fldSimple w:instr=" SEQ Table \* ARABIC ">
        <w:r w:rsidR="00E34798">
          <w:rPr>
            <w:noProof/>
          </w:rPr>
          <w:t>1</w:t>
        </w:r>
      </w:fldSimple>
      <w:bookmarkEnd w:id="0"/>
      <w:r>
        <w:t xml:space="preserve">. Compression </w:t>
      </w:r>
      <w:r w:rsidR="00423A61">
        <w:t xml:space="preserve">Performance </w:t>
      </w:r>
      <w:r w:rsidR="00115971">
        <w:t>Data</w:t>
      </w:r>
      <w:r>
        <w:t>: td512</w:t>
      </w:r>
      <w:r w:rsidR="00981AD4">
        <w:t xml:space="preserve"> </w:t>
      </w:r>
      <w:r w:rsidR="00052AC5">
        <w:t>v</w:t>
      </w:r>
      <w:r w:rsidR="00923788">
        <w:t>2.1.</w:t>
      </w:r>
      <w:r w:rsidR="00EA737C">
        <w:t>4</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188"/>
        <w:gridCol w:w="1188"/>
        <w:gridCol w:w="1385"/>
        <w:gridCol w:w="1385"/>
      </w:tblGrid>
      <w:tr w:rsidR="00145B59" w:rsidRPr="00E05A58"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E05A58" w:rsidRDefault="00145B59" w:rsidP="00B07902">
            <w:pPr>
              <w:rPr>
                <w:b w:val="0"/>
                <w:bCs w:val="0"/>
                <w:sz w:val="21"/>
                <w:szCs w:val="21"/>
              </w:rPr>
            </w:pPr>
            <w:r w:rsidRPr="00E05A58">
              <w:rPr>
                <w:sz w:val="21"/>
                <w:szCs w:val="21"/>
              </w:rPr>
              <w:t>Squash Benchmark</w:t>
            </w:r>
          </w:p>
          <w:p w:rsidR="00145B59" w:rsidRPr="00E05A58" w:rsidRDefault="00145B59" w:rsidP="00B07902">
            <w:pPr>
              <w:rPr>
                <w:sz w:val="21"/>
                <w:szCs w:val="21"/>
              </w:rPr>
            </w:pPr>
            <w:r w:rsidRPr="00E05A58">
              <w:rPr>
                <w:sz w:val="21"/>
                <w:szCs w:val="21"/>
              </w:rPr>
              <w:t>Filename</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 xml:space="preserve">.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td512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QuickLZ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alice29.txt</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36.60</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8.43</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255182880</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211823120</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172046384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539234048</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asyoulik.txt</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32.05</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6.93</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245931248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225954864</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179596848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cp.html</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30.67</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19.25</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210282048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267423904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234314288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534260864</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dickens</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37.97</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4.67</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275545984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222975792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173234864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629237184</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fields.c</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40.91</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33.98</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359677440</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446000000</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446000000</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467478240</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fireworks.jpeg</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-0.54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-1.56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860790208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506555552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24618600448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24576000000</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geo.protodata</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9.64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13.82</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205525120</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244008224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434388256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679724160</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grammar.lsp</w:t>
            </w:r>
            <w:proofErr w:type="spellEnd"/>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43.11</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40.15</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338272736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413444416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465124992</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kennedy.xls</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62.74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59.87</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378304192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429776288</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520072736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718013952</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lcet10.txt</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36.49</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8.31</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258013296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223197696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175402384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585042496</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mozilla</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32.75</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30.86</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192302272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257630144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307287232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640072000</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mr</w:t>
            </w:r>
            <w:proofErr w:type="spellEnd"/>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44.45</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30.15</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221302528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258794192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593697984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644609536</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nci</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57.06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62.05</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180862576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322672704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266430384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744126528</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ooffice</w:t>
            </w:r>
            <w:proofErr w:type="spellEnd"/>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16.61</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12.18</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146956624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211757536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211444592</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554951488</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osdb</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1.52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204698192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263553984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679536704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10397294592</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paper-100k.pdf</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10.39</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9.41</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455111104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419672128</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2226086912</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3657142784</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plrabn12.txt</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38.27</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3.52</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265195936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211342560</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169252192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667301888</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ptt5</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73.22</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74.94</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264680768</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362696832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926382656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838274496</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reymont</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31.65</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25.51</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139180144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227176816</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168096432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381971072</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samba</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40.71</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33.56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190148640</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263454144</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233161760</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610505536</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sao</w:t>
            </w:r>
            <w:proofErr w:type="spellEnd"/>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-0.58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-1.75</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679466368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314932224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11313485824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11455696896</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sum</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39.16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27.72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171479824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240503136</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294153856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451047616</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urls.10K</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34.88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23.46</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173269248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218378528</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206071904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638138176</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proofErr w:type="spellStart"/>
            <w:r w:rsidRPr="00E05A58">
              <w:rPr>
                <w:sz w:val="21"/>
                <w:szCs w:val="21"/>
              </w:rPr>
              <w:t>webster</w:t>
            </w:r>
            <w:proofErr w:type="spellEnd"/>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28.59</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17.60</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144456416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214127392</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172701424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456402464</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x-ray</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21.02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-0.98</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263346896</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280306976</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801649792</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2053832192</w:t>
            </w:r>
          </w:p>
        </w:tc>
      </w:tr>
      <w:tr w:rsidR="00F4133A"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xargs.1</w:t>
            </w:r>
          </w:p>
        </w:tc>
        <w:tc>
          <w:tcPr>
            <w:tcW w:w="0" w:type="auto"/>
          </w:tcPr>
          <w:p w:rsidR="00F4133A" w:rsidRPr="00C77CD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27.80</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18.31</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325153856</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352249984</w:t>
            </w:r>
          </w:p>
        </w:tc>
        <w:tc>
          <w:tcPr>
            <w:tcW w:w="0" w:type="auto"/>
          </w:tcPr>
          <w:p w:rsidR="00F4133A" w:rsidRPr="0051372B"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51372B">
              <w:rPr>
                <w:sz w:val="21"/>
                <w:szCs w:val="21"/>
              </w:rPr>
              <w:t>352249984</w:t>
            </w:r>
          </w:p>
        </w:tc>
        <w:tc>
          <w:tcPr>
            <w:tcW w:w="0" w:type="auto"/>
          </w:tcPr>
          <w:p w:rsidR="00F4133A" w:rsidRPr="00E05A58" w:rsidRDefault="00F4133A" w:rsidP="00F4133A">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315076928</w:t>
            </w:r>
          </w:p>
        </w:tc>
      </w:tr>
      <w:tr w:rsidR="00F4133A" w:rsidRPr="00E05A58" w:rsidTr="0014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4133A" w:rsidRPr="00E05A58" w:rsidRDefault="00F4133A" w:rsidP="00F4133A">
            <w:pPr>
              <w:rPr>
                <w:sz w:val="21"/>
                <w:szCs w:val="21"/>
              </w:rPr>
            </w:pPr>
            <w:r w:rsidRPr="00E05A58">
              <w:rPr>
                <w:sz w:val="21"/>
                <w:szCs w:val="21"/>
              </w:rPr>
              <w:t>xml</w:t>
            </w:r>
          </w:p>
        </w:tc>
        <w:tc>
          <w:tcPr>
            <w:tcW w:w="0" w:type="auto"/>
          </w:tcPr>
          <w:p w:rsidR="00F4133A" w:rsidRPr="00C77CD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43.98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35.74</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178927488</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252421616</w:t>
            </w:r>
          </w:p>
        </w:tc>
        <w:tc>
          <w:tcPr>
            <w:tcW w:w="0" w:type="auto"/>
          </w:tcPr>
          <w:p w:rsidR="00F4133A" w:rsidRPr="0051372B"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51372B">
              <w:rPr>
                <w:sz w:val="21"/>
                <w:szCs w:val="21"/>
              </w:rPr>
              <w:t>212781344</w:t>
            </w:r>
          </w:p>
        </w:tc>
        <w:tc>
          <w:tcPr>
            <w:tcW w:w="0" w:type="auto"/>
          </w:tcPr>
          <w:p w:rsidR="00F4133A" w:rsidRPr="00E05A58" w:rsidRDefault="00F4133A" w:rsidP="00F4133A">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471947712</w:t>
            </w:r>
          </w:p>
        </w:tc>
      </w:tr>
      <w:tr w:rsidR="00145B59"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E05A58" w:rsidRDefault="00145B59" w:rsidP="00423A61">
            <w:pPr>
              <w:rPr>
                <w:b w:val="0"/>
                <w:bCs w:val="0"/>
                <w:sz w:val="21"/>
                <w:szCs w:val="21"/>
              </w:rPr>
            </w:pPr>
            <w:r w:rsidRPr="00E05A58">
              <w:rPr>
                <w:sz w:val="21"/>
                <w:szCs w:val="21"/>
              </w:rPr>
              <w:lastRenderedPageBreak/>
              <w:t xml:space="preserve">Average </w:t>
            </w:r>
          </w:p>
          <w:p w:rsidR="00145B59" w:rsidRPr="00E05A58" w:rsidRDefault="00145B59" w:rsidP="00423A61">
            <w:pPr>
              <w:rPr>
                <w:b w:val="0"/>
                <w:bCs w:val="0"/>
                <w:sz w:val="21"/>
                <w:szCs w:val="21"/>
              </w:rPr>
            </w:pPr>
            <w:r w:rsidRPr="00E05A58">
              <w:rPr>
                <w:sz w:val="21"/>
                <w:szCs w:val="21"/>
              </w:rPr>
              <w:t>Performance</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td512</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w:t>
            </w:r>
            <w:r w:rsidR="00C77CD8">
              <w:rPr>
                <w:sz w:val="21"/>
                <w:szCs w:val="21"/>
              </w:rPr>
              <w:t>2.26</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22.01</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F4133A" w:rsidRDefault="00F4133A"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F4133A">
              <w:rPr>
                <w:rFonts w:ascii="Calibri" w:hAnsi="Calibri" w:cs="Calibri"/>
                <w:color w:val="000000"/>
                <w:sz w:val="21"/>
                <w:szCs w:val="21"/>
              </w:rPr>
              <w:t>280891260</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291215954</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F4133A" w:rsidRDefault="00F4133A"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F4133A">
              <w:rPr>
                <w:rFonts w:ascii="Calibri" w:hAnsi="Calibri" w:cs="Calibri"/>
                <w:color w:val="000000"/>
                <w:sz w:val="21"/>
                <w:szCs w:val="21"/>
              </w:rPr>
              <w:t>1724194525</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w:t>
      </w:r>
      <w:r>
        <w:lastRenderedPageBreak/>
        <w:t xml:space="preserve">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1" w:name="_Ref60419899"/>
      <w:r>
        <w:t xml:space="preserve">Table </w:t>
      </w:r>
      <w:fldSimple w:instr=" SEQ Table \* ARABIC ">
        <w:r w:rsidR="00E34798">
          <w:rPr>
            <w:noProof/>
          </w:rPr>
          <w:t>2</w:t>
        </w:r>
      </w:fldSimple>
      <w:bookmarkEnd w:id="1"/>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bookmarkStart w:id="2" w:name="_GoBack"/>
      <w:bookmarkEnd w:id="2"/>
    </w:p>
    <w:p w:rsidR="00CC54F0" w:rsidRDefault="00CC54F0" w:rsidP="005D7AF3">
      <w:r>
        <w:lastRenderedPageBreak/>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BA3570">
        <w:t xml:space="preserve"> better </w:t>
      </w:r>
      <w:r w:rsidR="00161C6C">
        <w:t xml:space="preserve">average </w:t>
      </w:r>
      <w:r w:rsidR="00BA3570">
        <w:t>compression and</w:t>
      </w:r>
      <w:r>
        <w:t xml:space="preserve"> decompression speed, td512 </w:t>
      </w:r>
      <w:r w:rsidR="00161C6C">
        <w:t xml:space="preserve">gets </w:t>
      </w:r>
      <w:r w:rsidR="0036651C">
        <w:t>4</w:t>
      </w:r>
      <w:r w:rsidR="00380196">
        <w:t>6</w:t>
      </w:r>
      <w:r w:rsidR="00161C6C">
        <w:t>%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The</w:t>
      </w:r>
      <w:r w:rsidR="0036651C">
        <w:t xml:space="preserve"> arithmetic compressor </w:t>
      </w:r>
      <w:r>
        <w:t xml:space="preserve">fpaq0 </w:t>
      </w:r>
      <w:r w:rsidR="00C53888">
        <w:t>supports 64-byte blocks and averages 26%</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4D3916" w:rsidRDefault="004D3916" w:rsidP="00D97F97">
      <w:pPr>
        <w:pStyle w:val="Heading2"/>
      </w:pPr>
    </w:p>
    <w:p w:rsidR="00BB2EEC" w:rsidRPr="00BB2EEC" w:rsidRDefault="00BB2EEC" w:rsidP="00BB2EEC">
      <w:pPr>
        <w:sectPr w:rsidR="00BB2EEC" w:rsidRPr="00BB2EEC"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 xml:space="preserve">v2.1.4 </w:t>
      </w:r>
      <w:r w:rsidR="004D3916">
        <w:t xml:space="preserve">run iteratively with </w:t>
      </w:r>
      <w:r w:rsidR="00F70BB2">
        <w:t xml:space="preserve">128-, 256- and </w:t>
      </w:r>
      <w:r w:rsidR="004D3916">
        <w:t>512-byte blocks</w:t>
      </w:r>
      <w:r w:rsidR="00227CD3">
        <w:t>,</w:t>
      </w:r>
      <w:r w:rsidR="00C57CB6">
        <w:t xml:space="preserve"> and fpaq0 run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fldSimple w:instr=" SEQ Table \* ARABIC ">
        <w:r w:rsidR="00E34798">
          <w:rPr>
            <w:noProof/>
          </w:rPr>
          <w:t>3</w:t>
        </w:r>
      </w:fldSimple>
      <w:bookmarkEnd w:id="3"/>
      <w:r>
        <w:t xml:space="preserve">: Performance Data for td512 </w:t>
      </w:r>
      <w:r w:rsidR="00052AC5">
        <w:t>v2.1.</w:t>
      </w:r>
      <w:r w:rsidR="00380196">
        <w:t>4</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alice29.txt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223331856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167130768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36.04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237268336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168987776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36.60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255182880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172046384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asyoulik.txt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207250000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168932528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31.55</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238891232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171243504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32.05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245931248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179596848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cp.html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136683328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201663936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180904416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234314288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30.67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210282048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234314288</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dickens</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250872448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173683568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37.54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265843664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171957648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37.97</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275545984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173234864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fields.c</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202727264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318571424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35.79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285897440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384482752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40.91</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359677440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446000000</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fireworks.jpeg</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559513600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13676999680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-0.74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715656960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17584713728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-0.54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860790208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24618600448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geo.protodata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177526944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484032640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10.80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195046064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401993216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9.64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205525120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434388256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grammar.lsp</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265785712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413444416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40.07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286230784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413444416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43.11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338272736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465124992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kennedy.xls</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271556960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461148224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63.03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327526720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517979872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62.74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378304192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520072736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lcet10.txt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224607360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174114240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36.43</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245684512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176417520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36.49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258013296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175402384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mozilla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153839744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284960320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31.54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172823216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279589280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32.75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192302272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307287232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154145056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557357248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45.79</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194733776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555463168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44.45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221302528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593697984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nci</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142713808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236925888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55.78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162516320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256303376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57.06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180862576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266430384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ooffice</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124813696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199772432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16.87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135693152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192659392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16.61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146956624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211444592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osdb</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157986240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798549824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1.11</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174628752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541251648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204698192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679536704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paper-100k.pdf</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270184704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1651612928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9.31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372363648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1896296320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10.39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455111104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2226086912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plrabn12.txt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244475376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167603824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37.79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262165936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176635264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38.27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265195936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169252192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ptt5</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200162256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794452032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72.92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235312240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909957440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73.22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264680768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926382656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reymont</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113022752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151739024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125076944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157956000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31.65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139180144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168096432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samba</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142977968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207606128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169080032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223703472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40.71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190148640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233161760</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sao</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422140064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8297418752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-0.78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584315840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10058174464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-0.58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679466368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11313485824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sum</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132318344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277101440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38.71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156721312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287518816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39.16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171479824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294153856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urls.10K</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133324536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192828064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30.99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157843312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211281072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173269248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206071904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webster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122053312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158053520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25.04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136448224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164450784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28.59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144456416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172701424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x-ray</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174048352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660141760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19.87</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213059792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646296512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263346896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801649792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xargs.1</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264187504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301928576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325153856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301928576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27.80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325153856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352249984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132138832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177767136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153701584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193019184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43.98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178927488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212781344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w:t>
            </w:r>
            <w:r w:rsidR="005D240C">
              <w:rPr>
                <w:sz w:val="20"/>
                <w:szCs w:val="20"/>
              </w:rPr>
              <w:t>42</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207569927</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1161316308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w:t>
            </w:r>
            <w:r w:rsidR="00570192">
              <w:rPr>
                <w:sz w:val="20"/>
                <w:szCs w:val="20"/>
              </w:rPr>
              <w:t>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248540299</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1380667388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w:t>
            </w:r>
            <w:r w:rsidR="00380196">
              <w:rPr>
                <w:sz w:val="20"/>
                <w:szCs w:val="20"/>
              </w:rPr>
              <w:t>2</w:t>
            </w:r>
            <w:r w:rsidRPr="007D43FB">
              <w:rPr>
                <w:sz w:val="20"/>
                <w:szCs w:val="20"/>
              </w:rPr>
              <w:t>.</w:t>
            </w:r>
            <w:r w:rsidR="00380196">
              <w:rPr>
                <w:sz w:val="20"/>
                <w:szCs w:val="20"/>
              </w:rPr>
              <w:t>26</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280891260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38019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1724194525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 xml:space="preserve">v2.1.1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fldSimple w:instr=" SEQ Table \* ARABIC ">
        <w:r w:rsidR="00E34798">
          <w:rPr>
            <w:noProof/>
          </w:rPr>
          <w:t>4</w:t>
        </w:r>
      </w:fldSimple>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v2.1.1</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fldSimple w:instr=" SEQ Table \* ARABIC ">
        <w:r w:rsidR="00E34798">
          <w:rPr>
            <w:noProof/>
          </w:rPr>
          <w:t>5</w:t>
        </w:r>
      </w:fldSimple>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372" w:rsidRDefault="00CE3372" w:rsidP="00C46005">
      <w:r>
        <w:separator/>
      </w:r>
    </w:p>
  </w:endnote>
  <w:endnote w:type="continuationSeparator" w:id="0">
    <w:p w:rsidR="00CE3372" w:rsidRDefault="00CE3372"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372" w:rsidRDefault="00CE3372" w:rsidP="00C46005">
      <w:r>
        <w:separator/>
      </w:r>
    </w:p>
  </w:footnote>
  <w:footnote w:type="continuationSeparator" w:id="0">
    <w:p w:rsidR="00CE3372" w:rsidRDefault="00CE3372"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88E"/>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3773"/>
    <w:rsid w:val="00325629"/>
    <w:rsid w:val="0033201A"/>
    <w:rsid w:val="00332448"/>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72B"/>
    <w:rsid w:val="00513F3D"/>
    <w:rsid w:val="00522326"/>
    <w:rsid w:val="0053487C"/>
    <w:rsid w:val="00545D02"/>
    <w:rsid w:val="005506D1"/>
    <w:rsid w:val="00551A67"/>
    <w:rsid w:val="00557249"/>
    <w:rsid w:val="00560B1A"/>
    <w:rsid w:val="00560B22"/>
    <w:rsid w:val="00562CB6"/>
    <w:rsid w:val="00570192"/>
    <w:rsid w:val="00570CC5"/>
    <w:rsid w:val="005744FB"/>
    <w:rsid w:val="00586AFC"/>
    <w:rsid w:val="005A1A7C"/>
    <w:rsid w:val="005B1459"/>
    <w:rsid w:val="005B3D79"/>
    <w:rsid w:val="005C6DF9"/>
    <w:rsid w:val="005D240C"/>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E0416"/>
    <w:rsid w:val="006E122D"/>
    <w:rsid w:val="006E1435"/>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51C6"/>
    <w:rsid w:val="00AD2D51"/>
    <w:rsid w:val="00AD3126"/>
    <w:rsid w:val="00AD569D"/>
    <w:rsid w:val="00AD772F"/>
    <w:rsid w:val="00AE20E4"/>
    <w:rsid w:val="00AF38FD"/>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2EEC"/>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3888"/>
    <w:rsid w:val="00C57CB6"/>
    <w:rsid w:val="00C6196A"/>
    <w:rsid w:val="00C65074"/>
    <w:rsid w:val="00C728C3"/>
    <w:rsid w:val="00C73299"/>
    <w:rsid w:val="00C7360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3372"/>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E7929"/>
    <w:rsid w:val="00E02F1D"/>
    <w:rsid w:val="00E058AC"/>
    <w:rsid w:val="00E05A58"/>
    <w:rsid w:val="00E05B01"/>
    <w:rsid w:val="00E12328"/>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C1093"/>
    <w:rsid w:val="00EC5F1A"/>
    <w:rsid w:val="00ED0681"/>
    <w:rsid w:val="00EE61A2"/>
    <w:rsid w:val="00EF2816"/>
    <w:rsid w:val="00F01831"/>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AE40"/>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40C"/>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8</Pages>
  <Words>3692</Words>
  <Characters>21045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158</cp:revision>
  <cp:lastPrinted>2022-01-23T22:05:00Z</cp:lastPrinted>
  <dcterms:created xsi:type="dcterms:W3CDTF">2021-11-05T05:13:00Z</dcterms:created>
  <dcterms:modified xsi:type="dcterms:W3CDTF">2022-02-01T17:00:00Z</dcterms:modified>
</cp:coreProperties>
</file>