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52"/>
          <w:szCs w:val="52"/>
        </w:rPr>
        <w:t xml:space="preserve">Patch Risk Assessment Framework</w:t>
      </w:r>
    </w:p>
    <w:p>
      <w:pPr>
        <w:spacing w:after="160" w:before="0"/>
        <w:jc w:val="center"/>
      </w:pPr>
      <w:r>
        <w:rPr>
          <w:rFonts w:ascii="Arial" w:cs="Arial" w:eastAsia="Arial" w:hAnsi="Arial"/>
          <w:color w:val="595959"/>
          <w:sz w:val="26"/>
          <w:szCs w:val="26"/>
        </w:rPr>
        <w:t xml:space="preserve">Standardized Patch Prioritization and Risk Scoring</w:t>
      </w:r>
    </w:p>
    <w:p>
      <w:pPr>
        <w:spacing w:after="400" w:before="0"/>
        <w:jc w:val="center"/>
      </w:pPr>
      <w:r>
        <w:rPr>
          <w:rFonts w:ascii="Arial" w:cs="Arial" w:eastAsia="Arial" w:hAnsi="Arial"/>
          <w:b/>
          <w:bCs/>
          <w:color w:val="2E75B6"/>
          <w:sz w:val="22"/>
          <w:szCs w:val="22"/>
        </w:rPr>
        <w:t xml:space="preserve">Patching Manager</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 ID</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MSP-MGR-002</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Patching Manager</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Audience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Patching Manager</w:t>
            </w:r>
          </w:p>
        </w:tc>
      </w:tr>
    </w:tbl>
    <w:p>
      <w:r>
        <w:br w:type="page"/>
      </w:r>
    </w:p>
    <w:p>
      <w:pPr>
        <w:pStyle w:val="Heading1"/>
        <w:spacing w:after="120" w:before="280"/>
      </w:pPr>
      <w:r>
        <w:rPr>
          <w:rFonts w:ascii="Arial" w:cs="Arial" w:eastAsia="Arial" w:hAnsi="Arial"/>
          <w:b/>
          <w:bCs/>
          <w:color w:val="1F4E79"/>
          <w:sz w:val="32"/>
          <w:szCs w:val="32"/>
        </w:rPr>
        <w:t>Purpose  —  Acme Corporation</w:t>
      </w:r>
    </w:p>
    <w:p>
      <w:pPr>
        <w:spacing w:after="60" w:before="60"/>
      </w:pPr>
      <w:r>
        <w:rPr>
          <w:rFonts w:ascii="Arial" w:cs="Arial" w:eastAsia="Arial" w:hAnsi="Arial"/>
          <w:sz w:val="20"/>
          <w:szCs w:val="20"/>
        </w:rPr>
        <w:t xml:space="preserve">This framework provides a consistent, repeatable method for assessing the risk and urgency of any patch. Use it to classify patches into priority tiers and determine required response timelines. Apply this framework when reviewing vendor advisories and when completing the Risk Assessment section of a Change Request.</w:t>
      </w:r>
    </w:p>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1. CVSS-Based Initial Classification</w:t>
      </w:r>
    </w:p>
    <w:p>
      <w:pPr>
        <w:spacing w:after="60" w:before="60"/>
      </w:pPr>
      <w:r>
        <w:rPr>
          <w:rFonts w:ascii="Arial" w:cs="Arial" w:eastAsia="Arial" w:hAnsi="Arial"/>
          <w:sz w:val="20"/>
          <w:szCs w:val="20"/>
        </w:rPr>
        <w:t xml:space="preserve">Start with the CVSS v3.x Base Score from the vendor advisory or NVD (nvd.nist.gov). Map to the initial severity tier:</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CVSS Score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Severity Tier</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Initial Response Target</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Patch Deadline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9.0 – 10.0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Critical</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24-hour notification; emergency CR</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Patch within 72 hours of advisory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7.0 – 8.9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High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 business days notice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Patch within 14 calendar days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4.0 – 6.9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Medium</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Standard scheduling</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Patch within next scheduled cycle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0.1 – 3.9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Low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Standard scheduling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Patch within next scheduled cycle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N/A (operational)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Informational</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Standard scheduling</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Per device patch frequency schedule</w:t>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2. Contextual Risk Modifiers</w:t>
      </w:r>
    </w:p>
    <w:p>
      <w:pPr>
        <w:spacing w:after="60" w:before="60"/>
      </w:pPr>
      <w:r>
        <w:rPr>
          <w:rFonts w:ascii="Arial" w:cs="Arial" w:eastAsia="Arial" w:hAnsi="Arial"/>
          <w:sz w:val="20"/>
          <w:szCs w:val="20"/>
        </w:rPr>
        <w:t xml:space="preserve">Adjust the initial tier based on the following contextual factors. Each Yes answer increases urgency by one tier (Low → Medium, Medium → High, High → Critical).</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960"/>
        <w:gridCol w:w="2520"/>
      </w:tblGrid>
      <w:tr>
        <w:trPr>
          <w:tblHeader/>
        </w:trP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Factor</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Question</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If YES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Internet Exposure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Is the vulnerable service directly exposed to the internet?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Increase tier by 1</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Active Exploitation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Is there a known exploit or active campaign in the wild?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Increase tier by 1 (maximum: Critical)</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Asset Criticality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Is the affected device a Tier 1 / business-critical asset?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Increase tier by 1</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Customer Industry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Is the customer in a regulated industry (healthcare, finance, legal)?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Increase tier by 1</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Compensating Control</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Is there a WAF, IDS, or network segmentation mitigating the risk?</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May decrease tier by 1</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Vendor Patch Maturity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Is this a newly released patch with known issues?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Consider deferring 2–4 weeks</w:t>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3. Final Risk Tier and Required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Final Tier</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 Actions</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CRITICAL</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Open emergency CR immediately. Notify Patching Manager and customer within 2 hours. Apply patch within 72 hours or implement compensating control. Document in exception log if deferred.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HIGH</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Schedule patch within 14 days. Submit standard CR. Notify customer per standard lead time. Escalate if customer refuses.</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MEDIUM</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Include in next scheduled patch cycle. No expedited process required. Document in Patch Tracking FA.</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Include in next scheduled patch cycle at discretion. No expedited notification required.</w:t>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4. Risk Assessment Worksheet</w:t>
      </w:r>
    </w:p>
    <w:p>
      <w:pPr>
        <w:spacing w:after="60" w:before="60"/>
      </w:pPr>
      <w:r>
        <w:rPr>
          <w:rFonts w:ascii="Arial" w:cs="Arial" w:eastAsia="Arial" w:hAnsi="Arial"/>
          <w:sz w:val="20"/>
          <w:szCs w:val="20"/>
        </w:rPr>
        <w:t xml:space="preserve">Complete this for each patch advisory reviewed:</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Vendor Advisory / CVE Number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CVSS Score and Vector String</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Initial Severity Tier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Internet Exposed?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Active Exploitation?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Asset Criticality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Tier 1  [ ] Tier 2  [ ] Tier 3</w:t>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Regulated Industry?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Compensating Control?</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  — If yes, describe:</w:t>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Final Adjusted Tier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Required Action and Target Date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Assessed By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Assessment Date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center" w:pos="4680"/>
        <w:tab w:val="right" w:pos="9360"/>
      </w:tabs>
    </w:pPr>
    <w:r>
      <w:rPr>
        <w:rFonts w:ascii="Arial" w:cs="Arial" w:eastAsia="Arial" w:hAnsi="Arial"/>
        <w:color w:val="595959"/>
        <w:sz w:val="16"/>
        <w:szCs w:val="16"/>
      </w:rPr>
      <w:t xml:space="preserve">CONFIDENTIAL – Internal Use Only</w:t>
    </w:r>
    <w:r>
      <w:rPr>
        <w:sz w:val="16"/>
        <w:szCs w:val="16"/>
      </w:rPr>
      <w:t xml:space="preserve">	</w:t>
    </w:r>
    <w:fldSimple w:instr="PAGE \* MERGEFORMA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8"/>
        <w:szCs w:val="18"/>
      </w:rPr>
      <w:t xml:space="preserve">MSP Patching  |  Patching Manager  |  </w:t>
    </w:r>
    <w:r>
      <w:rPr>
        <w:rFonts w:ascii="Arial" w:cs="Arial" w:eastAsia="Arial" w:hAnsi="Arial"/>
        <w:b/>
        <w:bCs/>
        <w:color w:val="1F4E79"/>
        <w:sz w:val="18"/>
        <w:szCs w:val="18"/>
      </w:rPr>
      <w:t xml:space="preserve">Patch Risk Assessment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2026-04-09T20:10:48.230Z</dcterms:created>
  <dcterms:modified xsi:type="dcterms:W3CDTF">2026-04-09T20:10:48.230Z</dcterms:modified>
</cp:coreProperties>
</file>

<file path=docProps/custom.xml><?xml version="1.0" encoding="utf-8"?>
<Properties xmlns="http://schemas.openxmlformats.org/officeDocument/2006/custom-properties" xmlns:vt="http://schemas.openxmlformats.org/officeDocument/2006/docPropsVTypes"/>
</file>