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Patching Program KPI Dashboard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Monthly Performance Metrics — Infrastructure Patching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Patching Manager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MSP-MGR-006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Reporting Period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Report Date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>1. Overall Program Health  —  Acme Corporation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200"/>
        <w:gridCol w:w="1440"/>
        <w:gridCol w:w="1440"/>
        <w:gridCol w:w="960"/>
        <w:gridCol w:w="1800"/>
      </w:tblGrid>
      <w:tr>
        <w:trPr>
          <w:tblHeader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This Period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Last Period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RAG Status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Overall patch compliance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≥ 95%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Critical patch SLA adherence (72hr)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High patch SLA adherence (14 days)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≥ 98%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Mean Time to Patch — Critical (MTTP-C)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48 hours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Mean Time to Patch — High (MTTP-H)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10 days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Change Request approval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Rollback rate (patches requiring rollback)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2%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Post-patch incident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1%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satisfaction (post-patch surveys)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≥ 4.0/5.0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Open exceptions &gt; 90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Compliance by Customer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080"/>
        <w:gridCol w:w="1200"/>
        <w:gridCol w:w="1080"/>
        <w:gridCol w:w="1200"/>
        <w:gridCol w:w="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Devices in Scope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Compliant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Non-Compliant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Exceptions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Compliance 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41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Patch Volume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Total patch events this period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Patches completed on schedule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Patches deferred (customer request)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Patches deferred (technical block)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Emergency/out-of-cycle patches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Rollbacks executed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Incidents caused by patching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Trend Analysis and Commentary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Notable Trends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Top Issues This Period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Recommended Actions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RAG Status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GREEN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 or above target — no action required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AMBER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Within 5% of target — monitor closely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Below target — immediate action plan required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– Internal Use Only</w:t>
    </w:r>
    <w:r>
      <w:rPr>
        <w:sz w:val="16"/>
        <w:szCs w:val="16"/>
      </w:rPr>
      <w:t xml:space="preserve">	</w:t>
    </w:r>
    <w:fldSimple w:instr="PAGE \* MERGEFORMAT">
      <w:r/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MSP Patching  |  Patching Manager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Patching Program KPI Dashboard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2026-04-09T20:10:48.957Z</dcterms:created>
  <dcterms:modified xsi:type="dcterms:W3CDTF">2026-04-09T20:10:48.957Z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