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F4E79"/>
          <w:sz w:val="56"/>
        </w:rPr>
        <w:t>Customer SLA Summary</w:t>
      </w:r>
    </w:p>
    <w:p>
      <w:r>
        <w:rPr>
          <w:b/>
          <w:i w:val="0"/>
          <w:color w:val="595959"/>
          <w:sz w:val="32"/>
        </w:rPr>
        <w:t>Per-Service SLA Commitments &amp; Patch Cadence Schedule</w:t>
      </w:r>
    </w:p>
    <w:p>
      <w:r>
        <w:rPr>
          <w:b w:val="0"/>
          <w:i w:val="0"/>
          <w:color w:val="595959"/>
          <w:sz w:val="20"/>
        </w:rPr>
        <w:t>MSP Managed Infrastructure  |  MSP-MGR-008  |  Ref: MSP-PAT-002 SOP</w:t>
      </w:r>
    </w:p>
    <w:p/>
    <w:tbl>
      <w:tblPr>
        <w:tblStyle w:val="TableGrid"/>
        <w:tblW w:type="auto" w:w="0"/>
        <w:tblLook w:firstColumn="1" w:firstRow="1" w:lastColumn="0" w:lastRow="0" w:noHBand="0" w:noVBand="1" w:val="04A0"/>
      </w:tblPr>
      <w:tblGrid>
        <w:gridCol w:w="5040"/>
        <w:gridCol w:w="5040"/>
      </w:tblGrid>
      <w:tr>
        <w:tc>
          <w:tcPr>
            <w:tcW w:type="dxa" w:w="2880"/>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Document ID</w:t>
            </w:r>
          </w:p>
        </w:tc>
        <w:tc>
          <w:tcPr>
            <w:tcW w:type="dxa" w:w="7920"/>
            <w:tcBorders>
              <w:top w:val="single" w:color="CCCCCC" w:sz="1"/>
              <w:left w:val="single" w:color="CCCCCC" w:sz="1"/>
              <w:bottom w:val="single" w:color="CCCCCC" w:sz="1"/>
              <w:right w:val="single" w:color="CCCCCC" w:sz="1"/>
            </w:tcBorders>
            <w:shd w:fill="FFFFFF" w:val="clear" w:color="auto"/>
          </w:tcPr>
          <w:p>
            <w:r>
              <w:rPr>
                <w:b w:val="0"/>
                <w:i w:val="0"/>
                <w:sz w:val="18"/>
              </w:rPr>
              <w:t>MSP-MGR-008</w:t>
            </w:r>
          </w:p>
        </w:tc>
      </w:tr>
      <w:tr>
        <w:tc>
          <w:tcPr>
            <w:tcW w:type="dxa" w:w="2880"/>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Customer</w:t>
            </w:r>
          </w:p>
        </w:tc>
        <w:tc>
          <w:tcPr>
            <w:tcW w:type="dxa" w:w="7920"/>
            <w:tcBorders>
              <w:top w:val="single" w:color="CCCCCC" w:sz="1"/>
              <w:left w:val="single" w:color="CCCCCC" w:sz="1"/>
              <w:bottom w:val="single" w:color="CCCCCC" w:sz="1"/>
              <w:right w:val="single" w:color="CCCCCC" w:sz="1"/>
            </w:tcBorders>
            <w:shd w:fill="F2F2F2" w:val="clear" w:color="auto"/>
          </w:tcPr>
          <w:p>
            <w:r>
              <w:rPr>
                <w:b w:val="0"/>
                <w:i w:val="0"/>
                <w:sz w:val="18"/>
              </w:rPr>
              <w:t>Test Customer Inc.</w:t>
            </w:r>
          </w:p>
        </w:tc>
      </w:tr>
      <w:tr>
        <w:tc>
          <w:tcPr>
            <w:tcW w:type="dxa" w:w="2880"/>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Prepared By</w:t>
            </w:r>
          </w:p>
        </w:tc>
        <w:tc>
          <w:tcPr>
            <w:tcW w:type="dxa" w:w="7920"/>
            <w:tcBorders>
              <w:top w:val="single" w:color="CCCCCC" w:sz="1"/>
              <w:left w:val="single" w:color="CCCCCC" w:sz="1"/>
              <w:bottom w:val="single" w:color="CCCCCC" w:sz="1"/>
              <w:right w:val="single" w:color="CCCCCC" w:sz="1"/>
            </w:tcBorders>
            <w:shd w:fill="FFFFFF" w:val="clear" w:color="auto"/>
          </w:tcPr>
          <w:p>
            <w:r>
              <w:rPr>
                <w:b w:val="0"/>
                <w:i w:val="0"/>
                <w:sz w:val="18"/>
              </w:rPr>
            </w:r>
          </w:p>
        </w:tc>
      </w:tr>
      <w:tr>
        <w:tc>
          <w:tcPr>
            <w:tcW w:type="dxa" w:w="2880"/>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Effective Date</w:t>
            </w:r>
          </w:p>
        </w:tc>
        <w:tc>
          <w:tcPr>
            <w:tcW w:type="dxa" w:w="7920"/>
            <w:tcBorders>
              <w:top w:val="single" w:color="CCCCCC" w:sz="1"/>
              <w:left w:val="single" w:color="CCCCCC" w:sz="1"/>
              <w:bottom w:val="single" w:color="CCCCCC" w:sz="1"/>
              <w:right w:val="single" w:color="CCCCCC" w:sz="1"/>
            </w:tcBorders>
            <w:shd w:fill="F2F2F2" w:val="clear" w:color="auto"/>
          </w:tcPr>
          <w:p>
            <w:r>
              <w:rPr>
                <w:b w:val="0"/>
                <w:i w:val="0"/>
                <w:sz w:val="18"/>
              </w:rPr>
              <w:t>2026-04-10</w:t>
            </w:r>
          </w:p>
        </w:tc>
      </w:tr>
      <w:tr>
        <w:tc>
          <w:tcPr>
            <w:tcW w:type="dxa" w:w="2880"/>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Version</w:t>
            </w:r>
          </w:p>
        </w:tc>
        <w:tc>
          <w:tcPr>
            <w:tcW w:type="dxa" w:w="7920"/>
            <w:tcBorders>
              <w:top w:val="single" w:color="CCCCCC" w:sz="1"/>
              <w:left w:val="single" w:color="CCCCCC" w:sz="1"/>
              <w:bottom w:val="single" w:color="CCCCCC" w:sz="1"/>
              <w:right w:val="single" w:color="CCCCCC" w:sz="1"/>
            </w:tcBorders>
            <w:shd w:fill="FFFFFF" w:val="clear" w:color="auto"/>
          </w:tcPr>
          <w:p>
            <w:r>
              <w:rPr>
                <w:b w:val="0"/>
                <w:i w:val="0"/>
                <w:sz w:val="18"/>
              </w:rPr>
              <w:t>1.0</w:t>
            </w:r>
          </w:p>
        </w:tc>
      </w:tr>
    </w:tbl>
    <w:p/>
    <w:p>
      <w:pPr>
        <w:spacing w:before="240"/>
        <w:shd w:val="clear" w:color="auto" w:fill="0077CC"/>
      </w:pPr>
      <w:r>
        <w:rPr>
          <w:b/>
          <w:color w:val="FFFFFF"/>
          <w:sz w:val="20"/>
        </w:rPr>
        <w:t xml:space="preserve">  1. Purpose</w:t>
      </w:r>
    </w:p>
    <w:p>
      <w:r>
        <w:rPr>
          <w:b w:val="0"/>
          <w:i w:val="0"/>
          <w:sz w:val="18"/>
        </w:rPr>
        <w:t>This document summarises the agreed SLA commitments and patching cadence for each managed service in scope for Test Customer Inc.. SLA tier definitions and patch remediation timeframes are drawn from the signed Patching Agreement (MSP-MGR-003). In the event of any conflict, the signed agreement takes precedence.</w:t>
      </w:r>
    </w:p>
    <w:p>
      <w:pPr>
        <w:spacing w:before="240"/>
        <w:shd w:val="clear" w:color="auto" w:fill="0077CC"/>
      </w:pPr>
      <w:r>
        <w:rPr>
          <w:b/>
          <w:color w:val="FFFFFF"/>
          <w:sz w:val="20"/>
        </w:rPr>
        <w:t xml:space="preserve">  2. SLA Tier Definitions</w:t>
      </w:r>
    </w:p>
    <w:p>
      <w:r>
        <w:rPr>
          <w:b w:val="0"/>
          <w:i/>
          <w:sz w:val="18"/>
        </w:rPr>
        <w:t>The table below defines the patch completion SLAs for each tier. Notification SLA format: Critical Incident / Scheduled Maintenance.</w:t>
      </w:r>
    </w:p>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584"/>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SLA Tier</w:t>
            </w:r>
          </w:p>
        </w:tc>
        <w:tc>
          <w:tcPr>
            <w:tcW w:type="dxa" w:w="1224"/>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Critical</w:t>
            </w:r>
          </w:p>
        </w:tc>
        <w:tc>
          <w:tcPr>
            <w:tcW w:type="dxa" w:w="1224"/>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High</w:t>
            </w:r>
          </w:p>
        </w:tc>
        <w:tc>
          <w:tcPr>
            <w:tcW w:type="dxa" w:w="1224"/>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Medium</w:t>
            </w:r>
          </w:p>
        </w:tc>
        <w:tc>
          <w:tcPr>
            <w:tcW w:type="dxa" w:w="1224"/>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Low</w:t>
            </w:r>
          </w:p>
        </w:tc>
        <w:tc>
          <w:tcPr>
            <w:tcW w:type="dxa" w:w="3168"/>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Notification SLA</w:t>
            </w:r>
          </w:p>
        </w:tc>
      </w:tr>
      <w:tr>
        <w:tc>
          <w:tcPr>
            <w:tcW w:type="dxa" w:w="1584"/>
            <w:tcBorders>
              <w:top w:val="single" w:color="CCCCCC" w:sz="1"/>
              <w:left w:val="single" w:color="CCCCCC" w:sz="1"/>
              <w:bottom w:val="single" w:color="CCCCCC" w:sz="1"/>
              <w:right w:val="single" w:color="CCCCCC" w:sz="1"/>
            </w:tcBorders>
            <w:shd w:val="clear" w:color="auto" w:fill="F2F2F2"/>
          </w:tcPr>
          <w:p>
            <w:r>
              <w:rPr>
                <w:b/>
                <w:i w:val="0"/>
                <w:sz w:val="18"/>
              </w:rPr>
              <w:t>Standard</w:t>
            </w:r>
          </w:p>
        </w:tc>
        <w:tc>
          <w:tcPr>
            <w:tcW w:type="dxa" w:w="1224"/>
            <w:tcBorders>
              <w:top w:val="single" w:color="CCCCCC" w:sz="1"/>
              <w:left w:val="single" w:color="CCCCCC" w:sz="1"/>
              <w:bottom w:val="single" w:color="CCCCCC" w:sz="1"/>
              <w:right w:val="single" w:color="CCCCCC" w:sz="1"/>
            </w:tcBorders>
            <w:shd w:fill="F2F2F2" w:val="clear" w:color="auto"/>
          </w:tcPr>
          <w:p>
            <w:r>
              <w:rPr>
                <w:b w:val="0"/>
                <w:i w:val="0"/>
                <w:sz w:val="18"/>
              </w:rPr>
              <w:t>72 hours</w:t>
            </w:r>
          </w:p>
        </w:tc>
        <w:tc>
          <w:tcPr>
            <w:tcW w:type="dxa" w:w="1224"/>
            <w:tcBorders>
              <w:top w:val="single" w:color="CCCCCC" w:sz="1"/>
              <w:left w:val="single" w:color="CCCCCC" w:sz="1"/>
              <w:bottom w:val="single" w:color="CCCCCC" w:sz="1"/>
              <w:right w:val="single" w:color="CCCCCC" w:sz="1"/>
            </w:tcBorders>
            <w:shd w:fill="F2F2F2" w:val="clear" w:color="auto"/>
          </w:tcPr>
          <w:p>
            <w:r>
              <w:rPr>
                <w:b w:val="0"/>
                <w:i w:val="0"/>
                <w:sz w:val="18"/>
              </w:rPr>
              <w:t>14 days</w:t>
            </w:r>
          </w:p>
        </w:tc>
        <w:tc>
          <w:tcPr>
            <w:tcW w:type="dxa" w:w="1224"/>
            <w:tcBorders>
              <w:top w:val="single" w:color="CCCCCC" w:sz="1"/>
              <w:left w:val="single" w:color="CCCCCC" w:sz="1"/>
              <w:bottom w:val="single" w:color="CCCCCC" w:sz="1"/>
              <w:right w:val="single" w:color="CCCCCC" w:sz="1"/>
            </w:tcBorders>
            <w:shd w:fill="F2F2F2" w:val="clear" w:color="auto"/>
          </w:tcPr>
          <w:p>
            <w:r>
              <w:rPr>
                <w:b w:val="0"/>
                <w:i w:val="0"/>
                <w:sz w:val="18"/>
              </w:rPr>
              <w:t>30 days</w:t>
            </w:r>
          </w:p>
        </w:tc>
        <w:tc>
          <w:tcPr>
            <w:tcW w:type="dxa" w:w="1224"/>
            <w:tcBorders>
              <w:top w:val="single" w:color="CCCCCC" w:sz="1"/>
              <w:left w:val="single" w:color="CCCCCC" w:sz="1"/>
              <w:bottom w:val="single" w:color="CCCCCC" w:sz="1"/>
              <w:right w:val="single" w:color="CCCCCC" w:sz="1"/>
            </w:tcBorders>
            <w:shd w:fill="F2F2F2" w:val="clear" w:color="auto"/>
          </w:tcPr>
          <w:p>
            <w:r>
              <w:rPr>
                <w:b w:val="0"/>
                <w:i w:val="0"/>
                <w:sz w:val="18"/>
              </w:rPr>
              <w:t>90 days</w:t>
            </w:r>
          </w:p>
        </w:tc>
        <w:tc>
          <w:tcPr>
            <w:tcW w:type="dxa" w:w="3168"/>
            <w:tcBorders>
              <w:top w:val="single" w:color="CCCCCC" w:sz="1"/>
              <w:left w:val="single" w:color="CCCCCC" w:sz="1"/>
              <w:bottom w:val="single" w:color="CCCCCC" w:sz="1"/>
              <w:right w:val="single" w:color="CCCCCC" w:sz="1"/>
            </w:tcBorders>
            <w:shd w:fill="F2F2F2" w:val="clear" w:color="auto"/>
          </w:tcPr>
          <w:p>
            <w:r>
              <w:rPr>
                <w:b w:val="0"/>
                <w:i w:val="0"/>
                <w:sz w:val="18"/>
              </w:rPr>
              <w:t>2 hours / 5 business days</w:t>
            </w:r>
          </w:p>
        </w:tc>
      </w:tr>
      <w:tr>
        <w:tc>
          <w:tcPr>
            <w:tcW w:type="dxa" w:w="1584"/>
            <w:tcBorders>
              <w:top w:val="single" w:color="CCCCCC" w:sz="1"/>
              <w:left w:val="single" w:color="CCCCCC" w:sz="1"/>
              <w:bottom w:val="single" w:color="CCCCCC" w:sz="1"/>
              <w:right w:val="single" w:color="CCCCCC" w:sz="1"/>
            </w:tcBorders>
            <w:shd w:val="clear" w:color="auto" w:fill="FFFFFF"/>
          </w:tcPr>
          <w:p>
            <w:r>
              <w:rPr>
                <w:b/>
                <w:i w:val="0"/>
                <w:sz w:val="18"/>
              </w:rPr>
              <w:t>Enhanced</w:t>
            </w:r>
          </w:p>
        </w:tc>
        <w:tc>
          <w:tcPr>
            <w:tcW w:type="dxa" w:w="1224"/>
            <w:tcBorders>
              <w:top w:val="single" w:color="CCCCCC" w:sz="1"/>
              <w:left w:val="single" w:color="CCCCCC" w:sz="1"/>
              <w:bottom w:val="single" w:color="CCCCCC" w:sz="1"/>
              <w:right w:val="single" w:color="CCCCCC" w:sz="1"/>
            </w:tcBorders>
            <w:shd w:fill="FFFFFF" w:val="clear" w:color="auto"/>
          </w:tcPr>
          <w:p>
            <w:r>
              <w:rPr>
                <w:b w:val="0"/>
                <w:i w:val="0"/>
                <w:sz w:val="18"/>
              </w:rPr>
              <w:t>48 hours</w:t>
            </w:r>
          </w:p>
        </w:tc>
        <w:tc>
          <w:tcPr>
            <w:tcW w:type="dxa" w:w="1224"/>
            <w:tcBorders>
              <w:top w:val="single" w:color="CCCCCC" w:sz="1"/>
              <w:left w:val="single" w:color="CCCCCC" w:sz="1"/>
              <w:bottom w:val="single" w:color="CCCCCC" w:sz="1"/>
              <w:right w:val="single" w:color="CCCCCC" w:sz="1"/>
            </w:tcBorders>
            <w:shd w:fill="FFFFFF" w:val="clear" w:color="auto"/>
          </w:tcPr>
          <w:p>
            <w:r>
              <w:rPr>
                <w:b w:val="0"/>
                <w:i w:val="0"/>
                <w:sz w:val="18"/>
              </w:rPr>
              <w:t>7 days</w:t>
            </w:r>
          </w:p>
        </w:tc>
        <w:tc>
          <w:tcPr>
            <w:tcW w:type="dxa" w:w="1224"/>
            <w:tcBorders>
              <w:top w:val="single" w:color="CCCCCC" w:sz="1"/>
              <w:left w:val="single" w:color="CCCCCC" w:sz="1"/>
              <w:bottom w:val="single" w:color="CCCCCC" w:sz="1"/>
              <w:right w:val="single" w:color="CCCCCC" w:sz="1"/>
            </w:tcBorders>
            <w:shd w:fill="FFFFFF" w:val="clear" w:color="auto"/>
          </w:tcPr>
          <w:p>
            <w:r>
              <w:rPr>
                <w:b w:val="0"/>
                <w:i w:val="0"/>
                <w:sz w:val="18"/>
              </w:rPr>
              <w:t>14 days</w:t>
            </w:r>
          </w:p>
        </w:tc>
        <w:tc>
          <w:tcPr>
            <w:tcW w:type="dxa" w:w="1224"/>
            <w:tcBorders>
              <w:top w:val="single" w:color="CCCCCC" w:sz="1"/>
              <w:left w:val="single" w:color="CCCCCC" w:sz="1"/>
              <w:bottom w:val="single" w:color="CCCCCC" w:sz="1"/>
              <w:right w:val="single" w:color="CCCCCC" w:sz="1"/>
            </w:tcBorders>
            <w:shd w:fill="FFFFFF" w:val="clear" w:color="auto"/>
          </w:tcPr>
          <w:p>
            <w:r>
              <w:rPr>
                <w:b w:val="0"/>
                <w:i w:val="0"/>
                <w:sz w:val="18"/>
              </w:rPr>
              <w:t>60 days</w:t>
            </w:r>
          </w:p>
        </w:tc>
        <w:tc>
          <w:tcPr>
            <w:tcW w:type="dxa" w:w="3168"/>
            <w:tcBorders>
              <w:top w:val="single" w:color="CCCCCC" w:sz="1"/>
              <w:left w:val="single" w:color="CCCCCC" w:sz="1"/>
              <w:bottom w:val="single" w:color="CCCCCC" w:sz="1"/>
              <w:right w:val="single" w:color="CCCCCC" w:sz="1"/>
            </w:tcBorders>
            <w:shd w:fill="FFFFFF" w:val="clear" w:color="auto"/>
          </w:tcPr>
          <w:p>
            <w:r>
              <w:rPr>
                <w:b w:val="0"/>
                <w:i w:val="0"/>
                <w:sz w:val="18"/>
              </w:rPr>
              <w:t>1 hour / 2 business days</w:t>
            </w:r>
          </w:p>
        </w:tc>
      </w:tr>
      <w:tr>
        <w:tc>
          <w:tcPr>
            <w:tcW w:type="dxa" w:w="1584"/>
            <w:tcBorders>
              <w:top w:val="single" w:color="CCCCCC" w:sz="1"/>
              <w:left w:val="single" w:color="CCCCCC" w:sz="1"/>
              <w:bottom w:val="single" w:color="CCCCCC" w:sz="1"/>
              <w:right w:val="single" w:color="CCCCCC" w:sz="1"/>
            </w:tcBorders>
            <w:shd w:val="clear" w:color="auto" w:fill="F2F2F2"/>
          </w:tcPr>
          <w:p>
            <w:r>
              <w:rPr>
                <w:b/>
                <w:i w:val="0"/>
                <w:sz w:val="18"/>
              </w:rPr>
              <w:t>Premium</w:t>
            </w:r>
          </w:p>
        </w:tc>
        <w:tc>
          <w:tcPr>
            <w:tcW w:type="dxa" w:w="1224"/>
            <w:tcBorders>
              <w:top w:val="single" w:color="CCCCCC" w:sz="1"/>
              <w:left w:val="single" w:color="CCCCCC" w:sz="1"/>
              <w:bottom w:val="single" w:color="CCCCCC" w:sz="1"/>
              <w:right w:val="single" w:color="CCCCCC" w:sz="1"/>
            </w:tcBorders>
            <w:shd w:fill="F2F2F2" w:val="clear" w:color="auto"/>
          </w:tcPr>
          <w:p>
            <w:r>
              <w:rPr>
                <w:b w:val="0"/>
                <w:i w:val="0"/>
                <w:sz w:val="18"/>
              </w:rPr>
              <w:t>24 hours</w:t>
            </w:r>
          </w:p>
        </w:tc>
        <w:tc>
          <w:tcPr>
            <w:tcW w:type="dxa" w:w="1224"/>
            <w:tcBorders>
              <w:top w:val="single" w:color="CCCCCC" w:sz="1"/>
              <w:left w:val="single" w:color="CCCCCC" w:sz="1"/>
              <w:bottom w:val="single" w:color="CCCCCC" w:sz="1"/>
              <w:right w:val="single" w:color="CCCCCC" w:sz="1"/>
            </w:tcBorders>
            <w:shd w:fill="F2F2F2" w:val="clear" w:color="auto"/>
          </w:tcPr>
          <w:p>
            <w:r>
              <w:rPr>
                <w:b w:val="0"/>
                <w:i w:val="0"/>
                <w:sz w:val="18"/>
              </w:rPr>
              <w:t>48 hours</w:t>
            </w:r>
          </w:p>
        </w:tc>
        <w:tc>
          <w:tcPr>
            <w:tcW w:type="dxa" w:w="1224"/>
            <w:tcBorders>
              <w:top w:val="single" w:color="CCCCCC" w:sz="1"/>
              <w:left w:val="single" w:color="CCCCCC" w:sz="1"/>
              <w:bottom w:val="single" w:color="CCCCCC" w:sz="1"/>
              <w:right w:val="single" w:color="CCCCCC" w:sz="1"/>
            </w:tcBorders>
            <w:shd w:fill="F2F2F2" w:val="clear" w:color="auto"/>
          </w:tcPr>
          <w:p>
            <w:r>
              <w:rPr>
                <w:b w:val="0"/>
                <w:i w:val="0"/>
                <w:sz w:val="18"/>
              </w:rPr>
              <w:t>7 days</w:t>
            </w:r>
          </w:p>
        </w:tc>
        <w:tc>
          <w:tcPr>
            <w:tcW w:type="dxa" w:w="1224"/>
            <w:tcBorders>
              <w:top w:val="single" w:color="CCCCCC" w:sz="1"/>
              <w:left w:val="single" w:color="CCCCCC" w:sz="1"/>
              <w:bottom w:val="single" w:color="CCCCCC" w:sz="1"/>
              <w:right w:val="single" w:color="CCCCCC" w:sz="1"/>
            </w:tcBorders>
            <w:shd w:fill="F2F2F2" w:val="clear" w:color="auto"/>
          </w:tcPr>
          <w:p>
            <w:r>
              <w:rPr>
                <w:b w:val="0"/>
                <w:i w:val="0"/>
                <w:sz w:val="18"/>
              </w:rPr>
              <w:t>30 days</w:t>
            </w:r>
          </w:p>
        </w:tc>
        <w:tc>
          <w:tcPr>
            <w:tcW w:type="dxa" w:w="3168"/>
            <w:tcBorders>
              <w:top w:val="single" w:color="CCCCCC" w:sz="1"/>
              <w:left w:val="single" w:color="CCCCCC" w:sz="1"/>
              <w:bottom w:val="single" w:color="CCCCCC" w:sz="1"/>
              <w:right w:val="single" w:color="CCCCCC" w:sz="1"/>
            </w:tcBorders>
            <w:shd w:fill="F2F2F2" w:val="clear" w:color="auto"/>
          </w:tcPr>
          <w:p>
            <w:r>
              <w:rPr>
                <w:b w:val="0"/>
                <w:i w:val="0"/>
                <w:sz w:val="18"/>
              </w:rPr>
              <w:t>30 minutes / 4 hours</w:t>
            </w:r>
          </w:p>
        </w:tc>
      </w:tr>
    </w:tbl>
    <w:p/>
    <w:p>
      <w:pPr>
        <w:spacing w:before="240"/>
        <w:shd w:val="clear" w:color="auto" w:fill="0077CC"/>
      </w:pPr>
      <w:r>
        <w:rPr>
          <w:b/>
          <w:color w:val="FFFFFF"/>
          <w:sz w:val="20"/>
        </w:rPr>
        <w:t xml:space="preserve">  3. Per-Service SLA Commitments</w:t>
      </w:r>
    </w:p>
    <w:p>
      <w:r>
        <w:rPr>
          <w:b w:val="0"/>
          <w:i w:val="0"/>
          <w:sz w:val="18"/>
        </w:rPr>
        <w:t>The table below shows each in-scope service, its agreed patch cadence, SLA tier, and the resulting patch completion SLAs.</w:t>
      </w:r>
    </w:p>
    <w:p/>
    <w:tbl>
      <w:tblPr>
        <w:tblStyle w:val="TableGrid"/>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2160"/>
            <w:tcBorders>
              <w:top w:val="single" w:color="CCCCCC" w:sz="1"/>
              <w:left w:val="single" w:color="CCCCCC" w:sz="1"/>
              <w:bottom w:val="single" w:color="CCCCCC" w:sz="1"/>
              <w:right w:val="single" w:color="CCCCCC" w:sz="1"/>
            </w:tcBorders>
            <w:shd w:val="clear" w:color="auto" w:fill="1F4E79"/>
          </w:tcPr>
          <w:p>
            <w:r>
              <w:rPr>
                <w:b/>
                <w:i w:val="0"/>
                <w:color w:val="FFFFFF"/>
                <w:sz w:val="16"/>
                <w:rFonts w:ascii="Arial" w:hAnsi="Arial" w:cs="Arial" w:eastAsia="Arial"/>
              </w:rPr>
              <w:t>Service</w:t>
            </w:r>
          </w:p>
        </w:tc>
        <w:tc>
          <w:tcPr>
            <w:tcW w:type="dxa" w:w="936"/>
            <w:tcBorders>
              <w:top w:val="single" w:color="CCCCCC" w:sz="1"/>
              <w:left w:val="single" w:color="CCCCCC" w:sz="1"/>
              <w:bottom w:val="single" w:color="CCCCCC" w:sz="1"/>
              <w:right w:val="single" w:color="CCCCCC" w:sz="1"/>
            </w:tcBorders>
            <w:shd w:val="clear" w:color="auto" w:fill="1F4E79"/>
          </w:tcPr>
          <w:p>
            <w:r>
              <w:rPr>
                <w:b/>
                <w:i w:val="0"/>
                <w:color w:val="FFFFFF"/>
                <w:sz w:val="16"/>
                <w:rFonts w:ascii="Arial" w:hAnsi="Arial" w:cs="Arial" w:eastAsia="Arial"/>
              </w:rPr>
              <w:t>In Scope</w:t>
            </w:r>
          </w:p>
        </w:tc>
        <w:tc>
          <w:tcPr>
            <w:tcW w:type="dxa" w:w="1440"/>
            <w:tcBorders>
              <w:top w:val="single" w:color="CCCCCC" w:sz="1"/>
              <w:left w:val="single" w:color="CCCCCC" w:sz="1"/>
              <w:bottom w:val="single" w:color="CCCCCC" w:sz="1"/>
              <w:right w:val="single" w:color="CCCCCC" w:sz="1"/>
            </w:tcBorders>
            <w:shd w:val="clear" w:color="auto" w:fill="1F4E79"/>
          </w:tcPr>
          <w:p>
            <w:r>
              <w:rPr>
                <w:b/>
                <w:i w:val="0"/>
                <w:color w:val="FFFFFF"/>
                <w:sz w:val="16"/>
                <w:rFonts w:ascii="Arial" w:hAnsi="Arial" w:cs="Arial" w:eastAsia="Arial"/>
              </w:rPr>
              <w:t>Patch Cadence</w:t>
            </w:r>
          </w:p>
        </w:tc>
        <w:tc>
          <w:tcPr>
            <w:tcW w:type="dxa" w:w="1080"/>
            <w:tcBorders>
              <w:top w:val="single" w:color="CCCCCC" w:sz="1"/>
              <w:left w:val="single" w:color="CCCCCC" w:sz="1"/>
              <w:bottom w:val="single" w:color="CCCCCC" w:sz="1"/>
              <w:right w:val="single" w:color="CCCCCC" w:sz="1"/>
            </w:tcBorders>
            <w:shd w:val="clear" w:color="auto" w:fill="1F4E79"/>
          </w:tcPr>
          <w:p>
            <w:r>
              <w:rPr>
                <w:b/>
                <w:i w:val="0"/>
                <w:color w:val="FFFFFF"/>
                <w:sz w:val="16"/>
                <w:rFonts w:ascii="Arial" w:hAnsi="Arial" w:cs="Arial" w:eastAsia="Arial"/>
              </w:rPr>
              <w:t>SLA Tier</w:t>
            </w:r>
          </w:p>
        </w:tc>
        <w:tc>
          <w:tcPr>
            <w:tcW w:type="dxa" w:w="1080"/>
            <w:tcBorders>
              <w:top w:val="single" w:color="CCCCCC" w:sz="1"/>
              <w:left w:val="single" w:color="CCCCCC" w:sz="1"/>
              <w:bottom w:val="single" w:color="CCCCCC" w:sz="1"/>
              <w:right w:val="single" w:color="CCCCCC" w:sz="1"/>
            </w:tcBorders>
            <w:shd w:val="clear" w:color="auto" w:fill="1F4E79"/>
          </w:tcPr>
          <w:p>
            <w:r>
              <w:rPr>
                <w:b/>
                <w:i w:val="0"/>
                <w:color w:val="FFFFFF"/>
                <w:sz w:val="16"/>
                <w:rFonts w:ascii="Arial" w:hAnsi="Arial" w:cs="Arial" w:eastAsia="Arial"/>
              </w:rPr>
              <w:t>Critical</w:t>
            </w:r>
          </w:p>
        </w:tc>
        <w:tc>
          <w:tcPr>
            <w:tcW w:type="dxa" w:w="936"/>
            <w:tcBorders>
              <w:top w:val="single" w:color="CCCCCC" w:sz="1"/>
              <w:left w:val="single" w:color="CCCCCC" w:sz="1"/>
              <w:bottom w:val="single" w:color="CCCCCC" w:sz="1"/>
              <w:right w:val="single" w:color="CCCCCC" w:sz="1"/>
            </w:tcBorders>
            <w:shd w:val="clear" w:color="auto" w:fill="1F4E79"/>
          </w:tcPr>
          <w:p>
            <w:r>
              <w:rPr>
                <w:b/>
                <w:i w:val="0"/>
                <w:color w:val="FFFFFF"/>
                <w:sz w:val="16"/>
                <w:rFonts w:ascii="Arial" w:hAnsi="Arial" w:cs="Arial" w:eastAsia="Arial"/>
              </w:rPr>
              <w:t>High</w:t>
            </w:r>
          </w:p>
        </w:tc>
        <w:tc>
          <w:tcPr>
            <w:tcW w:type="dxa" w:w="1080"/>
            <w:tcBorders>
              <w:top w:val="single" w:color="CCCCCC" w:sz="1"/>
              <w:left w:val="single" w:color="CCCCCC" w:sz="1"/>
              <w:bottom w:val="single" w:color="CCCCCC" w:sz="1"/>
              <w:right w:val="single" w:color="CCCCCC" w:sz="1"/>
            </w:tcBorders>
            <w:shd w:val="clear" w:color="auto" w:fill="1F4E79"/>
          </w:tcPr>
          <w:p>
            <w:r>
              <w:rPr>
                <w:b/>
                <w:i w:val="0"/>
                <w:color w:val="FFFFFF"/>
                <w:sz w:val="16"/>
                <w:rFonts w:ascii="Arial" w:hAnsi="Arial" w:cs="Arial" w:eastAsia="Arial"/>
              </w:rPr>
              <w:t>Medium</w:t>
            </w:r>
          </w:p>
        </w:tc>
        <w:tc>
          <w:tcPr>
            <w:tcW w:type="dxa" w:w="936"/>
            <w:tcBorders>
              <w:top w:val="single" w:color="CCCCCC" w:sz="1"/>
              <w:left w:val="single" w:color="CCCCCC" w:sz="1"/>
              <w:bottom w:val="single" w:color="CCCCCC" w:sz="1"/>
              <w:right w:val="single" w:color="CCCCCC" w:sz="1"/>
            </w:tcBorders>
            <w:shd w:val="clear" w:color="auto" w:fill="1F4E79"/>
          </w:tcPr>
          <w:p>
            <w:r>
              <w:rPr>
                <w:b/>
                <w:i w:val="0"/>
                <w:color w:val="FFFFFF"/>
                <w:sz w:val="16"/>
                <w:rFonts w:ascii="Arial" w:hAnsi="Arial" w:cs="Arial" w:eastAsia="Arial"/>
              </w:rPr>
              <w:t>Low</w:t>
            </w:r>
          </w:p>
        </w:tc>
        <w:tc>
          <w:tcPr>
            <w:tcW w:type="dxa" w:w="1872"/>
            <w:tcBorders>
              <w:top w:val="single" w:color="CCCCCC" w:sz="1"/>
              <w:left w:val="single" w:color="CCCCCC" w:sz="1"/>
              <w:bottom w:val="single" w:color="CCCCCC" w:sz="1"/>
              <w:right w:val="single" w:color="CCCCCC" w:sz="1"/>
            </w:tcBorders>
            <w:shd w:val="clear" w:color="auto" w:fill="1F4E79"/>
          </w:tcPr>
          <w:p>
            <w:r>
              <w:rPr>
                <w:b/>
                <w:i w:val="0"/>
                <w:color w:val="FFFFFF"/>
                <w:sz w:val="16"/>
                <w:rFonts w:ascii="Arial" w:hAnsi="Arial" w:cs="Arial" w:eastAsia="Arial"/>
              </w:rPr>
              <w:t>Maintenance Window</w:t>
            </w:r>
          </w:p>
        </w:tc>
      </w:tr>
      <w:tr>
        <w:tc>
          <w:tcPr>
            <w:tcW w:type="dxa" w:w="2160"/>
            <w:tcBorders>
              <w:top w:val="single" w:color="CCCCCC" w:sz="1"/>
              <w:left w:val="single" w:color="CCCCCC" w:sz="1"/>
              <w:bottom w:val="single" w:color="CCCCCC" w:sz="1"/>
              <w:right w:val="single" w:color="CCCCCC" w:sz="1"/>
            </w:tcBorders>
            <w:shd w:val="clear" w:color="auto" w:fill="F2F2F2"/>
          </w:tcPr>
          <w:p>
            <w:r>
              <w:rPr>
                <w:b/>
                <w:i w:val="0"/>
                <w:sz w:val="16"/>
              </w:rPr>
              <w:t>VMware ESXi</w:t>
            </w:r>
          </w:p>
        </w:tc>
        <w:tc>
          <w:tcPr>
            <w:tcW w:type="dxa" w:w="936"/>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Yes</w:t>
            </w:r>
          </w:p>
        </w:tc>
        <w:tc>
          <w:tcPr>
            <w:tcW w:type="dxa" w:w="1440"/>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Quarterly</w:t>
            </w:r>
          </w:p>
        </w:tc>
        <w:tc>
          <w:tcPr>
            <w:tcW w:type="dxa" w:w="1080"/>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Standard</w:t>
            </w:r>
          </w:p>
        </w:tc>
        <w:tc>
          <w:tcPr>
            <w:tcW w:type="dxa" w:w="1080"/>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72 hours</w:t>
            </w:r>
          </w:p>
        </w:tc>
        <w:tc>
          <w:tcPr>
            <w:tcW w:type="dxa" w:w="936"/>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14 days</w:t>
            </w:r>
          </w:p>
        </w:tc>
        <w:tc>
          <w:tcPr>
            <w:tcW w:type="dxa" w:w="1080"/>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30 days</w:t>
            </w:r>
          </w:p>
        </w:tc>
        <w:tc>
          <w:tcPr>
            <w:tcW w:type="dxa" w:w="936"/>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90 days</w:t>
            </w:r>
          </w:p>
        </w:tc>
        <w:tc>
          <w:tcPr>
            <w:tcW w:type="dxa" w:w="1872"/>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Saturday 02:00 AM – 06:00 AM</w:t>
            </w:r>
          </w:p>
        </w:tc>
      </w:tr>
      <w:tr>
        <w:tc>
          <w:tcPr>
            <w:tcW w:type="dxa" w:w="2160"/>
            <w:tcBorders>
              <w:top w:val="single" w:color="CCCCCC" w:sz="1"/>
              <w:left w:val="single" w:color="CCCCCC" w:sz="1"/>
              <w:bottom w:val="single" w:color="CCCCCC" w:sz="1"/>
              <w:right w:val="single" w:color="CCCCCC" w:sz="1"/>
            </w:tcBorders>
            <w:shd w:val="clear" w:color="auto" w:fill="FFFFFF"/>
          </w:tcPr>
          <w:p>
            <w:r>
              <w:rPr>
                <w:b/>
                <w:i w:val="0"/>
                <w:sz w:val="16"/>
              </w:rPr>
              <w:t>Firewall</w:t>
            </w:r>
          </w:p>
        </w:tc>
        <w:tc>
          <w:tcPr>
            <w:tcW w:type="dxa" w:w="936"/>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Yes</w:t>
            </w:r>
          </w:p>
        </w:tc>
        <w:tc>
          <w:tcPr>
            <w:tcW w:type="dxa" w:w="1440"/>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Bi-Annual</w:t>
            </w:r>
          </w:p>
        </w:tc>
        <w:tc>
          <w:tcPr>
            <w:tcW w:type="dxa" w:w="1080"/>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Standard</w:t>
            </w:r>
          </w:p>
        </w:tc>
        <w:tc>
          <w:tcPr>
            <w:tcW w:type="dxa" w:w="1080"/>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72 hours</w:t>
            </w:r>
          </w:p>
        </w:tc>
        <w:tc>
          <w:tcPr>
            <w:tcW w:type="dxa" w:w="936"/>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14 days</w:t>
            </w:r>
          </w:p>
        </w:tc>
        <w:tc>
          <w:tcPr>
            <w:tcW w:type="dxa" w:w="1080"/>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30 days</w:t>
            </w:r>
          </w:p>
        </w:tc>
        <w:tc>
          <w:tcPr>
            <w:tcW w:type="dxa" w:w="936"/>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90 days</w:t>
            </w:r>
          </w:p>
        </w:tc>
        <w:tc>
          <w:tcPr>
            <w:tcW w:type="dxa" w:w="1872"/>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Saturday 02:00 AM – 06:00 AM</w:t>
            </w:r>
          </w:p>
        </w:tc>
      </w:tr>
      <w:tr>
        <w:tc>
          <w:tcPr>
            <w:tcW w:type="dxa" w:w="2160"/>
            <w:tcBorders>
              <w:top w:val="single" w:color="CCCCCC" w:sz="1"/>
              <w:left w:val="single" w:color="CCCCCC" w:sz="1"/>
              <w:bottom w:val="single" w:color="CCCCCC" w:sz="1"/>
              <w:right w:val="single" w:color="CCCCCC" w:sz="1"/>
            </w:tcBorders>
            <w:shd w:val="clear" w:color="auto" w:fill="F2F2F2"/>
          </w:tcPr>
          <w:p>
            <w:r>
              <w:rPr>
                <w:b/>
                <w:i w:val="0"/>
                <w:sz w:val="16"/>
              </w:rPr>
              <w:t>SAN / Storage</w:t>
            </w:r>
          </w:p>
        </w:tc>
        <w:tc>
          <w:tcPr>
            <w:tcW w:type="dxa" w:w="936"/>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Yes</w:t>
            </w:r>
          </w:p>
        </w:tc>
        <w:tc>
          <w:tcPr>
            <w:tcW w:type="dxa" w:w="1440"/>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Bi-Annual</w:t>
            </w:r>
          </w:p>
        </w:tc>
        <w:tc>
          <w:tcPr>
            <w:tcW w:type="dxa" w:w="1080"/>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Standard</w:t>
            </w:r>
          </w:p>
        </w:tc>
        <w:tc>
          <w:tcPr>
            <w:tcW w:type="dxa" w:w="1080"/>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72 hours</w:t>
            </w:r>
          </w:p>
        </w:tc>
        <w:tc>
          <w:tcPr>
            <w:tcW w:type="dxa" w:w="936"/>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14 days</w:t>
            </w:r>
          </w:p>
        </w:tc>
        <w:tc>
          <w:tcPr>
            <w:tcW w:type="dxa" w:w="1080"/>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30 days</w:t>
            </w:r>
          </w:p>
        </w:tc>
        <w:tc>
          <w:tcPr>
            <w:tcW w:type="dxa" w:w="936"/>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90 days</w:t>
            </w:r>
          </w:p>
        </w:tc>
        <w:tc>
          <w:tcPr>
            <w:tcW w:type="dxa" w:w="1872"/>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Saturday 02:00 AM – 06:00 AM</w:t>
            </w:r>
          </w:p>
        </w:tc>
      </w:tr>
      <w:tr>
        <w:tc>
          <w:tcPr>
            <w:tcW w:type="dxa" w:w="2160"/>
            <w:tcBorders>
              <w:top w:val="single" w:color="CCCCCC" w:sz="1"/>
              <w:left w:val="single" w:color="CCCCCC" w:sz="1"/>
              <w:bottom w:val="single" w:color="CCCCCC" w:sz="1"/>
              <w:right w:val="single" w:color="CCCCCC" w:sz="1"/>
            </w:tcBorders>
            <w:shd w:val="clear" w:color="auto" w:fill="FFFFFF"/>
          </w:tcPr>
          <w:p>
            <w:r>
              <w:rPr>
                <w:b/>
                <w:i w:val="0"/>
                <w:sz w:val="16"/>
              </w:rPr>
              <w:t>Network Switches</w:t>
            </w:r>
          </w:p>
        </w:tc>
        <w:tc>
          <w:tcPr>
            <w:tcW w:type="dxa" w:w="936"/>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Yes</w:t>
            </w:r>
          </w:p>
        </w:tc>
        <w:tc>
          <w:tcPr>
            <w:tcW w:type="dxa" w:w="1440"/>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Bi-Annual</w:t>
            </w:r>
          </w:p>
        </w:tc>
        <w:tc>
          <w:tcPr>
            <w:tcW w:type="dxa" w:w="1080"/>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Standard</w:t>
            </w:r>
          </w:p>
        </w:tc>
        <w:tc>
          <w:tcPr>
            <w:tcW w:type="dxa" w:w="1080"/>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72 hours</w:t>
            </w:r>
          </w:p>
        </w:tc>
        <w:tc>
          <w:tcPr>
            <w:tcW w:type="dxa" w:w="936"/>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14 days</w:t>
            </w:r>
          </w:p>
        </w:tc>
        <w:tc>
          <w:tcPr>
            <w:tcW w:type="dxa" w:w="1080"/>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30 days</w:t>
            </w:r>
          </w:p>
        </w:tc>
        <w:tc>
          <w:tcPr>
            <w:tcW w:type="dxa" w:w="936"/>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90 days</w:t>
            </w:r>
          </w:p>
        </w:tc>
        <w:tc>
          <w:tcPr>
            <w:tcW w:type="dxa" w:w="1872"/>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Saturday 02:00 AM – 06:00 AM</w:t>
            </w:r>
          </w:p>
        </w:tc>
      </w:tr>
      <w:tr>
        <w:tc>
          <w:tcPr>
            <w:tcW w:type="dxa" w:w="2160"/>
            <w:tcBorders>
              <w:top w:val="single" w:color="CCCCCC" w:sz="1"/>
              <w:left w:val="single" w:color="CCCCCC" w:sz="1"/>
              <w:bottom w:val="single" w:color="CCCCCC" w:sz="1"/>
              <w:right w:val="single" w:color="CCCCCC" w:sz="1"/>
            </w:tcBorders>
            <w:shd w:val="clear" w:color="auto" w:fill="F2F2F2"/>
          </w:tcPr>
          <w:p>
            <w:r>
              <w:rPr>
                <w:b/>
                <w:i w:val="0"/>
                <w:sz w:val="16"/>
              </w:rPr>
              <w:t>Access Points</w:t>
            </w:r>
          </w:p>
        </w:tc>
        <w:tc>
          <w:tcPr>
            <w:tcW w:type="dxa" w:w="936"/>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No</w:t>
            </w:r>
          </w:p>
        </w:tc>
        <w:tc>
          <w:tcPr>
            <w:tcW w:type="dxa" w:w="1440"/>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Bi-Annual</w:t>
            </w:r>
          </w:p>
        </w:tc>
        <w:tc>
          <w:tcPr>
            <w:tcW w:type="dxa" w:w="1080"/>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Standard</w:t>
            </w:r>
          </w:p>
        </w:tc>
        <w:tc>
          <w:tcPr>
            <w:tcW w:type="dxa" w:w="1080"/>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72 hours</w:t>
            </w:r>
          </w:p>
        </w:tc>
        <w:tc>
          <w:tcPr>
            <w:tcW w:type="dxa" w:w="936"/>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14 days</w:t>
            </w:r>
          </w:p>
        </w:tc>
        <w:tc>
          <w:tcPr>
            <w:tcW w:type="dxa" w:w="1080"/>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30 days</w:t>
            </w:r>
          </w:p>
        </w:tc>
        <w:tc>
          <w:tcPr>
            <w:tcW w:type="dxa" w:w="936"/>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90 days</w:t>
            </w:r>
          </w:p>
        </w:tc>
        <w:tc>
          <w:tcPr>
            <w:tcW w:type="dxa" w:w="1872"/>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Sun 11:00 PM – 02:00 AM</w:t>
            </w:r>
          </w:p>
        </w:tc>
      </w:tr>
      <w:tr>
        <w:tc>
          <w:tcPr>
            <w:tcW w:type="dxa" w:w="2160"/>
            <w:tcBorders>
              <w:top w:val="single" w:color="CCCCCC" w:sz="1"/>
              <w:left w:val="single" w:color="CCCCCC" w:sz="1"/>
              <w:bottom w:val="single" w:color="CCCCCC" w:sz="1"/>
              <w:right w:val="single" w:color="CCCCCC" w:sz="1"/>
            </w:tcBorders>
            <w:shd w:val="clear" w:color="auto" w:fill="FFFFFF"/>
          </w:tcPr>
          <w:p>
            <w:r>
              <w:rPr>
                <w:b/>
                <w:i w:val="0"/>
                <w:sz w:val="16"/>
              </w:rPr>
              <w:t>Exchange Server</w:t>
            </w:r>
          </w:p>
        </w:tc>
        <w:tc>
          <w:tcPr>
            <w:tcW w:type="dxa" w:w="936"/>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No</w:t>
            </w:r>
          </w:p>
        </w:tc>
        <w:tc>
          <w:tcPr>
            <w:tcW w:type="dxa" w:w="1440"/>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Monthly</w:t>
            </w:r>
          </w:p>
        </w:tc>
        <w:tc>
          <w:tcPr>
            <w:tcW w:type="dxa" w:w="1080"/>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Standard</w:t>
            </w:r>
          </w:p>
        </w:tc>
        <w:tc>
          <w:tcPr>
            <w:tcW w:type="dxa" w:w="1080"/>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72 hours</w:t>
            </w:r>
          </w:p>
        </w:tc>
        <w:tc>
          <w:tcPr>
            <w:tcW w:type="dxa" w:w="936"/>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14 days</w:t>
            </w:r>
          </w:p>
        </w:tc>
        <w:tc>
          <w:tcPr>
            <w:tcW w:type="dxa" w:w="1080"/>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30 days</w:t>
            </w:r>
          </w:p>
        </w:tc>
        <w:tc>
          <w:tcPr>
            <w:tcW w:type="dxa" w:w="936"/>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90 days</w:t>
            </w:r>
          </w:p>
        </w:tc>
        <w:tc>
          <w:tcPr>
            <w:tcW w:type="dxa" w:w="1872"/>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Sat 10:00 PM – 02:00 AM</w:t>
            </w:r>
          </w:p>
        </w:tc>
      </w:tr>
      <w:tr>
        <w:tc>
          <w:tcPr>
            <w:tcW w:type="dxa" w:w="2160"/>
            <w:tcBorders>
              <w:top w:val="single" w:color="CCCCCC" w:sz="1"/>
              <w:left w:val="single" w:color="CCCCCC" w:sz="1"/>
              <w:bottom w:val="single" w:color="CCCCCC" w:sz="1"/>
              <w:right w:val="single" w:color="CCCCCC" w:sz="1"/>
            </w:tcBorders>
            <w:shd w:val="clear" w:color="auto" w:fill="F2F2F2"/>
          </w:tcPr>
          <w:p>
            <w:r>
              <w:rPr>
                <w:b/>
                <w:i w:val="0"/>
                <w:sz w:val="16"/>
              </w:rPr>
              <w:t>SQL Server</w:t>
            </w:r>
          </w:p>
        </w:tc>
        <w:tc>
          <w:tcPr>
            <w:tcW w:type="dxa" w:w="936"/>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No</w:t>
            </w:r>
          </w:p>
        </w:tc>
        <w:tc>
          <w:tcPr>
            <w:tcW w:type="dxa" w:w="1440"/>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Monthly</w:t>
            </w:r>
          </w:p>
        </w:tc>
        <w:tc>
          <w:tcPr>
            <w:tcW w:type="dxa" w:w="1080"/>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Standard</w:t>
            </w:r>
          </w:p>
        </w:tc>
        <w:tc>
          <w:tcPr>
            <w:tcW w:type="dxa" w:w="1080"/>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72 hours</w:t>
            </w:r>
          </w:p>
        </w:tc>
        <w:tc>
          <w:tcPr>
            <w:tcW w:type="dxa" w:w="936"/>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14 days</w:t>
            </w:r>
          </w:p>
        </w:tc>
        <w:tc>
          <w:tcPr>
            <w:tcW w:type="dxa" w:w="1080"/>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30 days</w:t>
            </w:r>
          </w:p>
        </w:tc>
        <w:tc>
          <w:tcPr>
            <w:tcW w:type="dxa" w:w="936"/>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90 days</w:t>
            </w:r>
          </w:p>
        </w:tc>
        <w:tc>
          <w:tcPr>
            <w:tcW w:type="dxa" w:w="1872"/>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Sat 10:00 PM – 02:00 AM</w:t>
            </w:r>
          </w:p>
        </w:tc>
      </w:tr>
      <w:tr>
        <w:tc>
          <w:tcPr>
            <w:tcW w:type="dxa" w:w="2160"/>
            <w:tcBorders>
              <w:top w:val="single" w:color="CCCCCC" w:sz="1"/>
              <w:left w:val="single" w:color="CCCCCC" w:sz="1"/>
              <w:bottom w:val="single" w:color="CCCCCC" w:sz="1"/>
              <w:right w:val="single" w:color="CCCCCC" w:sz="1"/>
            </w:tcBorders>
            <w:shd w:val="clear" w:color="auto" w:fill="FFFFFF"/>
          </w:tcPr>
          <w:p>
            <w:r>
              <w:rPr>
                <w:b/>
                <w:i w:val="0"/>
                <w:sz w:val="16"/>
              </w:rPr>
              <w:t>Windows Server</w:t>
            </w:r>
          </w:p>
        </w:tc>
        <w:tc>
          <w:tcPr>
            <w:tcW w:type="dxa" w:w="936"/>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Yes</w:t>
            </w:r>
          </w:p>
        </w:tc>
        <w:tc>
          <w:tcPr>
            <w:tcW w:type="dxa" w:w="1440"/>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Monthly</w:t>
            </w:r>
          </w:p>
        </w:tc>
        <w:tc>
          <w:tcPr>
            <w:tcW w:type="dxa" w:w="1080"/>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Standard</w:t>
            </w:r>
          </w:p>
        </w:tc>
        <w:tc>
          <w:tcPr>
            <w:tcW w:type="dxa" w:w="1080"/>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72 hours</w:t>
            </w:r>
          </w:p>
        </w:tc>
        <w:tc>
          <w:tcPr>
            <w:tcW w:type="dxa" w:w="936"/>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14 days</w:t>
            </w:r>
          </w:p>
        </w:tc>
        <w:tc>
          <w:tcPr>
            <w:tcW w:type="dxa" w:w="1080"/>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30 days</w:t>
            </w:r>
          </w:p>
        </w:tc>
        <w:tc>
          <w:tcPr>
            <w:tcW w:type="dxa" w:w="936"/>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90 days</w:t>
            </w:r>
          </w:p>
        </w:tc>
        <w:tc>
          <w:tcPr>
            <w:tcW w:type="dxa" w:w="1872"/>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Saturday 02:00 AM – 06:00 AM</w:t>
            </w:r>
          </w:p>
        </w:tc>
      </w:tr>
      <w:tr>
        <w:tc>
          <w:tcPr>
            <w:tcW w:type="dxa" w:w="2160"/>
            <w:tcBorders>
              <w:top w:val="single" w:color="CCCCCC" w:sz="1"/>
              <w:left w:val="single" w:color="CCCCCC" w:sz="1"/>
              <w:bottom w:val="single" w:color="CCCCCC" w:sz="1"/>
              <w:right w:val="single" w:color="CCCCCC" w:sz="1"/>
            </w:tcBorders>
            <w:shd w:val="clear" w:color="auto" w:fill="F2F2F2"/>
          </w:tcPr>
          <w:p>
            <w:r>
              <w:rPr>
                <w:b/>
                <w:i w:val="0"/>
                <w:sz w:val="16"/>
              </w:rPr>
              <w:t>Windows Workstations</w:t>
            </w:r>
          </w:p>
        </w:tc>
        <w:tc>
          <w:tcPr>
            <w:tcW w:type="dxa" w:w="936"/>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Yes</w:t>
            </w:r>
          </w:p>
        </w:tc>
        <w:tc>
          <w:tcPr>
            <w:tcW w:type="dxa" w:w="1440"/>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Monthly</w:t>
            </w:r>
          </w:p>
        </w:tc>
        <w:tc>
          <w:tcPr>
            <w:tcW w:type="dxa" w:w="1080"/>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Standard</w:t>
            </w:r>
          </w:p>
        </w:tc>
        <w:tc>
          <w:tcPr>
            <w:tcW w:type="dxa" w:w="1080"/>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72 hours</w:t>
            </w:r>
          </w:p>
        </w:tc>
        <w:tc>
          <w:tcPr>
            <w:tcW w:type="dxa" w:w="936"/>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14 days</w:t>
            </w:r>
          </w:p>
        </w:tc>
        <w:tc>
          <w:tcPr>
            <w:tcW w:type="dxa" w:w="1080"/>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30 days</w:t>
            </w:r>
          </w:p>
        </w:tc>
        <w:tc>
          <w:tcPr>
            <w:tcW w:type="dxa" w:w="936"/>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90 days</w:t>
            </w:r>
          </w:p>
        </w:tc>
        <w:tc>
          <w:tcPr>
            <w:tcW w:type="dxa" w:w="1872"/>
            <w:tcBorders>
              <w:top w:val="single" w:color="CCCCCC" w:sz="1"/>
              <w:left w:val="single" w:color="CCCCCC" w:sz="1"/>
              <w:bottom w:val="single" w:color="CCCCCC" w:sz="1"/>
              <w:right w:val="single" w:color="CCCCCC" w:sz="1"/>
            </w:tcBorders>
            <w:shd w:fill="F2F2F2" w:val="clear" w:color="auto"/>
          </w:tcPr>
          <w:p>
            <w:r>
              <w:rPr>
                <w:b w:val="0"/>
                <w:i w:val="0"/>
                <w:sz w:val="16"/>
              </w:rPr>
            </w:r>
            <w:r>
              <w:rPr>
                <w:rFonts w:ascii="Arial" w:hAnsi="Arial"/>
                <w:sz w:val="16"/>
                <w:szCs w:val="16"/>
                <w:b/>
                <w:color w:val="333333"/>
              </w:rPr>
              <w:t>Saturday 02:00 AM – 06:00 AM</w:t>
            </w:r>
          </w:p>
        </w:tc>
      </w:tr>
      <w:tr>
        <w:tc>
          <w:tcPr>
            <w:tcW w:type="dxa" w:w="2160"/>
            <w:tcBorders>
              <w:top w:val="single" w:color="CCCCCC" w:sz="1"/>
              <w:left w:val="single" w:color="CCCCCC" w:sz="1"/>
              <w:bottom w:val="single" w:color="CCCCCC" w:sz="1"/>
              <w:right w:val="single" w:color="CCCCCC" w:sz="1"/>
            </w:tcBorders>
            <w:shd w:val="clear" w:color="auto" w:fill="FFFFFF"/>
          </w:tcPr>
          <w:p>
            <w:r>
              <w:rPr>
                <w:b/>
                <w:i w:val="0"/>
                <w:sz w:val="16"/>
              </w:rPr>
              <w:t>Hyper-V Servers</w:t>
            </w:r>
          </w:p>
        </w:tc>
        <w:tc>
          <w:tcPr>
            <w:tcW w:type="dxa" w:w="936"/>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Yes</w:t>
            </w:r>
          </w:p>
        </w:tc>
        <w:tc>
          <w:tcPr>
            <w:tcW w:type="dxa" w:w="1440"/>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Quarterly</w:t>
            </w:r>
          </w:p>
        </w:tc>
        <w:tc>
          <w:tcPr>
            <w:tcW w:type="dxa" w:w="1080"/>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Standard</w:t>
            </w:r>
          </w:p>
        </w:tc>
        <w:tc>
          <w:tcPr>
            <w:tcW w:type="dxa" w:w="1080"/>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72 hours</w:t>
            </w:r>
          </w:p>
        </w:tc>
        <w:tc>
          <w:tcPr>
            <w:tcW w:type="dxa" w:w="936"/>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14 days</w:t>
            </w:r>
          </w:p>
        </w:tc>
        <w:tc>
          <w:tcPr>
            <w:tcW w:type="dxa" w:w="1080"/>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30 days</w:t>
            </w:r>
          </w:p>
        </w:tc>
        <w:tc>
          <w:tcPr>
            <w:tcW w:type="dxa" w:w="936"/>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90 days</w:t>
            </w:r>
          </w:p>
        </w:tc>
        <w:tc>
          <w:tcPr>
            <w:tcW w:type="dxa" w:w="1872"/>
            <w:tcBorders>
              <w:top w:val="single" w:color="CCCCCC" w:sz="1"/>
              <w:left w:val="single" w:color="CCCCCC" w:sz="1"/>
              <w:bottom w:val="single" w:color="CCCCCC" w:sz="1"/>
              <w:right w:val="single" w:color="CCCCCC" w:sz="1"/>
            </w:tcBorders>
            <w:shd w:fill="FFFFFF" w:val="clear" w:color="auto"/>
          </w:tcPr>
          <w:p>
            <w:r>
              <w:rPr>
                <w:b w:val="0"/>
                <w:i w:val="0"/>
                <w:sz w:val="16"/>
              </w:rPr>
            </w:r>
            <w:r>
              <w:rPr>
                <w:rFonts w:ascii="Arial" w:hAnsi="Arial"/>
                <w:sz w:val="16"/>
                <w:szCs w:val="16"/>
                <w:b/>
                <w:color w:val="333333"/>
              </w:rPr>
              <w:t>Saturday 02:00 AM – 06:00 AM</w:t>
            </w:r>
          </w:p>
        </w:tc>
      </w:tr>
    </w:tbl>
    <w:p/>
    <w:p>
      <w:pPr>
        <w:spacing w:before="240"/>
        <w:shd w:val="clear" w:color="auto" w:fill="0077CC"/>
      </w:pPr>
      <w:r>
        <w:rPr>
          <w:b/>
          <w:color w:val="FFFFFF"/>
          <w:sz w:val="20"/>
        </w:rPr>
        <w:t xml:space="preserve">  4. Escalation Contacts</w:t>
      </w:r>
    </w:p>
    <w:p>
      <w:r>
        <w:rPr>
          <w:b w:val="0"/>
          <w:i w:val="0"/>
          <w:sz w:val="18"/>
        </w:rPr>
        <w:t>The following contacts apply for SLA escalations and emergency patch authorisation.</w:t>
      </w:r>
    </w:p>
    <w:p/>
    <w:tbl>
      <w:tblPr>
        <w:tblStyle w:val="TableGrid"/>
        <w:tblW w:type="auto" w:w="0"/>
        <w:tblLook w:firstColumn="1" w:firstRow="1" w:lastColumn="0" w:lastRow="0" w:noHBand="0" w:noVBand="1" w:val="04A0"/>
      </w:tblPr>
      <w:tblGrid>
        <w:gridCol w:w="2520"/>
        <w:gridCol w:w="2520"/>
        <w:gridCol w:w="2520"/>
        <w:gridCol w:w="2520"/>
      </w:tblGrid>
      <w:tr>
        <w:tc>
          <w:tcPr>
            <w:tcW w:type="dxa" w:w="2592"/>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Role</w:t>
            </w:r>
          </w:p>
        </w:tc>
        <w:tc>
          <w:tcPr>
            <w:tcW w:type="dxa" w:w="2448"/>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Name</w:t>
            </w:r>
          </w:p>
        </w:tc>
        <w:tc>
          <w:tcPr>
            <w:tcW w:type="dxa" w:w="3600"/>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Email</w:t>
            </w:r>
          </w:p>
        </w:tc>
        <w:tc>
          <w:tcPr>
            <w:tcW w:type="dxa" w:w="2160"/>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Phone</w:t>
            </w:r>
          </w:p>
        </w:tc>
      </w:tr>
      <w:tr>
        <w:tc>
          <w:tcPr>
            <w:tcW w:type="dxa" w:w="2592"/>
            <w:tcBorders>
              <w:top w:val="single" w:color="CCCCCC" w:sz="1"/>
              <w:left w:val="single" w:color="CCCCCC" w:sz="1"/>
              <w:bottom w:val="single" w:color="CCCCCC" w:sz="1"/>
              <w:right w:val="single" w:color="CCCCCC" w:sz="1"/>
            </w:tcBorders>
            <w:shd w:val="clear" w:color="auto" w:fill="F2F2F2"/>
          </w:tcPr>
          <w:p>
            <w:r>
              <w:rPr>
                <w:b/>
                <w:i w:val="0"/>
                <w:sz w:val="18"/>
              </w:rPr>
              <w:t>MSP Primary Contact</w:t>
            </w:r>
          </w:p>
        </w:tc>
        <w:tc>
          <w:tcPr>
            <w:tcW w:type="dxa" w:w="2448"/>
            <w:tcBorders>
              <w:top w:val="single" w:color="CCCCCC" w:sz="1"/>
              <w:left w:val="single" w:color="CCCCCC" w:sz="1"/>
              <w:bottom w:val="single" w:color="CCCCCC" w:sz="1"/>
              <w:right w:val="single" w:color="CCCCCC" w:sz="1"/>
            </w:tcBorders>
            <w:shd w:fill="F2F2F2" w:val="clear" w:color="auto"/>
          </w:tcPr>
          <w:p>
            <w:r>
              <w:rPr>
                <w:b w:val="0"/>
                <w:i w:val="0"/>
                <w:sz w:val="18"/>
              </w:rPr>
            </w:r>
          </w:p>
        </w:tc>
        <w:tc>
          <w:tcPr>
            <w:tcW w:type="dxa" w:w="3600"/>
            <w:tcBorders>
              <w:top w:val="single" w:color="CCCCCC" w:sz="1"/>
              <w:left w:val="single" w:color="CCCCCC" w:sz="1"/>
              <w:bottom w:val="single" w:color="CCCCCC" w:sz="1"/>
              <w:right w:val="single" w:color="CCCCCC" w:sz="1"/>
            </w:tcBorders>
            <w:shd w:fill="F2F2F2" w:val="clear" w:color="auto"/>
          </w:tcPr>
          <w:p>
            <w:r>
              <w:rPr>
                <w:b w:val="0"/>
                <w:i w:val="0"/>
                <w:sz w:val="18"/>
              </w:rPr>
              <w:t>[MSP Engineer Email]</w:t>
            </w:r>
          </w:p>
        </w:tc>
        <w:tc>
          <w:tcPr>
            <w:tcW w:type="dxa" w:w="2160"/>
            <w:tcBorders>
              <w:top w:val="single" w:color="CCCCCC" w:sz="1"/>
              <w:left w:val="single" w:color="CCCCCC" w:sz="1"/>
              <w:bottom w:val="single" w:color="CCCCCC" w:sz="1"/>
              <w:right w:val="single" w:color="CCCCCC" w:sz="1"/>
            </w:tcBorders>
            <w:shd w:fill="F2F2F2" w:val="clear" w:color="auto"/>
          </w:tcPr>
          <w:p>
            <w:r>
              <w:rPr>
                <w:b w:val="0"/>
                <w:i w:val="0"/>
                <w:sz w:val="18"/>
              </w:rPr>
              <w:t>[MSP Engineer Phone]</w:t>
            </w:r>
          </w:p>
        </w:tc>
      </w:tr>
      <w:tr>
        <w:tc>
          <w:tcPr>
            <w:tcW w:type="dxa" w:w="2592"/>
            <w:tcBorders>
              <w:top w:val="single" w:color="CCCCCC" w:sz="1"/>
              <w:left w:val="single" w:color="CCCCCC" w:sz="1"/>
              <w:bottom w:val="single" w:color="CCCCCC" w:sz="1"/>
              <w:right w:val="single" w:color="CCCCCC" w:sz="1"/>
            </w:tcBorders>
            <w:shd w:val="clear" w:color="auto" w:fill="FFFFFF"/>
          </w:tcPr>
          <w:p>
            <w:r>
              <w:rPr>
                <w:b/>
                <w:i w:val="0"/>
                <w:sz w:val="18"/>
              </w:rPr>
              <w:t>MSP Project Manager</w:t>
            </w:r>
          </w:p>
        </w:tc>
        <w:tc>
          <w:tcPr>
            <w:tcW w:type="dxa" w:w="2448"/>
            <w:tcBorders>
              <w:top w:val="single" w:color="CCCCCC" w:sz="1"/>
              <w:left w:val="single" w:color="CCCCCC" w:sz="1"/>
              <w:bottom w:val="single" w:color="CCCCCC" w:sz="1"/>
              <w:right w:val="single" w:color="CCCCCC" w:sz="1"/>
            </w:tcBorders>
            <w:shd w:fill="FFFFFF" w:val="clear" w:color="auto"/>
          </w:tcPr>
          <w:p>
            <w:r>
              <w:rPr>
                <w:b w:val="0"/>
                <w:i w:val="0"/>
                <w:sz w:val="18"/>
              </w:rPr>
            </w:r>
          </w:p>
        </w:tc>
        <w:tc>
          <w:tcPr>
            <w:tcW w:type="dxa" w:w="3600"/>
            <w:tcBorders>
              <w:top w:val="single" w:color="CCCCCC" w:sz="1"/>
              <w:left w:val="single" w:color="CCCCCC" w:sz="1"/>
              <w:bottom w:val="single" w:color="CCCCCC" w:sz="1"/>
              <w:right w:val="single" w:color="CCCCCC" w:sz="1"/>
            </w:tcBorders>
            <w:shd w:fill="FFFFFF" w:val="clear" w:color="auto"/>
          </w:tcPr>
          <w:p>
            <w:r>
              <w:rPr>
                <w:b w:val="0"/>
                <w:i w:val="0"/>
                <w:sz w:val="18"/>
              </w:rPr>
              <w:t>[MSP PM Email]</w:t>
            </w:r>
          </w:p>
        </w:tc>
        <w:tc>
          <w:tcPr>
            <w:tcW w:type="dxa" w:w="2160"/>
            <w:tcBorders>
              <w:top w:val="single" w:color="CCCCCC" w:sz="1"/>
              <w:left w:val="single" w:color="CCCCCC" w:sz="1"/>
              <w:bottom w:val="single" w:color="CCCCCC" w:sz="1"/>
              <w:right w:val="single" w:color="CCCCCC" w:sz="1"/>
            </w:tcBorders>
            <w:shd w:fill="FFFFFF" w:val="clear" w:color="auto"/>
          </w:tcPr>
          <w:p>
            <w:r>
              <w:rPr>
                <w:b w:val="0"/>
                <w:i w:val="0"/>
                <w:sz w:val="18"/>
              </w:rPr>
              <w:t>[MSP PM Phone]</w:t>
            </w:r>
          </w:p>
        </w:tc>
      </w:tr>
      <w:tr>
        <w:tc>
          <w:tcPr>
            <w:tcW w:type="dxa" w:w="2592"/>
            <w:tcBorders>
              <w:top w:val="single" w:color="CCCCCC" w:sz="1"/>
              <w:left w:val="single" w:color="CCCCCC" w:sz="1"/>
              <w:bottom w:val="single" w:color="CCCCCC" w:sz="1"/>
              <w:right w:val="single" w:color="CCCCCC" w:sz="1"/>
            </w:tcBorders>
            <w:shd w:val="clear" w:color="auto" w:fill="F2F2F2"/>
          </w:tcPr>
          <w:p>
            <w:r>
              <w:rPr>
                <w:b/>
                <w:i w:val="0"/>
                <w:sz w:val="18"/>
              </w:rPr>
              <w:t>Customer POC</w:t>
            </w:r>
          </w:p>
        </w:tc>
        <w:tc>
          <w:tcPr>
            <w:tcW w:type="dxa" w:w="2448"/>
            <w:tcBorders>
              <w:top w:val="single" w:color="CCCCCC" w:sz="1"/>
              <w:left w:val="single" w:color="CCCCCC" w:sz="1"/>
              <w:bottom w:val="single" w:color="CCCCCC" w:sz="1"/>
              <w:right w:val="single" w:color="CCCCCC" w:sz="1"/>
            </w:tcBorders>
            <w:shd w:fill="F2F2F2" w:val="clear" w:color="auto"/>
          </w:tcPr>
          <w:p>
            <w:r>
              <w:rPr>
                <w:b w:val="0"/>
                <w:i w:val="0"/>
                <w:sz w:val="18"/>
              </w:rPr>
              <w:t>John Doe</w:t>
            </w:r>
          </w:p>
        </w:tc>
        <w:tc>
          <w:tcPr>
            <w:tcW w:type="dxa" w:w="3600"/>
            <w:tcBorders>
              <w:top w:val="single" w:color="CCCCCC" w:sz="1"/>
              <w:left w:val="single" w:color="CCCCCC" w:sz="1"/>
              <w:bottom w:val="single" w:color="CCCCCC" w:sz="1"/>
              <w:right w:val="single" w:color="CCCCCC" w:sz="1"/>
            </w:tcBorders>
            <w:shd w:fill="F2F2F2" w:val="clear" w:color="auto"/>
          </w:tcPr>
          <w:p>
            <w:r>
              <w:rPr>
                <w:b w:val="0"/>
                <w:i w:val="0"/>
                <w:sz w:val="18"/>
              </w:rPr>
              <w:t>jdoe@testcustomer.com</w:t>
            </w:r>
          </w:p>
        </w:tc>
        <w:tc>
          <w:tcPr>
            <w:tcW w:type="dxa" w:w="2160"/>
            <w:tcBorders>
              <w:top w:val="single" w:color="CCCCCC" w:sz="1"/>
              <w:left w:val="single" w:color="CCCCCC" w:sz="1"/>
              <w:bottom w:val="single" w:color="CCCCCC" w:sz="1"/>
              <w:right w:val="single" w:color="CCCCCC" w:sz="1"/>
            </w:tcBorders>
            <w:shd w:fill="F2F2F2" w:val="clear" w:color="auto"/>
          </w:tcPr>
          <w:p>
            <w:r>
              <w:rPr>
                <w:b w:val="0"/>
                <w:i w:val="0"/>
                <w:sz w:val="18"/>
              </w:rPr>
              <w:t>+1 (555) 000-1234</w:t>
            </w:r>
          </w:p>
        </w:tc>
      </w:tr>
      <w:tr>
        <w:tc>
          <w:tcPr>
            <w:tcW w:type="dxa" w:w="2592"/>
            <w:tcBorders>
              <w:top w:val="single" w:color="CCCCCC" w:sz="1"/>
              <w:left w:val="single" w:color="CCCCCC" w:sz="1"/>
              <w:bottom w:val="single" w:color="CCCCCC" w:sz="1"/>
              <w:right w:val="single" w:color="CCCCCC" w:sz="1"/>
            </w:tcBorders>
            <w:shd w:val="clear" w:color="auto" w:fill="FFFFFF"/>
          </w:tcPr>
          <w:p>
            <w:r>
              <w:rPr>
                <w:b/>
                <w:i w:val="0"/>
                <w:sz w:val="18"/>
              </w:rPr>
              <w:t>Customer Alt. POC</w:t>
            </w:r>
          </w:p>
        </w:tc>
        <w:tc>
          <w:tcPr>
            <w:tcW w:type="dxa" w:w="2448"/>
            <w:tcBorders>
              <w:top w:val="single" w:color="CCCCCC" w:sz="1"/>
              <w:left w:val="single" w:color="CCCCCC" w:sz="1"/>
              <w:bottom w:val="single" w:color="CCCCCC" w:sz="1"/>
              <w:right w:val="single" w:color="CCCCCC" w:sz="1"/>
            </w:tcBorders>
            <w:shd w:fill="FFFFFF" w:val="clear" w:color="auto"/>
          </w:tcPr>
          <w:p>
            <w:r>
              <w:rPr>
                <w:b w:val="0"/>
                <w:i w:val="0"/>
                <w:sz w:val="18"/>
              </w:rPr>
              <w:t>[Customer Alt POC Name]</w:t>
            </w:r>
          </w:p>
        </w:tc>
        <w:tc>
          <w:tcPr>
            <w:tcW w:type="dxa" w:w="3600"/>
            <w:tcBorders>
              <w:top w:val="single" w:color="CCCCCC" w:sz="1"/>
              <w:left w:val="single" w:color="CCCCCC" w:sz="1"/>
              <w:bottom w:val="single" w:color="CCCCCC" w:sz="1"/>
              <w:right w:val="single" w:color="CCCCCC" w:sz="1"/>
            </w:tcBorders>
            <w:shd w:fill="FFFFFF" w:val="clear" w:color="auto"/>
          </w:tcPr>
          <w:p>
            <w:r>
              <w:rPr>
                <w:b w:val="0"/>
                <w:i w:val="0"/>
                <w:sz w:val="18"/>
              </w:rPr>
              <w:t>[Customer Alt POC Email]</w:t>
            </w:r>
          </w:p>
        </w:tc>
        <w:tc>
          <w:tcPr>
            <w:tcW w:type="dxa" w:w="2160"/>
            <w:tcBorders>
              <w:top w:val="single" w:color="CCCCCC" w:sz="1"/>
              <w:left w:val="single" w:color="CCCCCC" w:sz="1"/>
              <w:bottom w:val="single" w:color="CCCCCC" w:sz="1"/>
              <w:right w:val="single" w:color="CCCCCC" w:sz="1"/>
            </w:tcBorders>
            <w:shd w:fill="FFFFFF" w:val="clear" w:color="auto"/>
          </w:tcPr>
          <w:p>
            <w:r>
              <w:rPr>
                <w:b w:val="0"/>
                <w:i w:val="0"/>
                <w:sz w:val="18"/>
              </w:rPr>
              <w:t>[Customer Alt POC Phone]</w:t>
            </w:r>
          </w:p>
        </w:tc>
      </w:tr>
    </w:tbl>
    <w:p/>
    <w:p>
      <w:pPr>
        <w:spacing w:before="240"/>
        <w:shd w:val="clear" w:color="auto" w:fill="0077CC"/>
      </w:pPr>
      <w:r>
        <w:rPr>
          <w:b/>
          <w:color w:val="FFFFFF"/>
          <w:sz w:val="20"/>
        </w:rPr>
        <w:t xml:space="preserve">  5. SLA Breach Procedure</w:t>
      </w:r>
    </w:p>
    <w:p>
      <w:r>
        <w:rPr>
          <w:b w:val="0"/>
          <w:i w:val="0"/>
          <w:sz w:val="18"/>
        </w:rPr>
        <w:t>If a patch completion SLA is at risk of being breached, the MSP engineer must notify the Customer POC within the notification window defined in Section 3. The notification must include: (a) the affected system(s), (b) the reason for delay, (c) the revised estimated completion date, and (d) any interim mitigations applied.</w:t>
        <w:br/>
        <w:br/>
        <w:t>Repeated SLA breaches (3 or more within a rolling 12-month period for the same tier) will trigger a formal service review with the Customer POC and MSP account manager.</w:t>
      </w:r>
    </w:p>
    <w:p/>
    <w:p>
      <w:pPr>
        <w:spacing w:before="240"/>
        <w:shd w:val="clear" w:color="auto" w:fill="0077CC"/>
      </w:pPr>
      <w:r>
        <w:rPr>
          <w:b/>
          <w:color w:val="FFFFFF"/>
          <w:sz w:val="20"/>
        </w:rPr>
        <w:t xml:space="preserve">  6. Acknowledgement &amp; Sign-Off</w:t>
      </w:r>
    </w:p>
    <w:p>
      <w:r>
        <w:rPr>
          <w:b w:val="0"/>
          <w:i w:val="0"/>
          <w:sz w:val="18"/>
        </w:rPr>
        <w:t>By signing below, both parties acknowledge the SLA commitments and patch cadence described in this document.</w:t>
      </w:r>
    </w:p>
    <w:p/>
    <w:tbl>
      <w:tblPr>
        <w:tblStyle w:val="TableGrid"/>
        <w:tblW w:type="auto" w:w="0"/>
        <w:tblLook w:firstColumn="1" w:firstRow="1" w:lastColumn="0" w:lastRow="0" w:noHBand="0" w:noVBand="1" w:val="04A0"/>
      </w:tblPr>
      <w:tblGrid>
        <w:gridCol w:w="2520"/>
        <w:gridCol w:w="2520"/>
        <w:gridCol w:w="2520"/>
        <w:gridCol w:w="2520"/>
      </w:tblGrid>
      <w:tr>
        <w:tc>
          <w:tcPr>
            <w:tcW w:type="dxa" w:w="2592"/>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Party</w:t>
            </w:r>
          </w:p>
        </w:tc>
        <w:tc>
          <w:tcPr>
            <w:tcW w:type="dxa" w:w="3312"/>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Signature</w:t>
            </w:r>
          </w:p>
        </w:tc>
        <w:tc>
          <w:tcPr>
            <w:tcW w:type="dxa" w:w="3024"/>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Name / Title</w:t>
            </w:r>
          </w:p>
        </w:tc>
        <w:tc>
          <w:tcPr>
            <w:tcW w:type="dxa" w:w="1872"/>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Date</w:t>
            </w:r>
          </w:p>
        </w:tc>
      </w:tr>
      <w:tr>
        <w:tc>
          <w:tcPr>
            <w:tcW w:type="dxa" w:w="2592"/>
            <w:tcBorders>
              <w:top w:val="single" w:color="CCCCCC" w:sz="1"/>
              <w:left w:val="single" w:color="CCCCCC" w:sz="1"/>
              <w:bottom w:val="single" w:color="CCCCCC" w:sz="1"/>
              <w:right w:val="single" w:color="CCCCCC" w:sz="1"/>
            </w:tcBorders>
            <w:shd w:val="clear" w:color="auto" w:fill="F2F2F2"/>
          </w:tcPr>
          <w:p>
            <w:r>
              <w:rPr>
                <w:b/>
                <w:i w:val="0"/>
                <w:sz w:val="18"/>
              </w:rPr>
              <w:t>MSP Authorised By</w:t>
            </w:r>
          </w:p>
        </w:tc>
        <w:tc>
          <w:tcPr>
            <w:tcW w:type="dxa" w:w="3312"/>
            <w:tcBorders>
              <w:top w:val="single" w:color="CCCCCC" w:sz="1"/>
              <w:left w:val="single" w:color="CCCCCC" w:sz="1"/>
              <w:bottom w:val="single" w:color="CCCCCC" w:sz="1"/>
              <w:right w:val="single" w:color="CCCCCC" w:sz="1"/>
            </w:tcBorders>
            <w:shd w:fill="F2F2F2" w:val="clear" w:color="auto"/>
          </w:tcPr>
          <w:p>
            <w:r>
              <w:rPr>
                <w:b w:val="0"/>
                <w:i w:val="0"/>
                <w:sz w:val="18"/>
              </w:rPr>
              <w:t>__________________________</w:t>
            </w:r>
          </w:p>
        </w:tc>
        <w:tc>
          <w:tcPr>
            <w:tcW w:type="dxa" w:w="3024"/>
            <w:tcBorders>
              <w:top w:val="single" w:color="CCCCCC" w:sz="1"/>
              <w:left w:val="single" w:color="CCCCCC" w:sz="1"/>
              <w:bottom w:val="single" w:color="CCCCCC" w:sz="1"/>
              <w:right w:val="single" w:color="CCCCCC" w:sz="1"/>
            </w:tcBorders>
            <w:shd w:fill="F2F2F2" w:val="clear" w:color="auto"/>
          </w:tcPr>
          <w:p>
            <w:r>
              <w:rPr>
                <w:b w:val="0"/>
                <w:i w:val="0"/>
                <w:sz w:val="18"/>
              </w:rPr>
              <w:t>________________</w:t>
            </w:r>
          </w:p>
        </w:tc>
        <w:tc>
          <w:tcPr>
            <w:tcW w:type="dxa" w:w="1872"/>
            <w:tcBorders>
              <w:top w:val="single" w:color="CCCCCC" w:sz="1"/>
              <w:left w:val="single" w:color="CCCCCC" w:sz="1"/>
              <w:bottom w:val="single" w:color="CCCCCC" w:sz="1"/>
              <w:right w:val="single" w:color="CCCCCC" w:sz="1"/>
            </w:tcBorders>
            <w:shd w:fill="F2F2F2" w:val="clear" w:color="auto"/>
          </w:tcPr>
          <w:p>
            <w:r>
              <w:rPr>
                <w:b w:val="0"/>
                <w:i w:val="0"/>
                <w:sz w:val="18"/>
              </w:rPr>
              <w:t>________________</w:t>
            </w:r>
          </w:p>
        </w:tc>
      </w:tr>
      <w:tr>
        <w:tc>
          <w:tcPr>
            <w:tcW w:type="dxa" w:w="2592"/>
            <w:tcBorders>
              <w:top w:val="single" w:color="CCCCCC" w:sz="1"/>
              <w:left w:val="single" w:color="CCCCCC" w:sz="1"/>
              <w:bottom w:val="single" w:color="CCCCCC" w:sz="1"/>
              <w:right w:val="single" w:color="CCCCCC" w:sz="1"/>
            </w:tcBorders>
            <w:shd w:val="clear" w:color="auto" w:fill="FFFFFF"/>
          </w:tcPr>
          <w:p>
            <w:r>
              <w:rPr>
                <w:b/>
                <w:i w:val="0"/>
                <w:sz w:val="18"/>
              </w:rPr>
              <w:t>Customer Authorised By</w:t>
            </w:r>
          </w:p>
        </w:tc>
        <w:tc>
          <w:tcPr>
            <w:tcW w:type="dxa" w:w="3312"/>
            <w:tcBorders>
              <w:top w:val="single" w:color="CCCCCC" w:sz="1"/>
              <w:left w:val="single" w:color="CCCCCC" w:sz="1"/>
              <w:bottom w:val="single" w:color="CCCCCC" w:sz="1"/>
              <w:right w:val="single" w:color="CCCCCC" w:sz="1"/>
            </w:tcBorders>
            <w:shd w:fill="FFFFFF" w:val="clear" w:color="auto"/>
          </w:tcPr>
          <w:p>
            <w:r>
              <w:rPr>
                <w:b w:val="0"/>
                <w:i w:val="0"/>
                <w:sz w:val="18"/>
              </w:rPr>
              <w:t>__________________________</w:t>
            </w:r>
          </w:p>
        </w:tc>
        <w:tc>
          <w:tcPr>
            <w:tcW w:type="dxa" w:w="3024"/>
            <w:tcBorders>
              <w:top w:val="single" w:color="CCCCCC" w:sz="1"/>
              <w:left w:val="single" w:color="CCCCCC" w:sz="1"/>
              <w:bottom w:val="single" w:color="CCCCCC" w:sz="1"/>
              <w:right w:val="single" w:color="CCCCCC" w:sz="1"/>
            </w:tcBorders>
            <w:shd w:fill="FFFFFF" w:val="clear" w:color="auto"/>
          </w:tcPr>
          <w:p>
            <w:r>
              <w:rPr>
                <w:b w:val="0"/>
                <w:i w:val="0"/>
                <w:sz w:val="18"/>
              </w:rPr>
              <w:t>________________</w:t>
            </w:r>
          </w:p>
        </w:tc>
        <w:tc>
          <w:tcPr>
            <w:tcW w:type="dxa" w:w="1872"/>
            <w:tcBorders>
              <w:top w:val="single" w:color="CCCCCC" w:sz="1"/>
              <w:left w:val="single" w:color="CCCCCC" w:sz="1"/>
              <w:bottom w:val="single" w:color="CCCCCC" w:sz="1"/>
              <w:right w:val="single" w:color="CCCCCC" w:sz="1"/>
            </w:tcBorders>
            <w:shd w:fill="FFFFFF" w:val="clear" w:color="auto"/>
          </w:tcPr>
          <w:p>
            <w:r>
              <w:rPr>
                <w:b w:val="0"/>
                <w:i w:val="0"/>
                <w:sz w:val="18"/>
              </w:rPr>
              <w:t>________________</w:t>
            </w:r>
          </w:p>
        </w:tc>
      </w:tr>
    </w:tbl>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