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B3A5C"/>
          <w:sz w:val="64"/>
          <w:szCs w:val="64"/>
        </w:rPr>
        <w:t xml:space="preserve">BLAQUE BAUX</w:t>
      </w:r>
    </w:p>
    <w:p>
      <w:pPr>
        <w:spacing w:after="120"/>
        <w:jc w:val="center"/>
      </w:pPr>
      <w:r>
        <w:rPr>
          <w:rFonts w:ascii="Arial" w:cs="Arial" w:eastAsia="Arial" w:hAnsi="Arial"/>
          <w:color w:val="2E75B6"/>
          <w:sz w:val="40"/>
          <w:szCs w:val="40"/>
        </w:rPr>
        <w:t xml:space="preserve">Gamma-ARMA Regime Framework</w:t>
      </w:r>
    </w:p>
    <w:p>
      <w:pPr>
        <w:spacing w:after="600"/>
        <w:jc w:val="center"/>
      </w:pPr>
      <w:r>
        <w:rPr>
          <w:rFonts w:ascii="Arial" w:cs="Arial" w:eastAsia="Arial" w:hAnsi="Arial"/>
          <w:color w:val="4A4A6A"/>
          <w:sz w:val="26"/>
          <w:szCs w:val="26"/>
        </w:rPr>
        <w:t xml:space="preserve">System Architecture &amp; Build Specification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2E75B6" w:sz="1"/>
              <w:left w:val="single" w:color="2E75B6" w:sz="1"/>
              <w:bottom w:val="single" w:color="2E75B6" w:sz="1"/>
              <w:right w:val="single" w:color="2E75B6" w:sz="1"/>
            </w:tcBorders>
            <w:shd w:fill="EEF3F8" w:val="clear"/>
            <w:tcMar>
              <w:top w:type="dxa" w:w="80"/>
              <w:left w:type="dxa" w:w="120"/>
              <w:bottom w:type="dxa" w:w="80"/>
              <w:right w:type="dxa" w:w="120"/>
            </w:tcMar>
          </w:tcPr>
          <w:p>
            <w:pPr>
              <w:spacing w:after="120" w:before="0"/>
            </w:pPr>
            <w:r>
              <w:rPr>
                <w:rFonts w:ascii="Arial" w:cs="Arial" w:eastAsia="Arial" w:hAnsi="Arial"/>
                <w:b/>
                <w:bCs/>
                <w:color w:val="1A1A2E"/>
                <w:sz w:val="20"/>
                <w:szCs w:val="20"/>
              </w:rPr>
              <w:t xml:space="preserve">Classification: </w:t>
            </w:r>
            <w:r>
              <w:rPr>
                <w:rFonts w:ascii="Arial" w:cs="Arial" w:eastAsia="Arial" w:hAnsi="Arial"/>
                <w:color w:val="1A1A2E"/>
                <w:sz w:val="20"/>
                <w:szCs w:val="20"/>
              </w:rPr>
              <w:t xml:space="preserve">Proprietary</w:t>
            </w:r>
          </w:p>
        </w:tc>
        <w:tc>
          <w:tcPr>
            <w:tcW w:type="dxa" w:w="2520"/>
            <w:tcBorders>
              <w:top w:val="single" w:color="2E75B6" w:sz="1"/>
              <w:left w:val="single" w:color="2E75B6" w:sz="1"/>
              <w:bottom w:val="single" w:color="2E75B6" w:sz="1"/>
              <w:right w:val="single" w:color="2E75B6" w:sz="1"/>
            </w:tcBorders>
            <w:shd w:fill="EEF3F8" w:val="clear"/>
            <w:tcMar>
              <w:top w:type="dxa" w:w="80"/>
              <w:left w:type="dxa" w:w="120"/>
              <w:bottom w:type="dxa" w:w="80"/>
              <w:right w:type="dxa" w:w="120"/>
            </w:tcMar>
          </w:tcPr>
          <w:p>
            <w:pPr>
              <w:spacing w:after="120" w:before="0"/>
            </w:pPr>
            <w:r>
              <w:rPr>
                <w:rFonts w:ascii="Arial" w:cs="Arial" w:eastAsia="Arial" w:hAnsi="Arial"/>
                <w:b/>
                <w:bCs/>
                <w:color w:val="1A1A2E"/>
                <w:sz w:val="20"/>
                <w:szCs w:val="20"/>
              </w:rPr>
              <w:t xml:space="preserve">Version: </w:t>
            </w:r>
            <w:r>
              <w:rPr>
                <w:rFonts w:ascii="Arial" w:cs="Arial" w:eastAsia="Arial" w:hAnsi="Arial"/>
                <w:color w:val="1A1A2E"/>
                <w:sz w:val="20"/>
                <w:szCs w:val="20"/>
              </w:rPr>
              <w:t xml:space="preserve">1.0</w:t>
            </w:r>
          </w:p>
        </w:tc>
      </w:tr>
      <w:tr>
        <w:tc>
          <w:tcPr>
            <w:tcW w:type="dxa" w:w="2520"/>
            <w:tcBorders>
              <w:top w:val="single" w:color="2E75B6" w:sz="1"/>
              <w:left w:val="single" w:color="2E75B6" w:sz="1"/>
              <w:bottom w:val="single" w:color="2E75B6" w:sz="1"/>
              <w:right w:val="single" w:color="2E75B6" w:sz="1"/>
            </w:tcBorders>
            <w:shd w:fill="EEF3F8" w:val="clear"/>
            <w:tcMar>
              <w:top w:type="dxa" w:w="80"/>
              <w:left w:type="dxa" w:w="120"/>
              <w:bottom w:type="dxa" w:w="80"/>
              <w:right w:type="dxa" w:w="120"/>
            </w:tcMar>
          </w:tcPr>
          <w:p>
            <w:pPr>
              <w:spacing w:after="120" w:before="0"/>
            </w:pPr>
            <w:r>
              <w:rPr>
                <w:rFonts w:ascii="Arial" w:cs="Arial" w:eastAsia="Arial" w:hAnsi="Arial"/>
                <w:b/>
                <w:bCs/>
                <w:color w:val="1A1A2E"/>
                <w:sz w:val="20"/>
                <w:szCs w:val="20"/>
              </w:rPr>
              <w:t xml:space="preserve">Author: </w:t>
            </w:r>
            <w:r>
              <w:rPr>
                <w:rFonts w:ascii="Arial" w:cs="Arial" w:eastAsia="Arial" w:hAnsi="Arial"/>
                <w:color w:val="1A1A2E"/>
                <w:sz w:val="20"/>
                <w:szCs w:val="20"/>
              </w:rPr>
              <w:t xml:space="preserve">SmallClaw Consultancy</w:t>
            </w:r>
          </w:p>
        </w:tc>
        <w:tc>
          <w:tcPr>
            <w:tcW w:type="dxa" w:w="2520"/>
            <w:tcBorders>
              <w:top w:val="single" w:color="2E75B6" w:sz="1"/>
              <w:left w:val="single" w:color="2E75B6" w:sz="1"/>
              <w:bottom w:val="single" w:color="2E75B6" w:sz="1"/>
              <w:right w:val="single" w:color="2E75B6" w:sz="1"/>
            </w:tcBorders>
            <w:shd w:fill="EEF3F8" w:val="clear"/>
            <w:tcMar>
              <w:top w:type="dxa" w:w="80"/>
              <w:left w:type="dxa" w:w="120"/>
              <w:bottom w:type="dxa" w:w="80"/>
              <w:right w:type="dxa" w:w="120"/>
            </w:tcMar>
          </w:tcPr>
          <w:p>
            <w:pPr>
              <w:spacing w:after="120" w:before="0"/>
            </w:pPr>
            <w:r>
              <w:rPr>
                <w:rFonts w:ascii="Arial" w:cs="Arial" w:eastAsia="Arial" w:hAnsi="Arial"/>
                <w:b/>
                <w:bCs/>
                <w:color w:val="1A1A2E"/>
                <w:sz w:val="20"/>
                <w:szCs w:val="20"/>
              </w:rPr>
              <w:t xml:space="preserve">Date: </w:t>
            </w:r>
            <w:r>
              <w:rPr>
                <w:rFonts w:ascii="Arial" w:cs="Arial" w:eastAsia="Arial" w:hAnsi="Arial"/>
                <w:color w:val="1A1A2E"/>
                <w:sz w:val="20"/>
                <w:szCs w:val="20"/>
              </w:rPr>
              <w:t xml:space="preserve">May 2026</w:t>
            </w:r>
          </w:p>
        </w:tc>
      </w:tr>
    </w:tbl>
    <w:p>
      <w:r>
        <w:br w:type="page"/>
      </w:r>
    </w:p>
    <w:p>
      <w:pPr>
        <w:pStyle w:val="Heading1"/>
        <w:pBdr>
          <w:bottom w:val="single" w:color="2E75B6" w:sz="6" w:space="4"/>
        </w:pBdr>
        <w:spacing w:after="160" w:before="400"/>
      </w:pPr>
      <w:r>
        <w:rPr>
          <w:rFonts w:ascii="Arial" w:cs="Arial" w:eastAsia="Arial" w:hAnsi="Arial"/>
          <w:b/>
          <w:bCs/>
          <w:color w:val="1B3A5C"/>
          <w:sz w:val="36"/>
          <w:szCs w:val="36"/>
        </w:rPr>
        <w:t xml:space="preserve">Executive Summary</w:t>
      </w:r>
    </w:p>
    <w:p>
      <w:pPr>
        <w:spacing w:after="120" w:before="0"/>
      </w:pPr>
      <w:r>
        <w:rPr>
          <w:rFonts w:ascii="Arial" w:cs="Arial" w:eastAsia="Arial" w:hAnsi="Arial"/>
          <w:color w:val="1A1A2E"/>
          <w:sz w:val="20"/>
          <w:szCs w:val="20"/>
        </w:rPr>
        <w:t xml:space="preserve">This document specifies the Gamma-ARMA Regime Framework: a fully autonomous, meta-statistical system that governs signal generation for the Blaque Baux systematic global trading system. The framework replaces the static base model in risk_engine.py with a dynamic, regime-aware architecture that continuously estimates which of several time-series models best describes current market conditions and routes signals accordingly into the circular futures cascade.</w:t>
      </w:r>
    </w:p>
    <w:p>
      <w:pPr>
        <w:spacing w:after="12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Primary Constraint: </w:t>
            </w:r>
            <w:r>
              <w:rPr>
                <w:rFonts w:ascii="Arial" w:cs="Arial" w:eastAsia="Arial" w:hAnsi="Arial"/>
                <w:color w:val="1A1A2E"/>
                <w:sz w:val="20"/>
                <w:szCs w:val="20"/>
              </w:rPr>
              <w:t xml:space="preserve">The system operates with no human in the loop for routine decisions. The only mandated human touchpoint is a 30-minute PMO weekly review of four performance metrics.</w:t>
            </w:r>
          </w:p>
        </w:tc>
      </w:tr>
    </w:tbl>
    <w:p>
      <w:pPr>
        <w:spacing w:after="160"/>
      </w:pPr>
      <w:r>
        <w:rPr>
          <w:rFonts w:ascii="Arial" w:cs="Arial" w:eastAsia="Arial" w:hAnsi="Arial"/>
          <w:color w:val="1A1A2E"/>
          <w:sz w:val="20"/>
          <w:szCs w:val="20"/>
        </w:rPr>
        <w:t xml:space="preserve"/>
      </w:r>
    </w:p>
    <w:p>
      <w:pPr>
        <w:spacing w:after="120" w:before="0"/>
      </w:pPr>
      <w:r>
        <w:rPr>
          <w:rFonts w:ascii="Arial" w:cs="Arial" w:eastAsia="Arial" w:hAnsi="Arial"/>
          <w:color w:val="1A1A2E"/>
          <w:sz w:val="20"/>
          <w:szCs w:val="20"/>
        </w:rPr>
        <w:t xml:space="preserve">The framework rests on three foundational principles derived from quantitative finance theory and current market structure:</w:t>
      </w:r>
    </w:p>
    <w:p>
      <w:pPr>
        <w:pStyle w:val="ListParagraph"/>
        <w:numPr>
          <w:ilvl w:val="0"/>
          <w:numId w:val="2"/>
        </w:numPr>
        <w:spacing w:after="80"/>
      </w:pPr>
      <w:r>
        <w:rPr>
          <w:rFonts w:ascii="Arial" w:cs="Arial" w:eastAsia="Arial" w:hAnsi="Arial"/>
          <w:color w:val="1A1A2E"/>
          <w:sz w:val="20"/>
          <w:szCs w:val="20"/>
        </w:rPr>
        <w:t xml:space="preserve">Markets do not have a single stable autocorrelation structure. Historical ARMA orders are becoming progressively less informative as passive flows, algorithmic execution, and policy intervention dominate price discovery.</w:t>
      </w:r>
    </w:p>
    <w:p>
      <w:pPr>
        <w:pStyle w:val="ListParagraph"/>
        <w:numPr>
          <w:ilvl w:val="0"/>
          <w:numId w:val="2"/>
        </w:numPr>
        <w:spacing w:after="80"/>
      </w:pPr>
      <w:r>
        <w:rPr>
          <w:rFonts w:ascii="Arial" w:cs="Arial" w:eastAsia="Arial" w:hAnsi="Arial"/>
          <w:color w:val="1A1A2E"/>
          <w:sz w:val="20"/>
          <w:szCs w:val="20"/>
        </w:rPr>
        <w:t xml:space="preserve">Fat tails are not noise. For certain asset tiers, the step-size distribution has a tail index below 2, meaning the Generalized Central Limit Theorem applies: fat tails are structural and permanent, not transient artifacts that diversification eliminates.</w:t>
      </w:r>
    </w:p>
    <w:p>
      <w:pPr>
        <w:pStyle w:val="ListParagraph"/>
        <w:numPr>
          <w:ilvl w:val="0"/>
          <w:numId w:val="2"/>
        </w:numPr>
        <w:spacing w:after="80"/>
      </w:pPr>
      <w:r>
        <w:rPr>
          <w:rFonts w:ascii="Arial" w:cs="Arial" w:eastAsia="Arial" w:hAnsi="Arial"/>
          <w:color w:val="1A1A2E"/>
          <w:sz w:val="20"/>
          <w:szCs w:val="20"/>
        </w:rPr>
        <w:t xml:space="preserve">Regime identification requires forward-looking inputs. The options volatility surface and smoothed yield curve provide real-time, market-priced signals about structural uncertainty that backward-looking ARMA estimation cannot supply.</w:t>
      </w:r>
    </w:p>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1. System Classification</w:t>
      </w:r>
    </w:p>
    <w:p>
      <w:pPr>
        <w:spacing w:after="120" w:before="0"/>
      </w:pPr>
      <w:r>
        <w:rPr>
          <w:rFonts w:ascii="Arial" w:cs="Arial" w:eastAsia="Arial" w:hAnsi="Arial"/>
          <w:color w:val="1A1A2E"/>
          <w:sz w:val="20"/>
          <w:szCs w:val="20"/>
        </w:rPr>
        <w:t xml:space="preserve">Before any architectural detail, the fundamental nature of this system must be stated explicitly, as it governs requirements for every subsequent component.</w:t>
      </w:r>
    </w:p>
    <w:p>
      <w:pPr>
        <w:spacing w:after="12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Dimension</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Classification</w:t>
            </w:r>
          </w:p>
        </w:tc>
        <w:tc>
          <w:tcPr>
            <w:tcW w:type="dxa" w:w="4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Implication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Execution mode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Fully autonomous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No human approval for trade signals, position sizing, model updates, or circuit breaker activation</w:t>
            </w:r>
          </w:p>
        </w:tc>
      </w:tr>
      <w:tr>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Human touchpoints</w:t>
            </w:r>
          </w:p>
        </w:tc>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PMO weekly review only</w:t>
            </w:r>
          </w:p>
        </w:tc>
        <w:tc>
          <w:tcPr>
            <w:tcW w:type="dxa" w:w="41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30-minute Monday review of 4 metrics; escalation only if 2 metrics fail simultaneously for 2 weeks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Deployment target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Blaque Baux / IBKR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Three-machine Apple Silicon fleet + DGX Spark + RTX 5090; execution via Interactive Brokers</w:t>
            </w:r>
          </w:p>
        </w:tc>
      </w:tr>
      <w:tr>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Starting capital</w:t>
            </w:r>
          </w:p>
        </w:tc>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$30,000 across 3 pools</w:t>
            </w:r>
          </w:p>
        </w:tc>
        <w:tc>
          <w:tcPr>
            <w:tcW w:type="dxa" w:w="41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US equities, commodities, EMEA/crypto; absolute position floor $500 notional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Rollout sequence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Phased by asset class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US equities first, then commodities, then EMEA, then crypto</w:t>
            </w:r>
          </w:p>
        </w:tc>
      </w:tr>
      <w:tr>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Cold start period</w:t>
            </w:r>
          </w:p>
        </w:tc>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252 trading days</w:t>
            </w:r>
          </w:p>
        </w:tc>
        <w:tc>
          <w:tcPr>
            <w:tcW w:type="dxa" w:w="41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Fallback ARMA(1,1)+GARCH before full framework activates</w:t>
            </w:r>
          </w:p>
        </w:tc>
      </w:tr>
    </w:tbl>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2. Theoretical Foundation</w:t>
      </w:r>
    </w:p>
    <w:p>
      <w:pPr>
        <w:pStyle w:val="Heading2"/>
        <w:spacing w:after="120" w:before="280"/>
      </w:pPr>
      <w:r>
        <w:rPr>
          <w:rFonts w:ascii="Arial" w:cs="Arial" w:eastAsia="Arial" w:hAnsi="Arial"/>
          <w:b/>
          <w:bCs/>
          <w:color w:val="2E75B6"/>
          <w:sz w:val="26"/>
          <w:szCs w:val="26"/>
        </w:rPr>
        <w:t xml:space="preserve">2.1 The Drift-vs-Noise Problem</w:t>
      </w:r>
    </w:p>
    <w:p>
      <w:pPr>
        <w:spacing w:after="120" w:before="0"/>
      </w:pPr>
      <w:r>
        <w:rPr>
          <w:rFonts w:ascii="Arial" w:cs="Arial" w:eastAsia="Arial" w:hAnsi="Arial"/>
          <w:color w:val="1A1A2E"/>
          <w:sz w:val="20"/>
          <w:szCs w:val="20"/>
        </w:rPr>
        <w:t xml:space="preserve">The core insight motivating this framework: at daily resolution, the drift component of any financial return series is dominated by noise by a factor of 100-to-1 or more. A market losing 2.2% per year (as the Nikkei did during the Lost Decades) generates a daily drift of only -0.009% against daily volatility of 1.5%. This makes daily up/down frequency statistics nearly uninformative about structural regime. The meaningful signal lives in the magnitude distribution of moves, not their frequency.</w:t>
      </w:r>
    </w:p>
    <w:p>
      <w:pPr>
        <w:pStyle w:val="Heading2"/>
        <w:spacing w:after="120" w:before="280"/>
      </w:pPr>
      <w:r>
        <w:rPr>
          <w:rFonts w:ascii="Arial" w:cs="Arial" w:eastAsia="Arial" w:hAnsi="Arial"/>
          <w:b/>
          <w:bCs/>
          <w:color w:val="2E75B6"/>
          <w:sz w:val="26"/>
          <w:szCs w:val="26"/>
        </w:rPr>
        <w:t xml:space="preserve">2.2 Stable Distributions and Fat Tails</w:t>
      </w:r>
    </w:p>
    <w:p>
      <w:pPr>
        <w:spacing w:after="120" w:before="0"/>
      </w:pPr>
      <w:r>
        <w:rPr>
          <w:rFonts w:ascii="Arial" w:cs="Arial" w:eastAsia="Arial" w:hAnsi="Arial"/>
          <w:color w:val="1A1A2E"/>
          <w:sz w:val="20"/>
          <w:szCs w:val="20"/>
        </w:rPr>
        <w:t xml:space="preserve">Both the normal (tail index α = 2) and Cauchy (α = 1) distributions are Levy-stable. The Generalized Central Limit Theorem establishes that for step distributions with α &lt; 2, sums of i.i.d. draws converge to another α-stable distribution, not the normal. Fat tails are self-similar under aggregation and cannot be diversified away within the same asset tier. Empirical tail index estimates by market tier:</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960"/>
        <w:gridCol w:w="2800"/>
      </w:tblGrid>
      <w:t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Asset Tier</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Tail Index α (approx.)</w:t>
            </w:r>
          </w:p>
        </w:tc>
        <w:tc>
          <w:tcPr>
            <w:tcW w:type="dxa" w:w="1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Variance</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CLT Applicability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S&amp;P 500 large-cap index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3.0 – 4.0</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Finite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Classical CLT applies; slowly</w:t>
            </w:r>
          </w:p>
        </w:tc>
      </w:tr>
      <w:tr>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Russell 2000 small-cap</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2.5 – 3.0</w:t>
            </w:r>
          </w:p>
        </w:tc>
        <w:tc>
          <w:tcPr>
            <w:tcW w:type="dxa" w:w="1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Finite</w:t>
            </w:r>
          </w:p>
        </w:tc>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CLT applies; significant lag</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Russell Microcap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1.5 – 2.0</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Undefined or infinite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GCLT applies; fat tails permanent</w:t>
            </w:r>
          </w:p>
        </w:tc>
      </w:tr>
      <w:tr>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Natural gas (Henry Hub)</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~1.5</w:t>
            </w:r>
          </w:p>
        </w:tc>
        <w:tc>
          <w:tcPr>
            <w:tcW w:type="dxa" w:w="1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Infinite</w:t>
            </w:r>
          </w:p>
        </w:tc>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GCLT; 10% days are not unusual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Cauchy reference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1.0</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Infinite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Perfectly self-similar fat tails</w:t>
            </w:r>
          </w:p>
        </w:tc>
      </w:tr>
    </w:tbl>
    <w:p>
      <w:pPr>
        <w:pStyle w:val="Heading2"/>
        <w:spacing w:after="120" w:before="280"/>
      </w:pPr>
      <w:r>
        <w:rPr>
          <w:rFonts w:ascii="Arial" w:cs="Arial" w:eastAsia="Arial" w:hAnsi="Arial"/>
          <w:b/>
          <w:bCs/>
          <w:color w:val="2E75B6"/>
          <w:sz w:val="26"/>
          <w:szCs w:val="26"/>
        </w:rPr>
        <w:t xml:space="preserve">2.3 Why ARMA History Is Becoming Less Informative</w:t>
      </w:r>
    </w:p>
    <w:p>
      <w:pPr>
        <w:spacing w:after="120" w:before="0"/>
      </w:pPr>
      <w:r>
        <w:rPr>
          <w:rFonts w:ascii="Arial" w:cs="Arial" w:eastAsia="Arial" w:hAnsi="Arial"/>
          <w:color w:val="1A1A2E"/>
          <w:sz w:val="20"/>
          <w:szCs w:val="20"/>
        </w:rPr>
        <w:t xml:space="preserve">Five structural forces are degrading the predictive power of historically estimated ARMA parameters:</w:t>
      </w:r>
    </w:p>
    <w:p>
      <w:pPr>
        <w:pStyle w:val="ListParagraph"/>
        <w:numPr>
          <w:ilvl w:val="0"/>
          <w:numId w:val="2"/>
        </w:numPr>
        <w:spacing w:after="80"/>
      </w:pPr>
      <w:r>
        <w:rPr>
          <w:rFonts w:ascii="Arial" w:cs="Arial" w:eastAsia="Arial" w:hAnsi="Arial"/>
          <w:color w:val="1A1A2E"/>
          <w:sz w:val="20"/>
          <w:szCs w:val="20"/>
        </w:rPr>
        <w:t xml:space="preserve">Algorithmic execution has compressed exploitable lag structure at short horizons. Autocorrelation at daily resolution that persisted in the 1990s has been largely arbitraged away.</w:t>
      </w:r>
    </w:p>
    <w:p>
      <w:pPr>
        <w:pStyle w:val="ListParagraph"/>
        <w:numPr>
          <w:ilvl w:val="0"/>
          <w:numId w:val="2"/>
        </w:numPr>
        <w:spacing w:after="80"/>
      </w:pPr>
      <w:r>
        <w:rPr>
          <w:rFonts w:ascii="Arial" w:cs="Arial" w:eastAsia="Arial" w:hAnsi="Arial"/>
          <w:color w:val="1A1A2E"/>
          <w:sz w:val="20"/>
          <w:szCs w:val="20"/>
        </w:rPr>
        <w:t xml:space="preserve">Passive investing (now ~50-55% of US equity AUM) forces mechanical, simultaneous buying and selling of index constituents regardless of company-specific information, creating artificial synchronization that breaks individual-stock ARMA models.</w:t>
      </w:r>
    </w:p>
    <w:p>
      <w:pPr>
        <w:pStyle w:val="ListParagraph"/>
        <w:numPr>
          <w:ilvl w:val="0"/>
          <w:numId w:val="2"/>
        </w:numPr>
        <w:spacing w:after="80"/>
      </w:pPr>
      <w:r>
        <w:rPr>
          <w:rFonts w:ascii="Arial" w:cs="Arial" w:eastAsia="Arial" w:hAnsi="Arial"/>
          <w:color w:val="1A1A2E"/>
          <w:sz w:val="20"/>
          <w:szCs w:val="20"/>
        </w:rPr>
        <w:t xml:space="preserve">The 2022 equity-bond correlation flip from -0.35 to +0.30 invalidated 20 years of historically estimated cross-asset ARMA relationships in a single regime change.</w:t>
      </w:r>
    </w:p>
    <w:p>
      <w:pPr>
        <w:pStyle w:val="ListParagraph"/>
        <w:numPr>
          <w:ilvl w:val="0"/>
          <w:numId w:val="2"/>
        </w:numPr>
        <w:spacing w:after="80"/>
      </w:pPr>
      <w:r>
        <w:rPr>
          <w:rFonts w:ascii="Arial" w:cs="Arial" w:eastAsia="Arial" w:hAnsi="Arial"/>
          <w:color w:val="1A1A2E"/>
          <w:sz w:val="20"/>
          <w:szCs w:val="20"/>
        </w:rPr>
        <w:t xml:space="preserve">Central bank intervention at scale (Fed balance sheet $900B to $9T and back) changes the parameters of the model while it is running, not just the inputs.</w:t>
      </w:r>
    </w:p>
    <w:p>
      <w:pPr>
        <w:pStyle w:val="ListParagraph"/>
        <w:numPr>
          <w:ilvl w:val="0"/>
          <w:numId w:val="2"/>
        </w:numPr>
        <w:spacing w:after="80"/>
      </w:pPr>
      <w:r>
        <w:rPr>
          <w:rFonts w:ascii="Arial" w:cs="Arial" w:eastAsia="Arial" w:hAnsi="Arial"/>
          <w:color w:val="1A1A2E"/>
          <w:sz w:val="20"/>
          <w:szCs w:val="20"/>
        </w:rPr>
        <w:t xml:space="preserve">Binary geopolitical events (Strait of Hormuz closure, tariff regime changes) are increasingly dominant price-setting mechanisms with no ARMA representation.</w:t>
      </w:r>
    </w:p>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3. Framework Architecture</w:t>
      </w:r>
    </w:p>
    <w:p>
      <w:pPr>
        <w:pStyle w:val="Heading2"/>
        <w:spacing w:after="120" w:before="280"/>
      </w:pPr>
      <w:r>
        <w:rPr>
          <w:rFonts w:ascii="Arial" w:cs="Arial" w:eastAsia="Arial" w:hAnsi="Arial"/>
          <w:b/>
          <w:bCs/>
          <w:color w:val="2E75B6"/>
          <w:sz w:val="26"/>
          <w:szCs w:val="26"/>
        </w:rPr>
        <w:t xml:space="preserve">3.1 Three-Layer Structure</w:t>
      </w:r>
    </w:p>
    <w:p>
      <w:pPr>
        <w:spacing w:after="120" w:before="0"/>
      </w:pPr>
      <w:r>
        <w:rPr>
          <w:rFonts w:ascii="Arial" w:cs="Arial" w:eastAsia="Arial" w:hAnsi="Arial"/>
          <w:color w:val="1A1A2E"/>
          <w:sz w:val="20"/>
          <w:szCs w:val="20"/>
        </w:rPr>
        <w:t xml:space="preserve">The framework operates across three layers with clearly defined responsibilities:</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960"/>
        <w:gridCol w:w="2400"/>
      </w:tblGrid>
      <w:tr>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Name</w:t>
            </w:r>
          </w:p>
        </w:tc>
        <w:tc>
          <w:tcPr>
            <w:tcW w:type="dxa" w:w="3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Function</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Update Frequency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Layer 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Signal Smoothing Pipeline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Clean raw market signals; remove microstructure noise while preserving structural features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Daily (real-time for intraday)</w:t>
            </w:r>
          </w:p>
        </w:tc>
      </w:tr>
      <w:tr>
        <w:tc>
          <w:tcPr>
            <w:tcW w:type="dxa" w:w="1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Layer 2</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Gamma-ARMA Meta-Model</w:t>
            </w:r>
          </w:p>
        </w:tc>
        <w:tc>
          <w:tcPr>
            <w:tcW w:type="dxa" w:w="3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Estimate posterior probability distribution over ARMA parameter space; identify active regime</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Daily (recursive); Weekly (full EM)</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Layer 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Cascade Interface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Translate regime probabilities into position sizing weights, strategy blending, and risk parameters for the circular futures cascade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Daily after market close; Intraday if vol triggers fire</w:t>
            </w:r>
          </w:p>
        </w:tc>
      </w:tr>
    </w:tbl>
    <w:p>
      <w:pPr>
        <w:pStyle w:val="Heading2"/>
        <w:spacing w:after="120" w:before="280"/>
      </w:pPr>
      <w:r>
        <w:rPr>
          <w:rFonts w:ascii="Arial" w:cs="Arial" w:eastAsia="Arial" w:hAnsi="Arial"/>
          <w:b/>
          <w:bCs/>
          <w:color w:val="2E75B6"/>
          <w:sz w:val="26"/>
          <w:szCs w:val="26"/>
        </w:rPr>
        <w:t xml:space="preserve">3.2 Regime Taxonomy</w:t>
      </w:r>
    </w:p>
    <w:p>
      <w:pPr>
        <w:spacing w:after="120" w:before="0"/>
      </w:pPr>
      <w:r>
        <w:rPr>
          <w:rFonts w:ascii="Arial" w:cs="Arial" w:eastAsia="Arial" w:hAnsi="Arial"/>
          <w:color w:val="1A1A2E"/>
          <w:sz w:val="20"/>
          <w:szCs w:val="20"/>
        </w:rPr>
        <w:t xml:space="preserve">The framework identifies three named base regimes. A Dirichlet Process Mixture allows the data to discover additional regimes (notably a Crisis/Dislocation regime) without pre-specification. The three base regimes are:</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000"/>
        <w:gridCol w:w="260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Regime</w:t>
            </w:r>
          </w:p>
        </w:tc>
        <w:tc>
          <w:tcPr>
            <w:tcW w:type="dxa" w:w="2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ARMA Signature</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Tail Index α</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Cascade Behavior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Fixed ARMA
(calm, mean-reverting)</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Low persistence φ₁, short MA, small σ²</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3.0 – 4.0 (near-Gaussian)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 position size; mean-reversion strategies favored</w:t>
            </w:r>
          </w:p>
        </w:tc>
      </w:tr>
      <w:tr>
        <w:tc>
          <w:tcPr>
            <w:tcW w:type="dxa" w:w="2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Growth ARMA
(momentum, near-unit-root)</w:t>
            </w:r>
          </w:p>
        </w:tc>
        <w:tc>
          <w:tcPr>
            <w:tcW w:type="dxa" w:w="2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φ₁ close to 0.97, GARCH dominant, long MA</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2.0 – 3.0 (finite but fat)</w:t>
            </w:r>
          </w:p>
        </w:tc>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Increased trend-following weights; widened trailing stops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Floating ARMA
(transition, high uncertainty)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Unstable parameters, near-infinite variance periods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1.5 – 2.0 (may be infinite)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50-80% exposure cut; shorter holding periods; defensive</w:t>
            </w:r>
          </w:p>
        </w:tc>
      </w:tr>
    </w:tbl>
    <w:p>
      <w:pPr>
        <w:pStyle w:val="Heading2"/>
        <w:spacing w:after="120" w:before="280"/>
      </w:pPr>
      <w:r>
        <w:rPr>
          <w:rFonts w:ascii="Arial" w:cs="Arial" w:eastAsia="Arial" w:hAnsi="Arial"/>
          <w:b/>
          <w:bCs/>
          <w:color w:val="2E75B6"/>
          <w:sz w:val="26"/>
          <w:szCs w:val="26"/>
        </w:rPr>
        <w:t xml:space="preserve">3.3 The DPM Concentration Parameter</w:t>
      </w:r>
    </w:p>
    <w:p>
      <w:pPr>
        <w:spacing w:after="120" w:before="0"/>
      </w:pPr>
      <w:r>
        <w:rPr>
          <w:rFonts w:ascii="Arial" w:cs="Arial" w:eastAsia="Arial" w:hAnsi="Arial"/>
          <w:color w:val="1A1A2E"/>
          <w:sz w:val="20"/>
          <w:szCs w:val="20"/>
        </w:rPr>
        <w:t xml:space="preserve">The Dirichlet Process Mixture uses a concentration parameter γ (named gamma to avoid collision with tail index α). A Gamma hyperprior governs it:</w:t>
      </w:r>
    </w:p>
    <w:p>
      <w:pPr>
        <w:spacing w:after="120" w:before="0"/>
      </w:pPr>
      <w:r>
        <w:rPr>
          <w:rFonts w:ascii="Courier New" w:cs="Courier New" w:eastAsia="Courier New" w:hAnsi="Courier New"/>
          <w:color w:val="1B3A5C"/>
          <w:sz w:val="18"/>
          <w:szCs w:val="18"/>
        </w:rPr>
        <w:t xml:space="preserve">  γ ~ Gamma(shape=2, rate=0.5)   →   mean=4, variance=8</w:t>
      </w:r>
    </w:p>
    <w:p>
      <w:pPr>
        <w:spacing w:after="120" w:before="0"/>
      </w:pPr>
      <w:r>
        <w:rPr>
          <w:rFonts w:ascii="Arial" w:cs="Arial" w:eastAsia="Arial" w:hAnsi="Arial"/>
          <w:color w:val="1A1A2E"/>
          <w:sz w:val="20"/>
          <w:szCs w:val="20"/>
        </w:rPr>
        <w:t xml:space="preserve">Expected number of active regimes: 3-6. The Escobar-West (1995) auxiliary variable method updates γ weekly during the EM step. This keeps the Gamma distribution intuition while making estimation tractable via MCMC or variational inference. Use stick-breaking representation for the DPM.</w:t>
      </w:r>
    </w:p>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4. Signal Smoothing Pipeline (Layer 1)</w:t>
      </w:r>
    </w:p>
    <w:p>
      <w:pPr>
        <w:pStyle w:val="Heading2"/>
        <w:spacing w:after="120" w:before="280"/>
      </w:pPr>
      <w:r>
        <w:rPr>
          <w:rFonts w:ascii="Arial" w:cs="Arial" w:eastAsia="Arial" w:hAnsi="Arial"/>
          <w:b/>
          <w:bCs/>
          <w:color w:val="2E75B6"/>
          <w:sz w:val="26"/>
          <w:szCs w:val="26"/>
        </w:rPr>
        <w:t xml:space="preserve">4.1 Pipeline Overview</w:t>
      </w:r>
    </w:p>
    <w:p>
      <w:pPr>
        <w:spacing w:after="120" w:before="0"/>
      </w:pPr>
      <w:r>
        <w:rPr>
          <w:rFonts w:ascii="Arial" w:cs="Arial" w:eastAsia="Arial" w:hAnsi="Arial"/>
          <w:color w:val="1A1A2E"/>
          <w:sz w:val="20"/>
          <w:szCs w:val="20"/>
        </w:rPr>
        <w:t xml:space="preserve">Raw inputs from the options volatility surface and yield curve are processed through a five-stage pipeline before entering the regime estimation layer. The pipeline distinguishes three types of correlation signal that look identical in raw data but have completely different regime implications:</w:t>
      </w:r>
    </w:p>
    <w:p>
      <w:pPr>
        <w:pStyle w:val="ListParagraph"/>
        <w:numPr>
          <w:ilvl w:val="0"/>
          <w:numId w:val="2"/>
        </w:numPr>
        <w:spacing w:after="80"/>
      </w:pPr>
      <w:r>
        <w:rPr>
          <w:rFonts w:ascii="Arial" w:cs="Arial" w:eastAsia="Arial" w:hAnsi="Arial"/>
          <w:color w:val="1A1A2E"/>
          <w:sz w:val="20"/>
          <w:szCs w:val="20"/>
        </w:rPr>
        <w:t xml:space="preserve">Type 1 — Microstructure noise: bid-ask bounce, non-synchronous trading, options distortions. Filtered by LOWESS and Savitzky-Golay. No regime implication.</w:t>
      </w:r>
    </w:p>
    <w:p>
      <w:pPr>
        <w:pStyle w:val="ListParagraph"/>
        <w:numPr>
          <w:ilvl w:val="0"/>
          <w:numId w:val="2"/>
        </w:numPr>
        <w:spacing w:after="80"/>
      </w:pPr>
      <w:r>
        <w:rPr>
          <w:rFonts w:ascii="Arial" w:cs="Arial" w:eastAsia="Arial" w:hAnsi="Arial"/>
          <w:color w:val="1A1A2E"/>
          <w:sz w:val="20"/>
          <w:szCs w:val="20"/>
        </w:rPr>
        <w:t xml:space="preserve">Type 2 — Transient event-driven correlation: single-day spike from a specific data release. Detected by adaptive rolling median. Short-duration regime implication.</w:t>
      </w:r>
    </w:p>
    <w:p>
      <w:pPr>
        <w:pStyle w:val="ListParagraph"/>
        <w:numPr>
          <w:ilvl w:val="0"/>
          <w:numId w:val="2"/>
        </w:numPr>
        <w:spacing w:after="80"/>
      </w:pPr>
      <w:r>
        <w:rPr>
          <w:rFonts w:ascii="Arial" w:cs="Arial" w:eastAsia="Arial" w:hAnsi="Arial"/>
          <w:color w:val="1A1A2E"/>
          <w:sz w:val="20"/>
          <w:szCs w:val="20"/>
        </w:rPr>
        <w:t xml:space="preserve">Type 3 — Structural correlation shift: genuine regime transition (e.g., 2022 equity-bond flip). Bootstrap confidence envelope widens first, then point estimate moves. Long-duration regime implication.</w:t>
      </w:r>
    </w:p>
    <w:p>
      <w:pPr>
        <w:pStyle w:val="Heading2"/>
        <w:spacing w:after="120" w:before="280"/>
      </w:pPr>
      <w:r>
        <w:rPr>
          <w:rFonts w:ascii="Arial" w:cs="Arial" w:eastAsia="Arial" w:hAnsi="Arial"/>
          <w:b/>
          <w:bCs/>
          <w:color w:val="2E75B6"/>
          <w:sz w:val="26"/>
          <w:szCs w:val="26"/>
        </w:rPr>
        <w:t xml:space="preserve">4.2 Five-Stage Processing Sequence</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3760"/>
      </w:tblGrid>
      <w:tr>
        <w:tc>
          <w:tcPr>
            <w:tcW w:type="dxa" w:w="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Stage</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Method</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Parameters</w:t>
            </w:r>
          </w:p>
        </w:tc>
        <w:tc>
          <w:tcPr>
            <w:tcW w:type="dxa" w:w="3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Output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LOWESS (robust)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Bandwidth h = 0.35; iterative reweighting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ȳᵗᴸᵂᴸᴸᴸ: outlier-resistant structural baseline</w:t>
            </w:r>
          </w:p>
        </w:tc>
      </w:tr>
      <w:tr>
        <w:tc>
          <w:tcPr>
            <w:tcW w:type="dxa" w:w="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Savitzky-Golay on residuals</w:t>
            </w:r>
          </w:p>
        </w:tc>
        <w:tc>
          <w:tcPr>
            <w:tcW w:type="dxa" w:w="3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Window = 21 days; degree 3 polynomial</w:t>
            </w:r>
          </w:p>
        </w:tc>
        <w:tc>
          <w:tcPr>
            <w:tcW w:type="dxa" w:w="3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Recovers genuine short-term structural features LOWESS smoothed away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Adaptive rolling median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Window: 60d if VIX/VXV &lt; 0.9; scales to 10d if VIX/VXV &gt; 1.1</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Regime-responsive estimate; smoothing parameter reacts to vol surface</w:t>
            </w:r>
          </w:p>
        </w:tc>
      </w:tr>
      <w:tr>
        <w:tc>
          <w:tcPr>
            <w:tcW w:type="dxa" w:w="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4</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Stationary block bootstrap</w:t>
            </w:r>
          </w:p>
        </w:tc>
        <w:tc>
          <w:tcPr>
            <w:tcW w:type="dxa" w:w="3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Block length b = 60 days; B = 5,000 replications; Politis-Romano</w:t>
            </w:r>
          </w:p>
        </w:tc>
        <w:tc>
          <w:tcPr>
            <w:tcW w:type="dxa" w:w="3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Confidence envelope [5%, 50%, 95%] at each time point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PCA compression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 PCs from vol surface; 3 Litterman-Scheinkman factors from yield curve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6-dimensional state vector sₜ for Gamma hyperparameter estimation</w:t>
            </w:r>
          </w:p>
        </w:tc>
      </w:tr>
    </w:tbl>
    <w:p>
      <w:pPr>
        <w:spacing w:after="12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SG Failure Mode: </w:t>
            </w:r>
            <w:r>
              <w:rPr>
                <w:rFonts w:ascii="Arial" w:cs="Arial" w:eastAsia="Arial" w:hAnsi="Arial"/>
                <w:color w:val="1A1A2E"/>
                <w:sz w:val="20"/>
                <w:szCs w:val="20"/>
              </w:rPr>
              <w:t xml:space="preserve">Savitzky-Golay produces ringing artifacts near genuine discontinuities (Gibbs phenomenon). Monitor residuals at detected structural break points. If residuals exceed 5σ, fall back to 20-day simple moving average for that window.</w:t>
            </w:r>
          </w:p>
        </w:tc>
      </w:tr>
    </w:tbl>
    <w:p>
      <w:pPr>
        <w:pStyle w:val="Heading2"/>
        <w:spacing w:after="120" w:before="280"/>
      </w:pPr>
      <w:r>
        <w:rPr>
          <w:rFonts w:ascii="Arial" w:cs="Arial" w:eastAsia="Arial" w:hAnsi="Arial"/>
          <w:b/>
          <w:bCs/>
          <w:color w:val="2E75B6"/>
          <w:sz w:val="26"/>
          <w:szCs w:val="26"/>
        </w:rPr>
        <w:t xml:space="preserve">4.3 Volatility Surface Inputs</w:t>
      </w:r>
    </w:p>
    <w:p>
      <w:pPr>
        <w:spacing w:after="120" w:before="0"/>
      </w:pPr>
      <w:r>
        <w:rPr>
          <w:rFonts w:ascii="Arial" w:cs="Arial" w:eastAsia="Arial" w:hAnsi="Arial"/>
          <w:color w:val="1A1A2E"/>
          <w:sz w:val="20"/>
          <w:szCs w:val="20"/>
        </w:rPr>
        <w:t xml:space="preserve">The six-dimensional state vector sₜ is constructed from two compressed representations:</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Signal</w:t>
            </w:r>
          </w:p>
        </w:tc>
        <w:tc>
          <w:tcPr>
            <w:tcW w:type="dxa" w:w="4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Definition</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Regime Information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Vol PC₁ (level)</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First principal component of [VIX, VXV, VVIX, VIX1D, IV Rank]. Explains ~75-80% of variance.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Current absolute fear level across all horizons</w:t>
            </w:r>
          </w:p>
        </w:tc>
      </w:tr>
      <w:tr>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Vol PC₂ (term structure)</w:t>
            </w:r>
          </w:p>
        </w:tc>
        <w:tc>
          <w:tcPr>
            <w:tcW w:type="dxa" w:w="4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Positive on VVIX, negative on VIX/VXV ratio. Orthogonal to PC₁.</w:t>
            </w:r>
          </w:p>
        </w:tc>
        <w:tc>
          <w:tcPr>
            <w:tcW w:type="dxa" w:w="33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Fear term structure slope: temporary panic vs structural stress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Vol PC₃ (event vs structural)</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Contrast between VIX1D and VXV. Near-term binary event risk vs long-horizon uncertainty.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Regime change anticipation independent of current level</w:t>
            </w:r>
          </w:p>
        </w:tc>
      </w:tr>
      <w:tr>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Yield level</w:t>
            </w:r>
          </w:p>
        </w:tc>
        <w:tc>
          <w:tcPr>
            <w:tcW w:type="dxa" w:w="4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Litterman-Scheinkman Factor 1 from LW dataset. Parallel shift.</w:t>
            </w:r>
          </w:p>
        </w:tc>
        <w:tc>
          <w:tcPr>
            <w:tcW w:type="dxa" w:w="33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Broad monetary policy stance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Yield slope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LS Factor 2. 2s10s spread from LW dataset.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Growth/recession pricing</w:t>
            </w:r>
          </w:p>
        </w:tc>
      </w:tr>
      <w:tr>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Yield curvature</w:t>
            </w:r>
          </w:p>
        </w:tc>
        <w:tc>
          <w:tcPr>
            <w:tcW w:type="dxa" w:w="4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LS Factor 3. Mid-cycle uncertainty signal.</w:t>
            </w:r>
          </w:p>
        </w:tc>
        <w:tc>
          <w:tcPr>
            <w:tcW w:type="dxa" w:w="33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Inflation expectations vs rate path uncertainty</w:t>
            </w:r>
          </w:p>
        </w:tc>
      </w:tr>
    </w:tbl>
    <w:p>
      <w:pPr>
        <w:pStyle w:val="Heading2"/>
        <w:spacing w:after="120" w:before="280"/>
      </w:pPr>
      <w:r>
        <w:rPr>
          <w:rFonts w:ascii="Arial" w:cs="Arial" w:eastAsia="Arial" w:hAnsi="Arial"/>
          <w:b/>
          <w:bCs/>
          <w:color w:val="2E75B6"/>
          <w:sz w:val="26"/>
          <w:szCs w:val="26"/>
        </w:rPr>
        <w:t xml:space="preserve">4.4 Intraday vs. Daily Frequency</w:t>
      </w:r>
    </w:p>
    <w:p>
      <w:pPr>
        <w:spacing w:after="120" w:before="0"/>
      </w:pPr>
      <w:r>
        <w:rPr>
          <w:rFonts w:ascii="Arial" w:cs="Arial" w:eastAsia="Arial" w:hAnsi="Arial"/>
          <w:color w:val="1A1A2E"/>
          <w:sz w:val="20"/>
          <w:szCs w:val="20"/>
        </w:rPr>
        <w:t xml:space="preserve">The full smoothing pipeline runs on daily data only. Regime probabilities from the prior day's close are held constant (step function, not interpolated) until the next daily update. Intraday signal generation for 0DTE and crypto uses:</w:t>
      </w:r>
    </w:p>
    <w:p>
      <w:pPr>
        <w:pStyle w:val="ListParagraph"/>
        <w:numPr>
          <w:ilvl w:val="0"/>
          <w:numId w:val="2"/>
        </w:numPr>
        <w:spacing w:after="80"/>
      </w:pPr>
      <w:r>
        <w:rPr>
          <w:rFonts w:ascii="Arial" w:cs="Arial" w:eastAsia="Arial" w:hAnsi="Arial"/>
          <w:color w:val="1A1A2E"/>
          <w:sz w:val="20"/>
          <w:szCs w:val="20"/>
        </w:rPr>
        <w:t xml:space="preserve">Realized volatility over trailing 2-hour windows</w:t>
      </w:r>
    </w:p>
    <w:p>
      <w:pPr>
        <w:pStyle w:val="ListParagraph"/>
        <w:numPr>
          <w:ilvl w:val="0"/>
          <w:numId w:val="2"/>
        </w:numPr>
        <w:spacing w:after="80"/>
      </w:pPr>
      <w:r>
        <w:rPr>
          <w:rFonts w:ascii="Arial" w:cs="Arial" w:eastAsia="Arial" w:hAnsi="Arial"/>
          <w:color w:val="1A1A2E"/>
          <w:sz w:val="20"/>
          <w:szCs w:val="20"/>
        </w:rPr>
        <w:t xml:space="preserve">VIX1D (real-time, intraday available)</w:t>
      </w:r>
    </w:p>
    <w:p>
      <w:pPr>
        <w:pStyle w:val="ListParagraph"/>
        <w:numPr>
          <w:ilvl w:val="0"/>
          <w:numId w:val="2"/>
        </w:numPr>
        <w:spacing w:after="80"/>
      </w:pPr>
      <w:r>
        <w:rPr>
          <w:rFonts w:ascii="Arial" w:cs="Arial" w:eastAsia="Arial" w:hAnsi="Arial"/>
          <w:color w:val="1A1A2E"/>
          <w:sz w:val="20"/>
          <w:szCs w:val="20"/>
        </w:rPr>
        <w:t xml:space="preserve">Order flow imbalance from tick data</w:t>
      </w:r>
    </w:p>
    <w:p>
      <w:pPr>
        <w:spacing w:after="120" w:before="0"/>
      </w:pPr>
      <w:r>
        <w:rPr>
          <w:rFonts w:ascii="Arial" w:cs="Arial" w:eastAsia="Arial" w:hAnsi="Arial"/>
          <w:color w:val="1A1A2E"/>
          <w:sz w:val="20"/>
          <w:szCs w:val="20"/>
        </w:rPr>
        <w:t xml:space="preserve">The daily regime probability (previous close) plus a small real-time VIX1D adjustment (weight: 0.10) governs intraday position sizing. No intraday ARMA re-estimation.</w:t>
      </w:r>
    </w:p>
    <w:p>
      <w:pPr>
        <w:pStyle w:val="Heading2"/>
        <w:spacing w:after="120" w:before="280"/>
      </w:pPr>
      <w:r>
        <w:rPr>
          <w:rFonts w:ascii="Arial" w:cs="Arial" w:eastAsia="Arial" w:hAnsi="Arial"/>
          <w:b/>
          <w:bCs/>
          <w:color w:val="2E75B6"/>
          <w:sz w:val="26"/>
          <w:szCs w:val="26"/>
        </w:rPr>
        <w:t xml:space="preserve">4.5 Yield Curve Publication Lag Handling</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GSW/LW Maturity</w:t>
            </w:r>
          </w:p>
        </w:tc>
        <w:tc>
          <w:tcPr>
            <w:tcW w:type="dxa" w:w="34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Intraday Real-Time Proxy</w:t>
            </w:r>
          </w:p>
        </w:tc>
        <w:tc>
          <w:tcPr>
            <w:tcW w:type="dxa" w:w="34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End-of-Day Replacement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2-year</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2yr Treasury futures (ZT)</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Published GSW/LW 2yr zero-coupon yield</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10-year</w:t>
            </w:r>
          </w:p>
        </w:tc>
        <w:tc>
          <w:tcPr>
            <w:tcW w:type="dxa" w:w="348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10yr Treasury futures (ZN)</w:t>
            </w:r>
          </w:p>
        </w:tc>
        <w:tc>
          <w:tcPr>
            <w:tcW w:type="dxa" w:w="348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Published GSW/LW 10yr zero-coupon yield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30-year</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30yr Treasury futures (ZB)</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Published GSW/LW 30yr zero-coupon yield</w:t>
            </w:r>
          </w:p>
        </w:tc>
      </w:tr>
    </w:tbl>
    <w:p>
      <w:pPr>
        <w:spacing w:after="120" w:before="0"/>
      </w:pPr>
      <w:r>
        <w:rPr>
          <w:rFonts w:ascii="Arial" w:cs="Arial" w:eastAsia="Arial" w:hAnsi="Arial"/>
          <w:color w:val="1A1A2E"/>
          <w:sz w:val="20"/>
          <w:szCs w:val="20"/>
        </w:rPr>
        <w:t xml:space="preserve">The difference between the intraday proxy and the published end-of-day value constitutes a measurement error term that is itself fed into the state vector. Large proxy-vs-published differences signal illiquidity or stress.</w:t>
      </w:r>
    </w:p>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5. Gamma-ARMA Meta-Model (Layer 2)</w:t>
      </w:r>
    </w:p>
    <w:p>
      <w:pPr>
        <w:pStyle w:val="Heading2"/>
        <w:spacing w:after="120" w:before="280"/>
      </w:pPr>
      <w:r>
        <w:rPr>
          <w:rFonts w:ascii="Arial" w:cs="Arial" w:eastAsia="Arial" w:hAnsi="Arial"/>
          <w:b/>
          <w:bCs/>
          <w:color w:val="2E75B6"/>
          <w:sz w:val="26"/>
          <w:szCs w:val="26"/>
        </w:rPr>
        <w:t xml:space="preserve">5.1 Model Structure</w:t>
      </w:r>
    </w:p>
    <w:p>
      <w:pPr>
        <w:spacing w:after="120" w:before="0"/>
      </w:pPr>
      <w:r>
        <w:rPr>
          <w:rFonts w:ascii="Arial" w:cs="Arial" w:eastAsia="Arial" w:hAnsi="Arial"/>
          <w:color w:val="1A1A2E"/>
          <w:sz w:val="20"/>
          <w:szCs w:val="20"/>
        </w:rPr>
        <w:t xml:space="preserve">The Gamma-ARMA meta-model places a Gamma distribution over a discrete but large (20-50) set of ARMA specifications, implemented as a Dirichlet Process Mixture. Rather than selecting a single ARMA model, the system maintains a probability distribution over the full ARMA parameter space and updates it continuously as new data arrives.</w:t>
      </w:r>
    </w:p>
    <w:p>
      <w:pPr>
        <w:spacing w:after="120" w:before="0"/>
      </w:pPr>
      <w:r>
        <w:rPr>
          <w:rFonts w:ascii="Arial" w:cs="Arial" w:eastAsia="Arial" w:hAnsi="Arial"/>
          <w:color w:val="1A1A2E"/>
          <w:sz w:val="20"/>
          <w:szCs w:val="20"/>
        </w:rPr>
        <w:t xml:space="preserve">The complete model for returns ΔYₜ:</w:t>
      </w:r>
    </w:p>
    <w:p>
      <w:pPr>
        <w:spacing w:after="120" w:before="0"/>
      </w:pPr>
      <w:r>
        <w:rPr>
          <w:rFonts w:ascii="Courier New" w:cs="Courier New" w:eastAsia="Courier New" w:hAnsi="Courier New"/>
          <w:color w:val="1B3A5C"/>
          <w:sz w:val="18"/>
          <w:szCs w:val="18"/>
        </w:rPr>
        <w:t xml:space="preserve">  ΔYₜ = μ + Σᵢ φᵢΔYₜ₋ᵢ + Σⱼ θⱼεₜ₋ⱼ + εₜ  (ARMA component)</w:t>
      </w:r>
    </w:p>
    <w:p>
      <w:pPr>
        <w:spacing w:after="120" w:before="0"/>
      </w:pPr>
      <w:r>
        <w:rPr>
          <w:rFonts w:ascii="Courier New" w:cs="Courier New" w:eastAsia="Courier New" w:hAnsi="Courier New"/>
          <w:color w:val="1B3A5C"/>
          <w:sz w:val="18"/>
          <w:szCs w:val="18"/>
        </w:rPr>
        <w:t xml:space="preserve">  σₜ² = ω + αεₜ₋₁² + βσₜ₋₁²           (GARCH component)</w:t>
      </w:r>
    </w:p>
    <w:p>
      <w:pPr>
        <w:spacing w:after="120" w:before="0"/>
      </w:pPr>
      <w:r>
        <w:rPr>
          <w:rFonts w:ascii="Courier New" w:cs="Courier New" w:eastAsia="Courier New" w:hAnsi="Courier New"/>
          <w:color w:val="1B3A5C"/>
          <w:sz w:val="18"/>
          <w:szCs w:val="18"/>
        </w:rPr>
        <w:t xml:space="preserve">  Jₜ ~ Poisson(λ(t)) with J ~ N(0, σⱼ²)     (jump component)</w:t>
      </w:r>
    </w:p>
    <w:p>
      <w:pPr>
        <w:spacing w:after="120" w:before="0"/>
      </w:pPr>
      <w:r>
        <w:rPr>
          <w:rFonts w:ascii="Arial" w:cs="Arial" w:eastAsia="Arial" w:hAnsi="Arial"/>
          <w:color w:val="1A1A2E"/>
          <w:sz w:val="20"/>
          <w:szCs w:val="20"/>
        </w:rPr>
        <w:t xml:space="preserve">The innovation εₜ has a regime-specific tail index α computed as a function of regime volatility scale (see Section 5.3).</w:t>
      </w:r>
    </w:p>
    <w:p>
      <w:pPr>
        <w:pStyle w:val="Heading2"/>
        <w:spacing w:after="120" w:before="280"/>
      </w:pPr>
      <w:r>
        <w:rPr>
          <w:rFonts w:ascii="Arial" w:cs="Arial" w:eastAsia="Arial" w:hAnsi="Arial"/>
          <w:b/>
          <w:bCs/>
          <w:color w:val="2E75B6"/>
          <w:sz w:val="26"/>
          <w:szCs w:val="26"/>
        </w:rPr>
        <w:t xml:space="preserve">5.2 Estimation Sequence (EM with Particle Filter)</w:t>
      </w:r>
    </w:p>
    <w:p>
      <w:pPr>
        <w:spacing w:after="120" w:before="0"/>
      </w:pPr>
      <w:r>
        <w:rPr>
          <w:rFonts w:ascii="Arial" w:cs="Arial" w:eastAsia="Arial" w:hAnsi="Arial"/>
          <w:color w:val="1A1A2E"/>
          <w:sz w:val="20"/>
          <w:szCs w:val="20"/>
        </w:rPr>
        <w:t xml:space="preserve">The chicken-and-egg identification problem (ARMA orders require regime labels; regime probabilities require ARMA likelihoods) is resolved by Expectation-Maximization with a particle filter E-step:</w:t>
      </w:r>
    </w:p>
    <w:p>
      <w:pPr>
        <w:pStyle w:val="ListParagraph"/>
        <w:numPr>
          <w:ilvl w:val="0"/>
          <w:numId w:val="3"/>
        </w:numPr>
        <w:spacing w:after="80"/>
      </w:pPr>
      <w:r>
        <w:rPr>
          <w:rFonts w:ascii="Arial" w:cs="Arial" w:eastAsia="Arial" w:hAnsi="Arial"/>
          <w:color w:val="1A1A2E"/>
          <w:sz w:val="20"/>
          <w:szCs w:val="20"/>
        </w:rPr>
        <w:t xml:space="preserve">Initialize: run rolling 1-year ARMA(p,q) on full available series, p,q ∈ {0,1,2}. Store as starting parameter candidates.</w:t>
      </w:r>
    </w:p>
    <w:p>
      <w:pPr>
        <w:pStyle w:val="ListParagraph"/>
        <w:numPr>
          <w:ilvl w:val="0"/>
          <w:numId w:val="3"/>
        </w:numPr>
        <w:spacing w:after="80"/>
      </w:pPr>
      <w:r>
        <w:rPr>
          <w:rFonts w:ascii="Arial" w:cs="Arial" w:eastAsia="Arial" w:hAnsi="Arial"/>
          <w:color w:val="1A1A2E"/>
          <w:sz w:val="20"/>
          <w:szCs w:val="20"/>
        </w:rPr>
        <w:t xml:space="preserve">E-step: apply particle filter to compute smoothed posterior probability of each regime at each time t, given current ARMA parameters.</w:t>
      </w:r>
    </w:p>
    <w:p>
      <w:pPr>
        <w:pStyle w:val="ListParagraph"/>
        <w:numPr>
          <w:ilvl w:val="0"/>
          <w:numId w:val="3"/>
        </w:numPr>
        <w:spacing w:after="80"/>
      </w:pPr>
      <w:r>
        <w:rPr>
          <w:rFonts w:ascii="Arial" w:cs="Arial" w:eastAsia="Arial" w:hAnsi="Arial"/>
          <w:color w:val="1A1A2E"/>
          <w:sz w:val="20"/>
          <w:szCs w:val="20"/>
        </w:rPr>
        <w:t xml:space="preserve">M-step: update ARMA parameters per regime using observations weighted by regime probabilities from E-step.</w:t>
      </w:r>
    </w:p>
    <w:p>
      <w:pPr>
        <w:pStyle w:val="ListParagraph"/>
        <w:numPr>
          <w:ilvl w:val="0"/>
          <w:numId w:val="3"/>
        </w:numPr>
        <w:spacing w:after="80"/>
      </w:pPr>
      <w:r>
        <w:rPr>
          <w:rFonts w:ascii="Arial" w:cs="Arial" w:eastAsia="Arial" w:hAnsi="Arial"/>
          <w:color w:val="1A1A2E"/>
          <w:sz w:val="20"/>
          <w:szCs w:val="20"/>
        </w:rPr>
        <w:t xml:space="preserve">Iterate until parameter change &lt; convergence threshold (1e-4 on log-likelihood).</w:t>
      </w:r>
    </w:p>
    <w:p>
      <w:pPr>
        <w:pStyle w:val="ListParagraph"/>
        <w:numPr>
          <w:ilvl w:val="0"/>
          <w:numId w:val="3"/>
        </w:numPr>
        <w:spacing w:after="80"/>
      </w:pPr>
      <w:r>
        <w:rPr>
          <w:rFonts w:ascii="Arial" w:cs="Arial" w:eastAsia="Arial" w:hAnsi="Arial"/>
          <w:color w:val="1A1A2E"/>
          <w:sz w:val="20"/>
          <w:szCs w:val="20"/>
        </w:rPr>
        <w:t xml:space="preserve">Store converged parameters as the current model version in the version registry.</w:t>
      </w:r>
    </w:p>
    <w:p>
      <w:pPr>
        <w:spacing w:after="80"/>
      </w:pPr>
      <w:r>
        <w:rPr>
          <w:rFonts w:ascii="Arial" w:cs="Arial" w:eastAsia="Arial" w:hAnsi="Arial"/>
          <w:color w:val="1A1A2E"/>
          <w:sz w:val="20"/>
          <w:szCs w:val="20"/>
        </w:rPr>
        <w:t xml:space="preserve"/>
      </w:r>
    </w:p>
    <w:p>
      <w:pPr>
        <w:spacing w:after="120" w:before="0"/>
      </w:pPr>
      <w:r>
        <w:rPr>
          <w:rFonts w:ascii="Arial" w:cs="Arial" w:eastAsia="Arial" w:hAnsi="Arial"/>
          <w:color w:val="1A1A2E"/>
          <w:sz w:val="20"/>
          <w:szCs w:val="20"/>
        </w:rPr>
        <w:t xml:space="preserve">In production, a recursive Bayesian update with forgetting factor λ = 0.99 runs daily as a fast approximation between weekly full EM runs. The hierarchical relationship:</w:t>
      </w:r>
    </w:p>
    <w:p>
      <w:pPr>
        <w:pStyle w:val="ListParagraph"/>
        <w:numPr>
          <w:ilvl w:val="0"/>
          <w:numId w:val="2"/>
        </w:numPr>
        <w:spacing w:after="80"/>
      </w:pPr>
      <w:r>
        <w:rPr>
          <w:rFonts w:ascii="Arial" w:cs="Arial" w:eastAsia="Arial" w:hAnsi="Arial"/>
          <w:color w:val="1A1A2E"/>
          <w:sz w:val="20"/>
          <w:szCs w:val="20"/>
        </w:rPr>
        <w:t xml:space="preserve">Daily fast path: recursive update with λ = 0.99 → provides next-day forecasts and regime probabilities</w:t>
      </w:r>
    </w:p>
    <w:p>
      <w:pPr>
        <w:pStyle w:val="ListParagraph"/>
        <w:numPr>
          <w:ilvl w:val="0"/>
          <w:numId w:val="2"/>
        </w:numPr>
        <w:spacing w:after="80"/>
      </w:pPr>
      <w:r>
        <w:rPr>
          <w:rFonts w:ascii="Arial" w:cs="Arial" w:eastAsia="Arial" w:hAnsi="Arial"/>
          <w:color w:val="1A1A2E"/>
          <w:sz w:val="20"/>
          <w:szCs w:val="20"/>
        </w:rPr>
        <w:t xml:space="preserve">Weekly Saturday: full EM using past week's data, warm-started from current recursive parameters</w:t>
      </w:r>
    </w:p>
    <w:p>
      <w:pPr>
        <w:pStyle w:val="ListParagraph"/>
        <w:numPr>
          <w:ilvl w:val="0"/>
          <w:numId w:val="2"/>
        </w:numPr>
        <w:spacing w:after="80"/>
      </w:pPr>
      <w:r>
        <w:rPr>
          <w:rFonts w:ascii="Arial" w:cs="Arial" w:eastAsia="Arial" w:hAnsi="Arial"/>
          <w:color w:val="1A1A2E"/>
          <w:sz w:val="20"/>
          <w:szCs w:val="20"/>
        </w:rPr>
        <w:t xml:space="preserve">If EM converges: replace recursive parameters with EM estimates for following week</w:t>
      </w:r>
    </w:p>
    <w:p>
      <w:pPr>
        <w:pStyle w:val="ListParagraph"/>
        <w:numPr>
          <w:ilvl w:val="0"/>
          <w:numId w:val="2"/>
        </w:numPr>
        <w:spacing w:after="80"/>
      </w:pPr>
      <w:r>
        <w:rPr>
          <w:rFonts w:ascii="Arial" w:cs="Arial" w:eastAsia="Arial" w:hAnsi="Arial"/>
          <w:color w:val="1A1A2E"/>
          <w:sz w:val="20"/>
          <w:szCs w:val="20"/>
        </w:rPr>
        <w:t xml:space="preserve">If EM fails to converge: keep recursive parameters; log warning; no human action</w:t>
      </w:r>
    </w:p>
    <w:p>
      <w:pPr>
        <w:pStyle w:val="Heading2"/>
        <w:spacing w:after="120" w:before="280"/>
      </w:pPr>
      <w:r>
        <w:rPr>
          <w:rFonts w:ascii="Arial" w:cs="Arial" w:eastAsia="Arial" w:hAnsi="Arial"/>
          <w:b/>
          <w:bCs/>
          <w:color w:val="2E75B6"/>
          <w:sz w:val="26"/>
          <w:szCs w:val="26"/>
        </w:rPr>
        <w:t xml:space="preserve">5.3 Tail Index Assignment for All Regimes</w:t>
      </w:r>
    </w:p>
    <w:p>
      <w:pPr>
        <w:spacing w:after="120" w:before="0"/>
      </w:pPr>
      <w:r>
        <w:rPr>
          <w:rFonts w:ascii="Arial" w:cs="Arial" w:eastAsia="Arial" w:hAnsi="Arial"/>
          <w:color w:val="1A1A2E"/>
          <w:sz w:val="20"/>
          <w:szCs w:val="20"/>
        </w:rPr>
        <w:t xml:space="preserve">Each regime (whether one of the three named base regimes or an emergent DPM regime) is assigned a tail index α as a deterministic function of its estimated volatility scale. This removes free parameters and handles novel regimes automatically:</w:t>
      </w:r>
    </w:p>
    <w:p>
      <w:pPr>
        <w:spacing w:after="120" w:before="0"/>
      </w:pPr>
      <w:r>
        <w:rPr>
          <w:rFonts w:ascii="Courier New" w:cs="Courier New" w:eastAsia="Courier New" w:hAnsi="Courier New"/>
          <w:color w:val="1B3A5C"/>
          <w:sz w:val="18"/>
          <w:szCs w:val="18"/>
        </w:rPr>
        <w:t xml:space="preserve">  α(regime) = 4.0 / (1 + 0.5 × log(σ_regime / σ_baseline))</w:t>
      </w:r>
    </w:p>
    <w:p>
      <w:pPr>
        <w:spacing w:after="120" w:before="0"/>
      </w:pPr>
      <w:r>
        <w:rPr>
          <w:rFonts w:ascii="Courier New" w:cs="Courier New" w:eastAsia="Courier New" w:hAnsi="Courier New"/>
          <w:color w:val="1B3A5C"/>
          <w:sz w:val="18"/>
          <w:szCs w:val="18"/>
        </w:rPr>
        <w:t xml:space="preserve">  Clipped to [1.5, 4.0]</w:t>
      </w:r>
    </w:p>
    <w:p>
      <w:pPr>
        <w:spacing w:after="120" w:before="0"/>
      </w:pPr>
      <w:r>
        <w:rPr>
          <w:rFonts w:ascii="Arial" w:cs="Arial" w:eastAsia="Arial" w:hAnsi="Arial"/>
          <w:color w:val="1A1A2E"/>
          <w:sz w:val="20"/>
          <w:szCs w:val="20"/>
        </w:rPr>
        <w:t xml:space="preserve">Higher volatility regimes receive lower (fatter-tailed) α values, consistent with the empirical relationship established in Section 2.2. σ_regime is estimated from the empirical standard deviation of εₜ within that regime's weighted observations.</w:t>
      </w:r>
    </w:p>
    <w:p>
      <w:pPr>
        <w:pStyle w:val="Heading2"/>
        <w:spacing w:after="120" w:before="280"/>
      </w:pPr>
      <w:r>
        <w:rPr>
          <w:rFonts w:ascii="Arial" w:cs="Arial" w:eastAsia="Arial" w:hAnsi="Arial"/>
          <w:b/>
          <w:bCs/>
          <w:color w:val="2E75B6"/>
          <w:sz w:val="26"/>
          <w:szCs w:val="26"/>
        </w:rPr>
        <w:t xml:space="preserve">5.4 Jump Process Specification</w:t>
      </w:r>
    </w:p>
    <w:p>
      <w:pPr>
        <w:spacing w:after="120" w:before="0"/>
      </w:pPr>
      <w:r>
        <w:rPr>
          <w:rFonts w:ascii="Arial" w:cs="Arial" w:eastAsia="Arial" w:hAnsi="Arial"/>
          <w:color w:val="1A1A2E"/>
          <w:sz w:val="20"/>
          <w:szCs w:val="20"/>
        </w:rPr>
        <w:t xml:space="preserve">A separate Poisson jump component runs alongside the ARMA-GARCH structure to capture binary geopolitical events, which are rare, large, and often mean-reverting within days. Absorbing jumps into a fat-tailed εₜ is insufficient because fat-tailed distributions have no mean-reversion baked in.</w:t>
      </w:r>
    </w:p>
    <w:p>
      <w:pPr>
        <w:spacing w:after="120" w:before="0"/>
      </w:pPr>
      <w:r>
        <w:rPr>
          <w:rFonts w:ascii="Arial" w:cs="Arial" w:eastAsia="Arial" w:hAnsi="Arial"/>
          <w:color w:val="1A1A2E"/>
          <w:sz w:val="20"/>
          <w:szCs w:val="20"/>
        </w:rPr>
        <w:t xml:space="preserve">Jump intensity is a fully autonomous function of market observables only. No human-labeled geopolitical dummy is used:</w:t>
      </w:r>
    </w:p>
    <w:p>
      <w:pPr>
        <w:spacing w:after="120" w:before="0"/>
      </w:pPr>
      <w:r>
        <w:rPr>
          <w:rFonts w:ascii="Courier New" w:cs="Courier New" w:eastAsia="Courier New" w:hAnsi="Courier New"/>
          <w:color w:val="1B3A5C"/>
          <w:sz w:val="18"/>
          <w:szCs w:val="18"/>
        </w:rPr>
        <w:t xml:space="preserve">  λ(t) = min(0.5, 0.01 + 0.3 × (VIX1D / (2 × 20dMA))⁺)</w:t>
      </w:r>
    </w:p>
    <w:p>
      <w:pPr>
        <w:spacing w:after="120" w:before="0"/>
      </w:pPr>
      <w:r>
        <w:rPr>
          <w:rFonts w:ascii="Arial" w:cs="Arial" w:eastAsia="Arial" w:hAnsi="Arial"/>
          <w:color w:val="1A1A2E"/>
          <w:sz w:val="20"/>
          <w:szCs w:val="20"/>
        </w:rPr>
        <w:t xml:space="preserve">When VIX1D &gt; 3× its 20-day MA and VIX/VXV &gt; 1.1 simultaneously, λ(t) = 0.5 (maximum). USD liquidity (OIS-SOFR spread + TGA balance changes) enters as an additive term to λ(t), not as a regime scaler. Jump size σⱼ is regime-dependent: largest in Floating ARMA.</w:t>
      </w:r>
    </w:p>
    <w:p>
      <w:pPr>
        <w:pStyle w:val="Heading2"/>
        <w:spacing w:after="120" w:before="280"/>
      </w:pPr>
      <w:r>
        <w:rPr>
          <w:rFonts w:ascii="Arial" w:cs="Arial" w:eastAsia="Arial" w:hAnsi="Arial"/>
          <w:b/>
          <w:bCs/>
          <w:color w:val="2E75B6"/>
          <w:sz w:val="26"/>
          <w:szCs w:val="26"/>
        </w:rPr>
        <w:t xml:space="preserve">5.5 Between-Regime Dynamics</w:t>
      </w:r>
    </w:p>
    <w:p>
      <w:pPr>
        <w:spacing w:after="120" w:before="0"/>
      </w:pPr>
      <w:r>
        <w:rPr>
          <w:rFonts w:ascii="Arial" w:cs="Arial" w:eastAsia="Arial" w:hAnsi="Arial"/>
          <w:color w:val="1A1A2E"/>
          <w:sz w:val="20"/>
          <w:szCs w:val="20"/>
        </w:rPr>
        <w:t xml:space="preserve">When regime transition is detected (regime_prob_floating_raw crosses 0.7 from below 0.3 in the prior 5 days):</w:t>
      </w:r>
    </w:p>
    <w:p>
      <w:pPr>
        <w:pStyle w:val="ListParagraph"/>
        <w:numPr>
          <w:ilvl w:val="0"/>
          <w:numId w:val="2"/>
        </w:numPr>
        <w:spacing w:after="80"/>
      </w:pPr>
      <w:r>
        <w:rPr>
          <w:rFonts w:ascii="Arial" w:cs="Arial" w:eastAsia="Arial" w:hAnsi="Arial"/>
          <w:color w:val="1A1A2E"/>
          <w:sz w:val="20"/>
          <w:szCs w:val="20"/>
        </w:rPr>
        <w:t xml:space="preserve">Lagged dependent variables Yₜ₋₁...Yₜ₋ₚ and lagged errors εₜ₋₁...εₜ₋ℙ are carried forward from the prior regime (price level and recent momentum do not vanish at a regime boundary)</w:t>
      </w:r>
    </w:p>
    <w:p>
      <w:pPr>
        <w:pStyle w:val="ListParagraph"/>
        <w:numPr>
          <w:ilvl w:val="0"/>
          <w:numId w:val="2"/>
        </w:numPr>
        <w:spacing w:after="80"/>
      </w:pPr>
      <w:r>
        <w:rPr>
          <w:rFonts w:ascii="Arial" w:cs="Arial" w:eastAsia="Arial" w:hAnsi="Arial"/>
          <w:color w:val="1A1A2E"/>
          <w:sz w:val="20"/>
          <w:szCs w:val="20"/>
        </w:rPr>
        <w:t xml:space="preserve">The innovation distribution is re-initialized to the new regime's tail index α immediately</w:t>
      </w:r>
    </w:p>
    <w:p>
      <w:pPr>
        <w:pStyle w:val="ListParagraph"/>
        <w:numPr>
          <w:ilvl w:val="0"/>
          <w:numId w:val="2"/>
        </w:numPr>
        <w:spacing w:after="80"/>
      </w:pPr>
      <w:r>
        <w:rPr>
          <w:rFonts w:ascii="Arial" w:cs="Arial" w:eastAsia="Arial" w:hAnsi="Arial"/>
          <w:color w:val="1A1A2E"/>
          <w:sz w:val="20"/>
          <w:szCs w:val="20"/>
        </w:rPr>
        <w:t xml:space="preserve">A 5-period burn-in applies exponential weighting with 3-day half-life:</w:t>
      </w:r>
    </w:p>
    <w:p>
      <w:pPr>
        <w:spacing w:after="120" w:before="0"/>
      </w:pPr>
      <w:r>
        <w:rPr>
          <w:rFonts w:ascii="Courier New" w:cs="Courier New" w:eastAsia="Courier New" w:hAnsi="Courier New"/>
          <w:color w:val="1B3A5C"/>
          <w:sz w:val="18"/>
          <w:szCs w:val="18"/>
        </w:rPr>
        <w:t xml:space="preserve">  w_new(t) = 1 - exp(-(t - t_shift) / 2.16)</w:t>
      </w:r>
    </w:p>
    <w:p>
      <w:pPr>
        <w:spacing w:after="120" w:before="0"/>
      </w:pPr>
      <w:r>
        <w:rPr>
          <w:rFonts w:ascii="Courier New" w:cs="Courier New" w:eastAsia="Courier New" w:hAnsi="Courier New"/>
          <w:color w:val="1B3A5C"/>
          <w:sz w:val="18"/>
          <w:szCs w:val="18"/>
        </w:rPr>
        <w:t xml:space="preserve">  forecast = w_old × old_regime_forecast + w_new × new_regime_forecast</w:t>
      </w:r>
    </w:p>
    <w:p>
      <w:pPr>
        <w:pStyle w:val="ListParagraph"/>
        <w:numPr>
          <w:ilvl w:val="0"/>
          <w:numId w:val="2"/>
        </w:numPr>
        <w:spacing w:after="80"/>
      </w:pPr>
      <w:r>
        <w:rPr>
          <w:rFonts w:ascii="Arial" w:cs="Arial" w:eastAsia="Arial" w:hAnsi="Arial"/>
          <w:color w:val="1A1A2E"/>
          <w:sz w:val="20"/>
          <w:szCs w:val="20"/>
        </w:rPr>
        <w:t xml:space="preserve">Burn-in resets when regime_prob_floating_raw drops below 0.4 for 3 consecutive days</w:t>
      </w:r>
    </w:p>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6. Cascade Interface (Layer 3)</w:t>
      </w:r>
    </w:p>
    <w:p>
      <w:pPr>
        <w:pStyle w:val="Heading2"/>
        <w:spacing w:after="120" w:before="280"/>
      </w:pPr>
      <w:r>
        <w:rPr>
          <w:rFonts w:ascii="Arial" w:cs="Arial" w:eastAsia="Arial" w:hAnsi="Arial"/>
          <w:b/>
          <w:bCs/>
          <w:color w:val="2E75B6"/>
          <w:sz w:val="26"/>
          <w:szCs w:val="26"/>
        </w:rPr>
        <w:t xml:space="preserve">6.1 Output Signal Specification</w:t>
      </w:r>
    </w:p>
    <w:p>
      <w:pPr>
        <w:spacing w:after="120" w:before="0"/>
      </w:pPr>
      <w:r>
        <w:rPr>
          <w:rFonts w:ascii="Arial" w:cs="Arial" w:eastAsia="Arial" w:hAnsi="Arial"/>
          <w:color w:val="1A1A2E"/>
          <w:sz w:val="20"/>
          <w:szCs w:val="20"/>
        </w:rPr>
        <w:t xml:space="preserve">The Gamma-ARMA meta-model produces three continuous signals to the circular futures cascade. Continuous weights are used rather than discrete labels to preserve information and avoid hard stops:</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Signal</w:t>
            </w:r>
          </w:p>
        </w:tc>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Definition</w:t>
            </w:r>
          </w:p>
        </w:tc>
        <w:tc>
          <w:tcPr>
            <w:tcW w:type="dxa" w:w="4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How Used in Cascade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regime_prob_fixed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Posterior probability that current state is Fixed ARMA (calm, mean-reverting)</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 position sizes; mean-reversion strategies favored; tighter trailing stops</w:t>
            </w:r>
          </w:p>
        </w:tc>
      </w:tr>
      <w:tr>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regime_prob_growth</w:t>
            </w:r>
          </w:p>
        </w:tc>
        <w:tc>
          <w:tcPr>
            <w:tcW w:type="dxa" w:w="3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Posterior probability of Growth ARMA (momentum, near-unit root)</w:t>
            </w:r>
          </w:p>
        </w:tc>
        <w:tc>
          <w:tcPr>
            <w:tcW w:type="dxa" w:w="41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Increased trend-following weights; widened trailing stops; full to 120% leverage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regime_prob_floating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Posterior probability of Floating ARMA (transition, parameter uncertainty)</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50-80% exposure cut; shorter holding periods; defensive posture activated</w:t>
            </w:r>
          </w:p>
        </w:tc>
      </w:tr>
    </w:tbl>
    <w:p>
      <w:pPr>
        <w:spacing w:after="120"/>
      </w:pPr>
      <w:r>
        <w:rPr>
          <w:rFonts w:ascii="Arial" w:cs="Arial" w:eastAsia="Arial" w:hAnsi="Arial"/>
          <w:color w:val="1A1A2E"/>
          <w:sz w:val="20"/>
          <w:szCs w:val="20"/>
        </w:rPr>
        <w:t xml:space="preserve"/>
      </w:r>
    </w:p>
    <w:p>
      <w:pPr>
        <w:spacing w:after="120" w:before="0"/>
      </w:pPr>
      <w:r>
        <w:rPr>
          <w:rFonts w:ascii="Arial" w:cs="Arial" w:eastAsia="Arial" w:hAnsi="Arial"/>
          <w:color w:val="1A1A2E"/>
          <w:sz w:val="20"/>
          <w:szCs w:val="20"/>
        </w:rPr>
        <w:t xml:space="preserve">The three signals sum to 1.0 at all times, allowing the cascade to compute a weighted blend of strategy behaviors continuously. No strategy is fully switched off unless regime_prob_floating exceeds 0.85 (at which point the 80% exposure cut applies).</w:t>
      </w:r>
    </w:p>
    <w:p>
      <w:pPr>
        <w:pStyle w:val="Heading2"/>
        <w:spacing w:after="120" w:before="280"/>
      </w:pPr>
      <w:r>
        <w:rPr>
          <w:rFonts w:ascii="Arial" w:cs="Arial" w:eastAsia="Arial" w:hAnsi="Arial"/>
          <w:b/>
          <w:bCs/>
          <w:color w:val="2E75B6"/>
          <w:sz w:val="26"/>
          <w:szCs w:val="26"/>
        </w:rPr>
        <w:t xml:space="preserve">6.2 Cross-Asset Linkage</w:t>
      </w:r>
    </w:p>
    <w:p>
      <w:pPr>
        <w:spacing w:after="120" w:before="0"/>
      </w:pPr>
      <w:r>
        <w:rPr>
          <w:rFonts w:ascii="Arial" w:cs="Arial" w:eastAsia="Arial" w:hAnsi="Arial"/>
          <w:color w:val="1A1A2E"/>
          <w:sz w:val="20"/>
          <w:szCs w:val="20"/>
        </w:rPr>
        <w:t xml:space="preserve">Asset-class-specific state vectors are computed independently, then adjusted by a global risk layer representing macro conditions common to all assets:</w:t>
      </w:r>
    </w:p>
    <w:p>
      <w:pPr>
        <w:spacing w:after="120" w:before="0"/>
      </w:pPr>
      <w:r>
        <w:rPr>
          <w:rFonts w:ascii="Courier New" w:cs="Courier New" w:eastAsia="Courier New" w:hAnsi="Courier New"/>
          <w:color w:val="1B3A5C"/>
          <w:sz w:val="18"/>
          <w:szCs w:val="18"/>
        </w:rPr>
        <w:t xml:space="preserve">  regime_prob_fixed_final(i,t) = regime_prob_fixed_raw(i,t) × (1 - global_risk_off(t))</w:t>
      </w:r>
    </w:p>
    <w:p>
      <w:pPr>
        <w:spacing w:after="120" w:before="0"/>
      </w:pPr>
      <w:r>
        <w:rPr>
          <w:rFonts w:ascii="Courier New" w:cs="Courier New" w:eastAsia="Courier New" w:hAnsi="Courier New"/>
          <w:color w:val="1B3A5C"/>
          <w:sz w:val="18"/>
          <w:szCs w:val="18"/>
        </w:rPr>
        <w:t xml:space="preserve">  regime_prob_floating_final(i,t) = regime_prob_floating_raw(i,t) + global_risk_off(t) × 0.3</w:t>
      </w:r>
    </w:p>
    <w:p>
      <w:pPr>
        <w:spacing w:after="120" w:before="0"/>
      </w:pPr>
      <w:r>
        <w:rPr>
          <w:rFonts w:ascii="Courier New" w:cs="Courier New" w:eastAsia="Courier New" w:hAnsi="Courier New"/>
          <w:color w:val="1B3A5C"/>
          <w:sz w:val="18"/>
          <w:szCs w:val="18"/>
        </w:rPr>
        <w:t xml:space="preserve">  regime_prob_growth_final(i,t) = 1 - sum of the other two</w:t>
      </w:r>
    </w:p>
    <w:p>
      <w:pPr>
        <w:spacing w:after="120" w:before="0"/>
      </w:pPr>
      <w:r>
        <w:rPr>
          <w:rFonts w:ascii="Courier New" w:cs="Courier New" w:eastAsia="Courier New" w:hAnsi="Courier New"/>
          <w:color w:val="1B3A5C"/>
          <w:sz w:val="18"/>
          <w:szCs w:val="18"/>
        </w:rPr>
        <w:t xml:space="preserve">  global_risk_off(t) = normalize(VIX/VXV ratio), clipped to [0, 1]</w:t>
      </w:r>
    </w:p>
    <w:p>
      <w:pPr>
        <w:spacing w:after="120" w:before="0"/>
      </w:pPr>
      <w:r>
        <w:rPr>
          <w:rFonts w:ascii="Arial" w:cs="Arial" w:eastAsia="Arial" w:hAnsi="Arial"/>
          <w:color w:val="1A1A2E"/>
          <w:sz w:val="20"/>
          <w:szCs w:val="20"/>
        </w:rPr>
        <w:t xml:space="preserve">This ensures that during global stress events (Strait of Hormuz, systemic credit events), all asset classes simultaneously shift toward Floating ARMA regardless of their individual state vector readings.</w:t>
      </w:r>
    </w:p>
    <w:p>
      <w:pPr>
        <w:pStyle w:val="Heading2"/>
        <w:spacing w:after="120" w:before="280"/>
      </w:pPr>
      <w:r>
        <w:rPr>
          <w:rFonts w:ascii="Arial" w:cs="Arial" w:eastAsia="Arial" w:hAnsi="Arial"/>
          <w:b/>
          <w:bCs/>
          <w:color w:val="2E75B6"/>
          <w:sz w:val="26"/>
          <w:szCs w:val="26"/>
        </w:rPr>
        <w:t xml:space="preserve">6.3 Update Frequency</w:t>
      </w:r>
    </w:p>
    <w:p>
      <w:pPr>
        <w:pStyle w:val="ListParagraph"/>
        <w:numPr>
          <w:ilvl w:val="0"/>
          <w:numId w:val="2"/>
        </w:numPr>
        <w:spacing w:after="80"/>
      </w:pPr>
      <w:r>
        <w:rPr>
          <w:rFonts w:ascii="Arial" w:cs="Arial" w:eastAsia="Arial" w:hAnsi="Arial"/>
          <w:color w:val="1A1A2E"/>
          <w:sz w:val="20"/>
          <w:szCs w:val="20"/>
        </w:rPr>
        <w:t xml:space="preserve">Daily baseline: regime probabilities updated after market close; available before next open</w:t>
      </w:r>
    </w:p>
    <w:p>
      <w:pPr>
        <w:pStyle w:val="ListParagraph"/>
        <w:numPr>
          <w:ilvl w:val="0"/>
          <w:numId w:val="2"/>
        </w:numPr>
        <w:spacing w:after="80"/>
      </w:pPr>
      <w:r>
        <w:rPr>
          <w:rFonts w:ascii="Arial" w:cs="Arial" w:eastAsia="Arial" w:hAnsi="Arial"/>
          <w:color w:val="1A1A2E"/>
          <w:sz w:val="20"/>
          <w:szCs w:val="20"/>
        </w:rPr>
        <w:t xml:space="preserve">Intraday trigger 1: if VIX/VXV ratio crosses 1.1, intraday regime probability update fires within 5 minutes</w:t>
      </w:r>
    </w:p>
    <w:p>
      <w:pPr>
        <w:pStyle w:val="ListParagraph"/>
        <w:numPr>
          <w:ilvl w:val="0"/>
          <w:numId w:val="2"/>
        </w:numPr>
        <w:spacing w:after="80"/>
      </w:pPr>
      <w:r>
        <w:rPr>
          <w:rFonts w:ascii="Arial" w:cs="Arial" w:eastAsia="Arial" w:hAnsi="Arial"/>
          <w:color w:val="1A1A2E"/>
          <w:sz w:val="20"/>
          <w:szCs w:val="20"/>
        </w:rPr>
        <w:t xml:space="preserve">Intraday trigger 2: if VVIX rises more than 2σ from its 5-day mean, intraday update fires</w:t>
      </w:r>
    </w:p>
    <w:p>
      <w:pPr>
        <w:pStyle w:val="ListParagraph"/>
        <w:numPr>
          <w:ilvl w:val="0"/>
          <w:numId w:val="2"/>
        </w:numPr>
        <w:spacing w:after="80"/>
      </w:pPr>
      <w:r>
        <w:rPr>
          <w:rFonts w:ascii="Arial" w:cs="Arial" w:eastAsia="Arial" w:hAnsi="Arial"/>
          <w:color w:val="1A1A2E"/>
          <w:sz w:val="20"/>
          <w:szCs w:val="20"/>
        </w:rPr>
        <w:t xml:space="preserve">0DTE overlay: uses previous day's close regime probability plus 0.10 × VIX1D anomaly; no same-session feedback loop (see Section 6.5)</w:t>
      </w:r>
    </w:p>
    <w:p>
      <w:pPr>
        <w:pStyle w:val="Heading2"/>
        <w:spacing w:after="120" w:before="280"/>
      </w:pPr>
      <w:r>
        <w:rPr>
          <w:rFonts w:ascii="Arial" w:cs="Arial" w:eastAsia="Arial" w:hAnsi="Arial"/>
          <w:b/>
          <w:bCs/>
          <w:color w:val="2E75B6"/>
          <w:sz w:val="26"/>
          <w:szCs w:val="26"/>
        </w:rPr>
        <w:t xml:space="preserve">6.4 Integration with risk_engine.py</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risk_engine.py Lane</w:t>
            </w:r>
          </w:p>
        </w:tc>
        <w:tc>
          <w:tcPr>
            <w:tcW w:type="dxa" w:w="6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Relationship to Gamma-ARMA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Base model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REPLACE with Gamma-ARMA regime-specific conditional mean forecast</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VaR / sVaR</w:t>
            </w:r>
          </w:p>
        </w:tc>
        <w:tc>
          <w:tcPr>
            <w:tcW w:type="dxa" w:w="6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FEED Gamma-ARMA regime-conditional volatility (GARCH + tail index α) as the vol input. No other changes to VaR/sVaR calculation.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RNIV / long-tail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REPLACE static EVT threshold with regime-specific tail index α from Section 5.3</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Six Sigma oracle</w:t>
            </w:r>
          </w:p>
        </w:tc>
        <w:tc>
          <w:tcPr>
            <w:tcW w:type="dxa" w:w="6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UNCHANGED. Black swan event overlay is exogenous; Gamma-ARMA does not touch it.</w:t>
            </w:r>
          </w:p>
        </w:tc>
      </w:tr>
    </w:tbl>
    <w:p>
      <w:pPr>
        <w:spacing w:after="120"/>
      </w:pPr>
      <w:r>
        <w:rPr>
          <w:rFonts w:ascii="Arial" w:cs="Arial" w:eastAsia="Arial" w:hAnsi="Arial"/>
          <w:color w:val="1A1A2E"/>
          <w:sz w:val="20"/>
          <w:szCs w:val="20"/>
        </w:rPr>
        <w:t xml:space="preserve"/>
      </w:r>
    </w:p>
    <w:p>
      <w:pPr>
        <w:spacing w:after="120" w:before="0"/>
      </w:pPr>
      <w:r>
        <w:rPr>
          <w:rFonts w:ascii="Arial" w:cs="Arial" w:eastAsia="Arial" w:hAnsi="Arial"/>
          <w:color w:val="1A1A2E"/>
          <w:sz w:val="20"/>
          <w:szCs w:val="20"/>
        </w:rPr>
        <w:t xml:space="preserve">The Gamma-ARMA output object delivered to risk_engine.py each morning:</w:t>
      </w:r>
    </w:p>
    <w:p>
      <w:pPr>
        <w:spacing w:after="120" w:before="0"/>
      </w:pPr>
      <w:r>
        <w:rPr>
          <w:rFonts w:ascii="Courier New" w:cs="Courier New" w:eastAsia="Courier New" w:hAnsi="Courier New"/>
          <w:color w:val="1B3A5C"/>
          <w:sz w:val="18"/>
          <w:szCs w:val="18"/>
        </w:rPr>
        <w:t xml:space="preserve">  { "regime_probs": [p_fixed, p_growth, p_floating],</w:t>
      </w:r>
    </w:p>
    <w:p>
      <w:pPr>
        <w:spacing w:after="120" w:before="0"/>
      </w:pPr>
      <w:r>
        <w:rPr>
          <w:rFonts w:ascii="Courier New" w:cs="Courier New" w:eastAsia="Courier New" w:hAnsi="Courier New"/>
          <w:color w:val="1B3A5C"/>
          <w:sz w:val="18"/>
          <w:szCs w:val="18"/>
        </w:rPr>
        <w:t xml:space="preserve">    "cond_vol": float,</w:t>
      </w:r>
    </w:p>
    <w:p>
      <w:pPr>
        <w:spacing w:after="120" w:before="0"/>
      </w:pPr>
      <w:r>
        <w:rPr>
          <w:rFonts w:ascii="Courier New" w:cs="Courier New" w:eastAsia="Courier New" w:hAnsi="Courier New"/>
          <w:color w:val="1B3A5C"/>
          <w:sz w:val="18"/>
          <w:szCs w:val="18"/>
        </w:rPr>
        <w:t xml:space="preserve">    "tail_alpha": float,</w:t>
      </w:r>
    </w:p>
    <w:p>
      <w:pPr>
        <w:spacing w:after="120" w:before="0"/>
      </w:pPr>
      <w:r>
        <w:rPr>
          <w:rFonts w:ascii="Courier New" w:cs="Courier New" w:eastAsia="Courier New" w:hAnsi="Courier New"/>
          <w:color w:val="1B3A5C"/>
          <w:sz w:val="18"/>
          <w:szCs w:val="18"/>
        </w:rPr>
        <w:t xml:space="preserve">    "jump_intensity": float }</w:t>
      </w:r>
    </w:p>
    <w:p>
      <w:pPr>
        <w:pStyle w:val="Heading2"/>
        <w:spacing w:after="120" w:before="280"/>
      </w:pPr>
      <w:r>
        <w:rPr>
          <w:rFonts w:ascii="Arial" w:cs="Arial" w:eastAsia="Arial" w:hAnsi="Arial"/>
          <w:b/>
          <w:bCs/>
          <w:color w:val="2E75B6"/>
          <w:sz w:val="26"/>
          <w:szCs w:val="26"/>
        </w:rPr>
        <w:t xml:space="preserve">6.5 0DTE Feedback Loop Prevention</w:t>
      </w:r>
    </w:p>
    <w:p>
      <w:pPr>
        <w:spacing w:after="120" w:before="0"/>
      </w:pPr>
      <w:r>
        <w:rPr>
          <w:rFonts w:ascii="Arial" w:cs="Arial" w:eastAsia="Arial" w:hAnsi="Arial"/>
          <w:color w:val="1A1A2E"/>
          <w:sz w:val="20"/>
          <w:szCs w:val="20"/>
        </w:rPr>
        <w:t xml:space="preserve">VIX1D is both an input to the regime framework (via Vol PC₃) and potentially influenced by Blaque Baux's own 0DTE trading activity. The feedback loop is broken by timestamp lag:</w:t>
      </w:r>
    </w:p>
    <w:p>
      <w:pPr>
        <w:pStyle w:val="ListParagraph"/>
        <w:numPr>
          <w:ilvl w:val="0"/>
          <w:numId w:val="2"/>
        </w:numPr>
        <w:spacing w:after="80"/>
      </w:pPr>
      <w:r>
        <w:rPr>
          <w:rFonts w:ascii="Arial" w:cs="Arial" w:eastAsia="Arial" w:hAnsi="Arial"/>
          <w:color w:val="1A1A2E"/>
          <w:sz w:val="20"/>
          <w:szCs w:val="20"/>
        </w:rPr>
        <w:t xml:space="preserve">VIX1D used for today's regime calculation is the PREVIOUS DAY's close VIX1D, not real-time</w:t>
      </w:r>
    </w:p>
    <w:p>
      <w:pPr>
        <w:pStyle w:val="ListParagraph"/>
        <w:numPr>
          <w:ilvl w:val="0"/>
          <w:numId w:val="2"/>
        </w:numPr>
        <w:spacing w:after="80"/>
      </w:pPr>
      <w:r>
        <w:rPr>
          <w:rFonts w:ascii="Arial" w:cs="Arial" w:eastAsia="Arial" w:hAnsi="Arial"/>
          <w:color w:val="1A1A2E"/>
          <w:sz w:val="20"/>
          <w:szCs w:val="20"/>
        </w:rPr>
        <w:t xml:space="preserve">Today's 0DTE trading decisions (based on yesterday's regime) cannot feed into today's VIX1D calculation</w:t>
      </w:r>
    </w:p>
    <w:p>
      <w:pPr>
        <w:pStyle w:val="ListParagraph"/>
        <w:numPr>
          <w:ilvl w:val="0"/>
          <w:numId w:val="2"/>
        </w:numPr>
        <w:spacing w:after="80"/>
      </w:pPr>
      <w:r>
        <w:rPr>
          <w:rFonts w:ascii="Arial" w:cs="Arial" w:eastAsia="Arial" w:hAnsi="Arial"/>
          <w:color w:val="1A1A2E"/>
          <w:sz w:val="20"/>
          <w:szCs w:val="20"/>
        </w:rPr>
        <w:t xml:space="preserve">The circular futures cascade may use intraday 0DTE signals internally; the regime framework sees a lagged VIX1D only</w:t>
      </w:r>
    </w:p>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7. Position Sizing and Risk Controls</w:t>
      </w:r>
    </w:p>
    <w:p>
      <w:pPr>
        <w:pStyle w:val="Heading2"/>
        <w:spacing w:after="120" w:before="280"/>
      </w:pPr>
      <w:r>
        <w:rPr>
          <w:rFonts w:ascii="Arial" w:cs="Arial" w:eastAsia="Arial" w:hAnsi="Arial"/>
          <w:b/>
          <w:bCs/>
          <w:color w:val="2E75B6"/>
          <w:sz w:val="26"/>
          <w:szCs w:val="26"/>
        </w:rPr>
        <w:t xml:space="preserve">7.1 Reflexivity Governor</w:t>
      </w:r>
    </w:p>
    <w:p>
      <w:pPr>
        <w:spacing w:after="120" w:before="0"/>
      </w:pPr>
      <w:r>
        <w:rPr>
          <w:rFonts w:ascii="Arial" w:cs="Arial" w:eastAsia="Arial" w:hAnsi="Arial"/>
          <w:color w:val="1A1A2E"/>
          <w:sz w:val="20"/>
          <w:szCs w:val="20"/>
        </w:rPr>
        <w:t xml:space="preserve">If Blaque Baux aggregate capital in a given tier exceeds 2% of that tier's average daily volume, all regime signals are scaled down linearly with the excess. This prevents the system from estimating a structural model in a market it is meaningfully moving.</w:t>
      </w:r>
    </w:p>
    <w:p>
      <w:pPr>
        <w:pStyle w:val="Heading2"/>
        <w:spacing w:after="120" w:before="280"/>
      </w:pPr>
      <w:r>
        <w:rPr>
          <w:rFonts w:ascii="Arial" w:cs="Arial" w:eastAsia="Arial" w:hAnsi="Arial"/>
          <w:b/>
          <w:bCs/>
          <w:color w:val="2E75B6"/>
          <w:sz w:val="26"/>
          <w:szCs w:val="26"/>
        </w:rPr>
        <w:t xml:space="preserve">7.2 Absolute Position Floor</w:t>
      </w:r>
    </w:p>
    <w:p>
      <w:pPr>
        <w:spacing w:after="120" w:before="0"/>
      </w:pPr>
      <w:r>
        <w:rPr>
          <w:rFonts w:ascii="Arial" w:cs="Arial" w:eastAsia="Arial" w:hAnsi="Arial"/>
          <w:color w:val="1A1A2E"/>
          <w:sz w:val="20"/>
          <w:szCs w:val="20"/>
        </w:rPr>
        <w:t xml:space="preserve">After all percentage-based adjustments, any position with notional below $500 is closed entirely. Rationale: assuming 10bp commission + 2bp slippage = 12bp round trip, the minimum viable expected edge per trade ($5) requires at least $500 notional to be economically rational. For IBKR minimum order sizes, if the closing order is below 1 share or 1 contract, do not send the order; reduce to zero on the next daily rebalance.</w:t>
      </w:r>
    </w:p>
    <w:p>
      <w:pPr>
        <w:pStyle w:val="Heading2"/>
        <w:spacing w:after="120" w:before="280"/>
      </w:pPr>
      <w:r>
        <w:rPr>
          <w:rFonts w:ascii="Arial" w:cs="Arial" w:eastAsia="Arial" w:hAnsi="Arial"/>
          <w:b/>
          <w:bCs/>
          <w:color w:val="2E75B6"/>
          <w:sz w:val="26"/>
          <w:szCs w:val="26"/>
        </w:rPr>
        <w:t xml:space="preserve">7.3 Asset-Class State Vector Assignments</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Asset Class</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State Vector</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Volatility Signal</w:t>
            </w:r>
          </w:p>
        </w:tc>
        <w:tc>
          <w:tcPr>
            <w:tcW w:type="dxa" w:w="2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US Equities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 6-dim sₜ (Vol PCs + Yield factors)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VIX, VXV, VVIX, VIX1D, IV Rank</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Primary deployment; full framework from Day 252</w:t>
            </w:r>
          </w:p>
        </w:tc>
      </w:tr>
      <w:tr>
        <w:tc>
          <w:tcPr>
            <w:tcW w:type="dxa" w:w="1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Commodities</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 6-dim sₜ; re-estimated from scratch</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OVX for crude; commodity-specific realized vol</w:t>
            </w:r>
          </w:p>
        </w:tc>
        <w:tc>
          <w:tcPr>
            <w:tcW w:type="dxa" w:w="2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No parameter transfer from equity estimation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EMEA Equities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 6-dim sₜ; 1-day lag for cross-timezone correlation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VSTOXX, end-of-day data only</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No intraday cross-timezone correlation attempt</w:t>
            </w:r>
          </w:p>
        </w:tc>
      </w:tr>
      <w:tr>
        <w:tc>
          <w:tcPr>
            <w:tcW w:type="dxa" w:w="1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Crypto (1-2hr windows)</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Asset-class-specific; realized vol + options skew from Deribit</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Crypto implied vol (no VIX equivalent)</w:t>
            </w:r>
          </w:p>
        </w:tc>
        <w:tc>
          <w:tcPr>
            <w:tcW w:type="dxa" w:w="2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ARMA(0,1) structure dominant; 1-2hr windows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0DTE overlay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Separate short-horizon regime; ARMA(0,1)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VIX1D (lagged one day for regime input)</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MA(1) structure in returns from daily option expiry</w:t>
            </w:r>
          </w:p>
        </w:tc>
      </w:tr>
    </w:tbl>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8. Deployment Architecture</w:t>
      </w:r>
    </w:p>
    <w:p>
      <w:pPr>
        <w:pStyle w:val="Heading2"/>
        <w:spacing w:after="120" w:before="280"/>
      </w:pPr>
      <w:r>
        <w:rPr>
          <w:rFonts w:ascii="Arial" w:cs="Arial" w:eastAsia="Arial" w:hAnsi="Arial"/>
          <w:b/>
          <w:bCs/>
          <w:color w:val="2E75B6"/>
          <w:sz w:val="26"/>
          <w:szCs w:val="26"/>
        </w:rPr>
        <w:t xml:space="preserve">8.1 Cold Start Protocol</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00"/>
        <w:gridCol w:w="2000"/>
        <w:gridCol w:w="1680"/>
      </w:tblGrid>
      <w:tr>
        <w:tc>
          <w:tcPr>
            <w:tcW w:type="dxa" w:w="144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Phase</w:t>
            </w:r>
          </w:p>
        </w:tc>
        <w:tc>
          <w:tcPr>
            <w:tcW w:type="dxa" w:w="144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Trading Days</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Model Active</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Position Sizing</w:t>
            </w:r>
          </w:p>
        </w:tc>
        <w:tc>
          <w:tcPr>
            <w:tcW w:type="dxa" w:w="1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DPM Active?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1: Minimal</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Days 1-63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Constant mean + rolling 60d vol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50% of normal</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No</w:t>
            </w:r>
          </w:p>
        </w:tc>
      </w:tr>
      <w:tr>
        <w:tc>
          <w:tcPr>
            <w:tcW w:type="dxa" w:w="144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2: Base ARMA</w:t>
            </w:r>
          </w:p>
        </w:tc>
        <w:tc>
          <w:tcPr>
            <w:tcW w:type="dxa" w:w="144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Days 64-251</w:t>
            </w:r>
          </w:p>
        </w:tc>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ARMA(1,1) with GARCH(1,1)</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75% of normal</w:t>
            </w:r>
          </w:p>
        </w:tc>
        <w:tc>
          <w:tcPr>
            <w:tcW w:type="dxa" w:w="168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No</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3: Full framework</w:t>
            </w:r>
          </w:p>
        </w:tc>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Day 252 onward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 Gamma-ARMA + DPM, initialized on 1-year data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100% of normal</w:t>
            </w:r>
          </w:p>
        </w:tc>
        <w:tc>
          <w:tcPr>
            <w:tcW w:type="dxa" w:w="1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Yes</w:t>
            </w:r>
          </w:p>
        </w:tc>
      </w:tr>
    </w:tbl>
    <w:p>
      <w:pPr>
        <w:spacing w:after="120" w:before="0"/>
      </w:pPr>
      <w:r>
        <w:rPr>
          <w:rFonts w:ascii="Arial" w:cs="Arial" w:eastAsia="Arial" w:hAnsi="Arial"/>
          <w:color w:val="1A1A2E"/>
          <w:sz w:val="20"/>
          <w:szCs w:val="20"/>
        </w:rPr>
        <w:t xml:space="preserve">Minimum viable window before DPM activation: 252 trading days (one full market cycle). Transition from Phase 2 to Phase 3 is fully automatic on Day 252; no human intervention required.</w:t>
      </w:r>
    </w:p>
    <w:p>
      <w:pPr>
        <w:pStyle w:val="Heading2"/>
        <w:spacing w:after="120" w:before="280"/>
      </w:pPr>
      <w:r>
        <w:rPr>
          <w:rFonts w:ascii="Arial" w:cs="Arial" w:eastAsia="Arial" w:hAnsi="Arial"/>
          <w:b/>
          <w:bCs/>
          <w:color w:val="2E75B6"/>
          <w:sz w:val="26"/>
          <w:szCs w:val="26"/>
        </w:rPr>
        <w:t xml:space="preserve">8.2 Three-Machine Compute Assignment</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60"/>
        <w:gridCol w:w="160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Machine</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Role</w:t>
            </w:r>
          </w:p>
        </w:tc>
        <w:tc>
          <w:tcPr>
            <w:tcW w:type="dxa" w:w="3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Framework Component</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Latency Budget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M3 Studio (orchestrator)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SmallClaw orchestrator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Layer 1 smoothing pipeline (LOESS, SG, rolling median); state vector sₜ construction; cascade interface output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&lt; 30 min after close</w:t>
            </w:r>
          </w:p>
        </w:tc>
      </w:tr>
      <w:tr>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DGX Spark (training primary)</w:t>
            </w:r>
          </w:p>
        </w:tc>
        <w:tc>
          <w:tcPr>
            <w:tcW w:type="dxa" w:w="2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Training / EM estimation</w:t>
            </w:r>
          </w:p>
        </w:tc>
        <w:tc>
          <w:tcPr>
            <w:tcW w:type="dxa" w:w="3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Weekly EM re-estimation; particle filter E-step; DPM concentration update; bootstrap B=5,000 replications (GPU-parallelized via cupy/jax)</w:t>
            </w:r>
          </w:p>
        </w:tc>
        <w:tc>
          <w:tcPr>
            <w:tcW w:type="dxa" w:w="1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Saturday 4-hour window</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RTX 5090 (inference/execution)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Inference + execution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Daily recursive Bayesian update (λ=0.99); intraday regime probability updates on vol triggers; order generation and IBKR routing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&lt; 5 sec for intraday triggers</w:t>
            </w:r>
          </w:p>
        </w:tc>
      </w:tr>
    </w:tbl>
    <w:p>
      <w:pPr>
        <w:spacing w:after="12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Parallelization Note: </w:t>
            </w:r>
            <w:r>
              <w:rPr>
                <w:rFonts w:ascii="Arial" w:cs="Arial" w:eastAsia="Arial" w:hAnsi="Arial"/>
                <w:color w:val="1A1A2E"/>
                <w:sz w:val="20"/>
                <w:szCs w:val="20"/>
              </w:rPr>
              <w:t xml:space="preserve">Block bootstrap (B=5,000 replications × 3 asset classes × 10 years daily data) is embarrassingly parallel. Target runtime on DGX Spark: 2-3 minutes. The EM ARMA parameter estimation is the actual computational bottleneck; this drives the weekly rather than daily full re-estimation cadence.</w:t>
            </w:r>
          </w:p>
        </w:tc>
      </w:tr>
    </w:tbl>
    <w:p>
      <w:pPr>
        <w:pStyle w:val="Heading2"/>
        <w:spacing w:after="120" w:before="280"/>
      </w:pPr>
      <w:r>
        <w:rPr>
          <w:rFonts w:ascii="Arial" w:cs="Arial" w:eastAsia="Arial" w:hAnsi="Arial"/>
          <w:b/>
          <w:bCs/>
          <w:color w:val="2E75B6"/>
          <w:sz w:val="26"/>
          <w:szCs w:val="26"/>
        </w:rPr>
        <w:t xml:space="preserve">8.3 Phased Deployment Sequence</w:t>
      </w:r>
    </w:p>
    <w:p>
      <w:pPr>
        <w:pStyle w:val="ListParagraph"/>
        <w:numPr>
          <w:ilvl w:val="0"/>
          <w:numId w:val="3"/>
        </w:numPr>
        <w:spacing w:after="80"/>
      </w:pPr>
      <w:r>
        <w:rPr>
          <w:rFonts w:ascii="Arial" w:cs="Arial" w:eastAsia="Arial" w:hAnsi="Arial"/>
          <w:color w:val="1A1A2E"/>
          <w:sz w:val="20"/>
          <w:szCs w:val="20"/>
        </w:rPr>
        <w:t xml:space="preserve">US Equities: full cold start (252 days) then full framework</w:t>
      </w:r>
    </w:p>
    <w:p>
      <w:pPr>
        <w:pStyle w:val="ListParagraph"/>
        <w:numPr>
          <w:ilvl w:val="0"/>
          <w:numId w:val="3"/>
        </w:numPr>
        <w:spacing w:after="80"/>
      </w:pPr>
      <w:r>
        <w:rPr>
          <w:rFonts w:ascii="Arial" w:cs="Arial" w:eastAsia="Arial" w:hAnsi="Arial"/>
          <w:color w:val="1A1A2E"/>
          <w:sz w:val="20"/>
          <w:szCs w:val="20"/>
        </w:rPr>
        <w:t xml:space="preserve">Commodities: independent cold start from scratch; no equity parameter transfer</w:t>
      </w:r>
    </w:p>
    <w:p>
      <w:pPr>
        <w:pStyle w:val="ListParagraph"/>
        <w:numPr>
          <w:ilvl w:val="0"/>
          <w:numId w:val="3"/>
        </w:numPr>
        <w:spacing w:after="80"/>
      </w:pPr>
      <w:r>
        <w:rPr>
          <w:rFonts w:ascii="Arial" w:cs="Arial" w:eastAsia="Arial" w:hAnsi="Arial"/>
          <w:color w:val="1A1A2E"/>
          <w:sz w:val="20"/>
          <w:szCs w:val="20"/>
        </w:rPr>
        <w:t xml:space="preserve">EMEA Equities: independent cold start; 1-day lag for cross-timezone correlation</w:t>
      </w:r>
    </w:p>
    <w:p>
      <w:pPr>
        <w:pStyle w:val="ListParagraph"/>
        <w:numPr>
          <w:ilvl w:val="0"/>
          <w:numId w:val="3"/>
        </w:numPr>
        <w:spacing w:after="80"/>
      </w:pPr>
      <w:r>
        <w:rPr>
          <w:rFonts w:ascii="Arial" w:cs="Arial" w:eastAsia="Arial" w:hAnsi="Arial"/>
          <w:color w:val="1A1A2E"/>
          <w:sz w:val="20"/>
          <w:szCs w:val="20"/>
        </w:rPr>
        <w:t xml:space="preserve">Crypto (1-2hr windows): independent cold start; Deribit implied vol as primary signal</w:t>
      </w:r>
    </w:p>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9. Model Governance</w:t>
      </w:r>
    </w:p>
    <w:p>
      <w:pPr>
        <w:pStyle w:val="Heading2"/>
        <w:spacing w:after="120" w:before="280"/>
      </w:pPr>
      <w:r>
        <w:rPr>
          <w:rFonts w:ascii="Arial" w:cs="Arial" w:eastAsia="Arial" w:hAnsi="Arial"/>
          <w:b/>
          <w:bCs/>
          <w:color w:val="2E75B6"/>
          <w:sz w:val="26"/>
          <w:szCs w:val="26"/>
        </w:rPr>
        <w:t xml:space="preserve">9.1 Version Registry and Rollback</w:t>
      </w:r>
    </w:p>
    <w:p>
      <w:pPr>
        <w:spacing w:after="120" w:before="0"/>
      </w:pPr>
      <w:r>
        <w:rPr>
          <w:rFonts w:ascii="Arial" w:cs="Arial" w:eastAsia="Arial" w:hAnsi="Arial"/>
          <w:color w:val="1A1A2E"/>
          <w:sz w:val="20"/>
          <w:szCs w:val="20"/>
        </w:rPr>
        <w:t xml:space="preserve">Each Saturday EM output is stored as version v_YYYY_MM_DD in a SQLite registry (or Parquet equivalent). Version retention: 52 weeks (rolling 1-year window). Automatic rollback rule:</w:t>
      </w:r>
    </w:p>
    <w:p>
      <w:pPr>
        <w:pStyle w:val="ListParagraph"/>
        <w:numPr>
          <w:ilvl w:val="0"/>
          <w:numId w:val="2"/>
        </w:numPr>
        <w:spacing w:after="80"/>
      </w:pPr>
      <w:r>
        <w:rPr>
          <w:rFonts w:ascii="Arial" w:cs="Arial" w:eastAsia="Arial" w:hAnsi="Arial"/>
          <w:color w:val="1A1A2E"/>
          <w:sz w:val="20"/>
          <w:szCs w:val="20"/>
        </w:rPr>
        <w:t xml:space="preserve">On Friday close: compute ex-post MAE of 1-day ahead return forecast for the week</w:t>
      </w:r>
    </w:p>
    <w:p>
      <w:pPr>
        <w:pStyle w:val="ListParagraph"/>
        <w:numPr>
          <w:ilvl w:val="0"/>
          <w:numId w:val="2"/>
        </w:numPr>
        <w:spacing w:after="80"/>
      </w:pPr>
      <w:r>
        <w:rPr>
          <w:rFonts w:ascii="Arial" w:cs="Arial" w:eastAsia="Arial" w:hAnsi="Arial"/>
          <w:color w:val="1A1A2E"/>
          <w:sz w:val="20"/>
          <w:szCs w:val="20"/>
        </w:rPr>
        <w:t xml:space="preserve">If current version MAE &gt; 1.2 × previous version MAE: automatically roll back to previous version for the following week</w:t>
      </w:r>
    </w:p>
    <w:p>
      <w:pPr>
        <w:pStyle w:val="ListParagraph"/>
        <w:numPr>
          <w:ilvl w:val="0"/>
          <w:numId w:val="2"/>
        </w:numPr>
        <w:spacing w:after="80"/>
      </w:pPr>
      <w:r>
        <w:rPr>
          <w:rFonts w:ascii="Arial" w:cs="Arial" w:eastAsia="Arial" w:hAnsi="Arial"/>
          <w:color w:val="1A1A2E"/>
          <w:sz w:val="20"/>
          <w:szCs w:val="20"/>
        </w:rPr>
        <w:t xml:space="preserve">Log all rollback events. No human approval required.</w:t>
      </w:r>
    </w:p>
    <w:p>
      <w:pPr>
        <w:pStyle w:val="ListParagraph"/>
        <w:numPr>
          <w:ilvl w:val="0"/>
          <w:numId w:val="2"/>
        </w:numPr>
        <w:spacing w:after="80"/>
      </w:pPr>
      <w:r>
        <w:rPr>
          <w:rFonts w:ascii="Arial" w:cs="Arial" w:eastAsia="Arial" w:hAnsi="Arial"/>
          <w:color w:val="1A1A2E"/>
          <w:sz w:val="20"/>
          <w:szCs w:val="20"/>
        </w:rPr>
        <w:t xml:space="preserve">Two consecutive rollback events: flag for PMO review within 5 business days</w:t>
      </w:r>
    </w:p>
    <w:p>
      <w:pPr>
        <w:pStyle w:val="Heading2"/>
        <w:spacing w:after="120" w:before="280"/>
      </w:pPr>
      <w:r>
        <w:rPr>
          <w:rFonts w:ascii="Arial" w:cs="Arial" w:eastAsia="Arial" w:hAnsi="Arial"/>
          <w:b/>
          <w:bCs/>
          <w:color w:val="2E75B6"/>
          <w:sz w:val="26"/>
          <w:szCs w:val="26"/>
        </w:rPr>
        <w:t xml:space="preserve">9.2 Walk-Forward Validation Protocol</w:t>
      </w:r>
    </w:p>
    <w:p>
      <w:pPr>
        <w:spacing w:after="120" w:before="0"/>
      </w:pPr>
      <w:r>
        <w:rPr>
          <w:rFonts w:ascii="Arial" w:cs="Arial" w:eastAsia="Arial" w:hAnsi="Arial"/>
          <w:color w:val="1A1A2E"/>
          <w:sz w:val="20"/>
          <w:szCs w:val="20"/>
        </w:rPr>
        <w:t xml:space="preserve">All backtesting uses strict information barriers:</w:t>
      </w:r>
    </w:p>
    <w:p>
      <w:pPr>
        <w:pStyle w:val="ListParagraph"/>
        <w:numPr>
          <w:ilvl w:val="0"/>
          <w:numId w:val="2"/>
        </w:numPr>
        <w:spacing w:after="80"/>
      </w:pPr>
      <w:r>
        <w:rPr>
          <w:rFonts w:ascii="Arial" w:cs="Arial" w:eastAsia="Arial" w:hAnsi="Arial"/>
          <w:color w:val="1A1A2E"/>
          <w:sz w:val="20"/>
          <w:szCs w:val="20"/>
        </w:rPr>
        <w:t xml:space="preserve">Expanding window with annual re-estimation frequency</w:t>
      </w:r>
    </w:p>
    <w:p>
      <w:pPr>
        <w:pStyle w:val="ListParagraph"/>
        <w:numPr>
          <w:ilvl w:val="0"/>
          <w:numId w:val="2"/>
        </w:numPr>
        <w:spacing w:after="80"/>
      </w:pPr>
      <w:r>
        <w:rPr>
          <w:rFonts w:ascii="Arial" w:cs="Arial" w:eastAsia="Arial" w:hAnsi="Arial"/>
          <w:color w:val="1A1A2E"/>
          <w:sz w:val="20"/>
          <w:szCs w:val="20"/>
        </w:rPr>
        <w:t xml:space="preserve">At each re-estimation date, use ONLY data available up to the prior year-end</w:t>
      </w:r>
    </w:p>
    <w:p>
      <w:pPr>
        <w:pStyle w:val="ListParagraph"/>
        <w:numPr>
          <w:ilvl w:val="0"/>
          <w:numId w:val="2"/>
        </w:numPr>
        <w:spacing w:after="80"/>
      </w:pPr>
      <w:r>
        <w:rPr>
          <w:rFonts w:ascii="Arial" w:cs="Arial" w:eastAsia="Arial" w:hAnsi="Arial"/>
          <w:color w:val="1A1A2E"/>
          <w:sz w:val="20"/>
          <w:szCs w:val="20"/>
        </w:rPr>
        <w:t xml:space="preserve">IV Rank and rolling windows truncated to history available at that point (no look-ahead)</w:t>
      </w:r>
    </w:p>
    <w:p>
      <w:pPr>
        <w:pStyle w:val="ListParagraph"/>
        <w:numPr>
          <w:ilvl w:val="0"/>
          <w:numId w:val="2"/>
        </w:numPr>
        <w:spacing w:after="80"/>
      </w:pPr>
      <w:r>
        <w:rPr>
          <w:rFonts w:ascii="Arial" w:cs="Arial" w:eastAsia="Arial" w:hAnsi="Arial"/>
          <w:color w:val="1A1A2E"/>
          <w:sz w:val="20"/>
          <w:szCs w:val="20"/>
        </w:rPr>
        <w:t xml:space="preserve">Bootstrap blocks drawn only from the training window</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Minimum Viable Test: </w:t>
            </w:r>
            <w:r>
              <w:rPr>
                <w:rFonts w:ascii="Arial" w:cs="Arial" w:eastAsia="Arial" w:hAnsi="Arial"/>
                <w:color w:val="1A1A2E"/>
                <w:sz w:val="20"/>
                <w:szCs w:val="20"/>
              </w:rPr>
              <w:t xml:space="preserve">The framework must predict the 2022 equity-bond correlation flip (negative to positive) with a 2-week lead using only data through December 2021. If this test fails, return to simpler model architecture before production deployment.</w:t>
            </w:r>
          </w:p>
        </w:tc>
      </w:tr>
    </w:tbl>
    <w:p>
      <w:pPr>
        <w:pStyle w:val="Heading2"/>
        <w:spacing w:after="120" w:before="280"/>
      </w:pPr>
      <w:r>
        <w:rPr>
          <w:rFonts w:ascii="Arial" w:cs="Arial" w:eastAsia="Arial" w:hAnsi="Arial"/>
          <w:b/>
          <w:bCs/>
          <w:color w:val="2E75B6"/>
          <w:sz w:val="26"/>
          <w:szCs w:val="26"/>
        </w:rPr>
        <w:t xml:space="preserve">9.3 Circuit Breakers</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60"/>
        <w:gridCol w:w="180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Trigger</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Condition</w:t>
            </w:r>
          </w:p>
        </w:tc>
        <w:tc>
          <w:tcPr>
            <w:tcW w:type="dxa" w:w="2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Automatic Action</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Max Duration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Bootstrap envelope too wide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Width &gt; 3× its 6-month median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Reduce all position sizes by 75%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20 trading days, then force recovery</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VVIX extreme</w:t>
            </w:r>
          </w:p>
        </w:tc>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VVIX &gt; 2× VIX</w:t>
            </w:r>
          </w:p>
        </w:tc>
        <w:tc>
          <w:tcPr>
            <w:tcW w:type="dxa" w:w="2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Halt discretionary signals; 50% normal position size</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10 trading days, then force recovery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LOESS non-convergence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Residuals &gt; 5σ</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Fall back to 20-day SMA for that day; log error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 day (auto-retry next run)</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Regime probability locked</w:t>
            </w:r>
          </w:p>
        </w:tc>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Any P(regime) &gt; 0.95 for 10+ consecutive days</w:t>
            </w:r>
          </w:p>
        </w:tc>
        <w:tc>
          <w:tcPr>
            <w:tcW w:type="dxa" w:w="2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Force full model re-estimation (overrides weekly schedule)</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Until re-estimation completes</w:t>
            </w:r>
          </w:p>
        </w:tc>
      </w:tr>
    </w:tbl>
    <w:p>
      <w:pPr>
        <w:spacing w:after="80"/>
      </w:pPr>
      <w:r>
        <w:rPr>
          <w:rFonts w:ascii="Arial" w:cs="Arial" w:eastAsia="Arial" w:hAnsi="Arial"/>
          <w:color w:val="1A1A2E"/>
          <w:sz w:val="20"/>
          <w:szCs w:val="20"/>
        </w:rPr>
        <w:t xml:space="preserve"/>
      </w:r>
    </w:p>
    <w:p>
      <w:pPr>
        <w:spacing w:after="120" w:before="0"/>
      </w:pPr>
      <w:r>
        <w:rPr>
          <w:rFonts w:ascii="Arial" w:cs="Arial" w:eastAsia="Arial" w:hAnsi="Arial"/>
          <w:color w:val="1A1A2E"/>
          <w:sz w:val="20"/>
          <w:szCs w:val="20"/>
        </w:rPr>
        <w:t xml:space="preserve">Recovery from circuit breakers is signal-based with time caps. If max duration exceeded without natural recovery: halve the circuit breaker severity for one week, then full reset. No human approval required.</w:t>
      </w:r>
    </w:p>
    <w:p>
      <w:pPr>
        <w:pStyle w:val="Heading2"/>
        <w:spacing w:after="120" w:before="280"/>
      </w:pPr>
      <w:r>
        <w:rPr>
          <w:rFonts w:ascii="Arial" w:cs="Arial" w:eastAsia="Arial" w:hAnsi="Arial"/>
          <w:b/>
          <w:bCs/>
          <w:color w:val="2E75B6"/>
          <w:sz w:val="26"/>
          <w:szCs w:val="26"/>
        </w:rPr>
        <w:t xml:space="preserve">9.4 Evaluation Metrics (PMO Weekly Review)</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160"/>
        <w:gridCol w:w="220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Metric</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Definition</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Warning Threshold</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Consequence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Regime classification accuracy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Against ex-post smoothed labels (3-month backward-looking)</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&lt; 65% for 2 consecutive weeks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Flag for PMO human review at next grooming</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Bootstrap calibration</w:t>
            </w:r>
          </w:p>
        </w:tc>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95% CI coverage of true correlation</w:t>
            </w:r>
          </w:p>
        </w:tc>
        <w:tc>
          <w:tcPr>
            <w:tcW w:type="dxa" w:w="21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&lt; 90% coverage for 3 weeks</w:t>
            </w:r>
          </w:p>
        </w:tc>
        <w:tc>
          <w:tcPr>
            <w:tcW w:type="dxa" w:w="2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Automatic rollback to prior model version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Forecast error decomposition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MSE by regime type. Floating MSE expected &gt; 2× Fixed MSE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&gt; 3× for 1 week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Reduce position sizes 50% for one week; re-evaluate</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ARMA order stability</w:t>
            </w:r>
          </w:p>
        </w:tc>
        <w:tc>
          <w:tcPr>
            <w:tcW w:type="dxa" w:w="2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Frequency of (p,q) changes per regime per quarter</w:t>
            </w:r>
          </w:p>
        </w:tc>
        <w:tc>
          <w:tcPr>
            <w:tcW w:type="dxa" w:w="21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&gt; 1 change per year per regime</w:t>
            </w:r>
          </w:p>
        </w:tc>
        <w:tc>
          <w:tcPr>
            <w:tcW w:type="dxa" w:w="2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Overfitting flag; review prior selection criteria</w:t>
            </w:r>
          </w:p>
        </w:tc>
      </w:tr>
    </w:tbl>
    <w:p>
      <w:pPr>
        <w:spacing w:after="80"/>
      </w:pPr>
      <w:r>
        <w:rPr>
          <w:rFonts w:ascii="Arial" w:cs="Arial" w:eastAsia="Arial" w:hAnsi="Arial"/>
          <w:color w:val="1A1A2E"/>
          <w:sz w:val="20"/>
          <w:szCs w:val="20"/>
        </w:rPr>
        <w:t xml:space="preserve"/>
      </w:r>
    </w:p>
    <w:p>
      <w:pPr>
        <w:spacing w:after="120" w:before="0"/>
      </w:pPr>
      <w:r>
        <w:rPr>
          <w:rFonts w:ascii="Arial" w:cs="Arial" w:eastAsia="Arial" w:hAnsi="Arial"/>
          <w:color w:val="1A1A2E"/>
          <w:sz w:val="20"/>
          <w:szCs w:val="20"/>
        </w:rPr>
        <w:t xml:space="preserve">Human escalation threshold: two metrics simultaneously failing their warning thresholds for two consecutive weeks. At that point, PMO chair authority required to pause or modify the system. Single-metric failures are handled autonomously via the automatic actions above.</w:t>
      </w:r>
    </w:p>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10. Implementation Roadmap</w:t>
      </w:r>
    </w:p>
    <w:p>
      <w:pPr>
        <w:spacing w:after="80"/>
      </w:pPr>
      <w:r>
        <w:rPr>
          <w:rFonts w:ascii="Arial" w:cs="Arial" w:eastAsia="Arial" w:hAnsi="Arial"/>
          <w:color w:val="1A1A2E"/>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2560"/>
        <w:gridCol w:w="1200"/>
      </w:tblGrid>
      <w:tr>
        <w:tc>
          <w:tcPr>
            <w:tcW w:type="dxa" w:w="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Phase</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Component</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Machine</w:t>
            </w:r>
          </w:p>
        </w:tc>
        <w:tc>
          <w:tcPr>
            <w:tcW w:type="dxa" w:w="2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Dependencies</w:t>
            </w:r>
          </w:p>
        </w:tc>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Target</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Layer 1 smoothing pipeline: LOESS, SG, adaptive rolling median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M3 Studio</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Historical daily data feed; GSW/LW via FRED; options surface data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 2</w:t>
            </w:r>
          </w:p>
        </w:tc>
      </w:tr>
      <w:tr>
        <w:tc>
          <w:tcPr>
            <w:tcW w:type="dxa" w:w="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1B</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Block bootstrap and PCA compression</w:t>
            </w:r>
          </w:p>
        </w:tc>
        <w:tc>
          <w:tcPr>
            <w:tcW w:type="dxa" w:w="1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DGX Spark</w:t>
            </w:r>
          </w:p>
        </w:tc>
        <w:tc>
          <w:tcPr>
            <w:tcW w:type="dxa" w:w="2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1A output</w:t>
            </w:r>
          </w:p>
        </w:tc>
        <w:tc>
          <w:tcPr>
            <w:tcW w:type="dxa" w:w="1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 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ARMA candidate library and GARCH estimation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DGX Spark</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1B state vector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 5</w:t>
            </w:r>
          </w:p>
        </w:tc>
      </w:tr>
      <w:tr>
        <w:tc>
          <w:tcPr>
            <w:tcW w:type="dxa" w:w="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2B</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EM initialization with particle filter E-step</w:t>
            </w:r>
          </w:p>
        </w:tc>
        <w:tc>
          <w:tcPr>
            <w:tcW w:type="dxa" w:w="1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DGX Spark</w:t>
            </w:r>
          </w:p>
        </w:tc>
        <w:tc>
          <w:tcPr>
            <w:tcW w:type="dxa" w:w="2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2A</w:t>
            </w:r>
          </w:p>
        </w:tc>
        <w:tc>
          <w:tcPr>
            <w:tcW w:type="dxa" w:w="1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 7</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DPM with stick-breaking; concentration parameter γ estimation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DGX Spark</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2B convergence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 9</w:t>
            </w:r>
          </w:p>
        </w:tc>
      </w:tr>
      <w:tr>
        <w:tc>
          <w:tcPr>
            <w:tcW w:type="dxa" w:w="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3A</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Three-signal cascade interface; risk_engine.py base model replacement</w:t>
            </w:r>
          </w:p>
        </w:tc>
        <w:tc>
          <w:tcPr>
            <w:tcW w:type="dxa" w:w="1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RTX 5090</w:t>
            </w:r>
          </w:p>
        </w:tc>
        <w:tc>
          <w:tcPr>
            <w:tcW w:type="dxa" w:w="2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2C output object</w:t>
            </w:r>
          </w:p>
        </w:tc>
        <w:tc>
          <w:tcPr>
            <w:tcW w:type="dxa" w:w="1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 11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3B</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Circuit breakers; version registry; rollback logic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M3 Studio (registry)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3A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 12</w:t>
            </w:r>
          </w:p>
        </w:tc>
      </w:tr>
      <w:tr>
        <w:tc>
          <w:tcPr>
            <w:tcW w:type="dxa" w:w="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3C</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Cold start protocol; position floor logic; IBKR routing</w:t>
            </w:r>
          </w:p>
        </w:tc>
        <w:tc>
          <w:tcPr>
            <w:tcW w:type="dxa" w:w="1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RTX 5090</w:t>
            </w:r>
          </w:p>
        </w:tc>
        <w:tc>
          <w:tcPr>
            <w:tcW w:type="dxa" w:w="2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All prior phases</w:t>
            </w:r>
          </w:p>
        </w:tc>
        <w:tc>
          <w:tcPr>
            <w:tcW w:type="dxa" w:w="1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Week 13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US Equities cold start (252 days live); walk-forward validation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 fleet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3C</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Day 1 of live deployment</w:t>
            </w:r>
          </w:p>
        </w:tc>
      </w:tr>
      <w:tr>
        <w:tc>
          <w:tcPr>
            <w:tcW w:type="dxa" w:w="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5+</w:t>
            </w:r>
          </w:p>
        </w:tc>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Phased expansion: Commodities, EMEA, Crypto</w:t>
            </w:r>
          </w:p>
        </w:tc>
        <w:tc>
          <w:tcPr>
            <w:tcW w:type="dxa" w:w="16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Full fleet</w:t>
            </w:r>
          </w:p>
        </w:tc>
        <w:tc>
          <w:tcPr>
            <w:tcW w:type="dxa" w:w="25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Phase 4 completion</w:t>
            </w:r>
          </w:p>
        </w:tc>
        <w:tc>
          <w:tcPr>
            <w:tcW w:type="dxa" w:w="12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Per deployment roadmap</w:t>
            </w:r>
          </w:p>
        </w:tc>
      </w:tr>
    </w:tbl>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Appendix A: Key Parameter Reference</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Parameter</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Value</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Location in Framework</w:t>
            </w:r>
          </w:p>
        </w:tc>
        <w:tc>
          <w:tcPr>
            <w:tcW w:type="dxa" w:w="2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Rationale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DPM concentration prior γ</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Gamma(shape=2, rate=0.5)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5.1</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Mean 4 expected regimes; estimated weekly</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EM forgetting factor λ</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0.99</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5.2</w:t>
            </w:r>
          </w:p>
        </w:tc>
        <w:tc>
          <w:tcPr>
            <w:tcW w:type="dxa" w:w="2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Slow adaptation; 1% weight on each new observation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Burn-in half-life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 days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5.5</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Exponential decay; 2.16 scale parameter</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Regime transition threshold</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0.70 (from &lt; 0.30 in 5 days)</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5.5</w:t>
            </w:r>
          </w:p>
        </w:tc>
        <w:tc>
          <w:tcPr>
            <w:tcW w:type="dxa" w:w="2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Requires meaningful move, not noise crossing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Jump intensity base rate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0.01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5.4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Approx 2-3 jump events per year at base rate</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Jump intensity max</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0.50</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5.4</w:t>
            </w:r>
          </w:p>
        </w:tc>
        <w:tc>
          <w:tcPr>
            <w:tcW w:type="dxa" w:w="2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Max 50% probability of a jump on any given day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Global risk-off scaler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0.30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6.2</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30% additive to floating probability at full stress</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Intraday VIX1D weight</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0.10</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4.4</w:t>
            </w:r>
          </w:p>
        </w:tc>
        <w:tc>
          <w:tcPr>
            <w:tcW w:type="dxa" w:w="2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Small adjustment on lagged daily regime estimate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Bootstrap replications 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5,000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4.2</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Calibrated for 2-3 min GPU runtime on DGX Spark</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Bootstrap block length b</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60 days</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4.2</w:t>
            </w:r>
          </w:p>
        </w:tc>
        <w:tc>
          <w:tcPr>
            <w:tcW w:type="dxa" w:w="2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Preserves autocorrelation structure of correlation series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LOESS bandwidth 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0.35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4.2</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Local enough for regime-specific estimation; stable</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SG window / degree</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21 days / degree 3</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4.2</w:t>
            </w:r>
          </w:p>
        </w:tc>
        <w:tc>
          <w:tcPr>
            <w:tcW w:type="dxa" w:w="2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Preserves peaks; avoids Runge phenomenon at edges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Absolute position floor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$500 notional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7.2</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12bp round-trip cost requires $5 minimum expected edge</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Cold start duration</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252 trading days</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8.1</w:t>
            </w:r>
          </w:p>
        </w:tc>
        <w:tc>
          <w:tcPr>
            <w:tcW w:type="dxa" w:w="2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Minimum one full market cycle for DPM initialization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Version rollback threshold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MAE &gt; 1.2× prior version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9.1</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20% degradation triggers automatic rollback</w:t>
            </w:r>
          </w:p>
        </w:tc>
      </w:tr>
      <w:tr>
        <w:tc>
          <w:tcPr>
            <w:tcW w:type="dxa" w:w="2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Tail index floor/ceiling</w:t>
            </w:r>
          </w:p>
        </w:tc>
        <w:tc>
          <w:tcPr>
            <w:tcW w:type="dxa" w:w="18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[1.5, 4.0]</w:t>
            </w:r>
          </w:p>
        </w:tc>
        <w:tc>
          <w:tcPr>
            <w:tcW w:type="dxa" w:w="20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Section 5.3</w:t>
            </w:r>
          </w:p>
        </w:tc>
        <w:tc>
          <w:tcPr>
            <w:tcW w:type="dxa" w:w="27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Bounded to prevent numerical instability in estimation</w:t>
            </w:r>
          </w:p>
        </w:tc>
      </w:tr>
    </w:tbl>
    <w:p>
      <w:pPr>
        <w:spacing w:after="200"/>
      </w:pPr>
      <w:r>
        <w:rPr>
          <w:rFonts w:ascii="Arial" w:cs="Arial" w:eastAsia="Arial" w:hAnsi="Arial"/>
          <w:color w:val="1A1A2E"/>
          <w:sz w:val="20"/>
          <w:szCs w:val="20"/>
        </w:rPr>
        <w:t xml:space="preserve"/>
      </w:r>
    </w:p>
    <w:p>
      <w:pPr>
        <w:pStyle w:val="Heading1"/>
        <w:pBdr>
          <w:bottom w:val="single" w:color="2E75B6" w:sz="6" w:space="4"/>
        </w:pBdr>
        <w:spacing w:after="160" w:before="400"/>
      </w:pPr>
      <w:r>
        <w:rPr>
          <w:rFonts w:ascii="Arial" w:cs="Arial" w:eastAsia="Arial" w:hAnsi="Arial"/>
          <w:b/>
          <w:bCs/>
          <w:color w:val="1B3A5C"/>
          <w:sz w:val="36"/>
          <w:szCs w:val="36"/>
        </w:rPr>
        <w:t xml:space="preserve">Appendix B: Nomenclature</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Symbol</w:t>
            </w:r>
          </w:p>
        </w:tc>
        <w:tc>
          <w:tcPr>
            <w:tcW w:type="dxa" w:w="6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Definition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α</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Tail index (Levy stability index). Range [1.5, 4.0]. Higher = thinner tails.</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γ</w:t>
            </w:r>
          </w:p>
        </w:tc>
        <w:tc>
          <w:tcPr>
            <w:tcW w:type="dxa" w:w="6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DPM concentration parameter. Governs expected number of active regimes. Named γ to avoid collision with α.</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λ</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Jump intensity (Poisson process rate) or forgetting factor (context-dependent; specified in each section)</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φᵢ</w:t>
            </w:r>
          </w:p>
        </w:tc>
        <w:tc>
          <w:tcPr>
            <w:tcW w:type="dxa" w:w="6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AR coefficient at lag i in the ARMA model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θⱼ</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MA coefficient at lag j in the ARMA model</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σₜ²</w:t>
            </w:r>
          </w:p>
        </w:tc>
        <w:tc>
          <w:tcPr>
            <w:tcW w:type="dxa" w:w="6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Conditional variance from GARCH component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sₜ</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Six-dimensional state vector [Vol PC₁, Vol PC₂, Vol PC₃, Yield level, Yield slope, Yield curvature]</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p_fixed, p_growth, p_floating</w:t>
            </w:r>
          </w:p>
        </w:tc>
        <w:tc>
          <w:tcPr>
            <w:tcW w:type="dxa" w:w="6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Three continuous regime probability signals output to the cascade. Sum to 1.0.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global_risk_off(t)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Normalized VIX/VXV ratio, clipped to [0,1]. Drives cross-asset linkage layer.</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t_shift</w:t>
            </w:r>
          </w:p>
        </w:tc>
        <w:tc>
          <w:tcPr>
            <w:tcW w:type="dxa" w:w="6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Timestamp when regime_prob_floating_raw first crossed 0.70 from below 0.30 in prior 5 days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GSW</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Gurkaynak-Sack-Wright parametric zero-coupon yield dataset (Federal Reserve)</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LW</w:t>
            </w:r>
          </w:p>
        </w:tc>
        <w:tc>
          <w:tcPr>
            <w:tcW w:type="dxa" w:w="6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Liu-Wu non-parametric kernel-smoothed yield dataset; preferred for short and long ends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DPM</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Dirichlet Process Mixture. Allows the number of regimes to be a model output, not a fixed input.</w:t>
            </w:r>
          </w:p>
        </w:tc>
      </w:tr>
      <w:tr>
        <w:tc>
          <w:tcPr>
            <w:tcW w:type="dxa" w:w="240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EM</w:t>
            </w:r>
          </w:p>
        </w:tc>
        <w:tc>
          <w:tcPr>
            <w:tcW w:type="dxa" w:w="6960"/>
            <w:tcBorders>
              <w:top w:val="single" w:color="BBBBBB" w:sz="1"/>
              <w:left w:val="single" w:color="BBBBBB" w:sz="1"/>
              <w:bottom w:val="single" w:color="BBBBBB" w:sz="1"/>
              <w:right w:val="single" w:color="BBBBBB" w:sz="1"/>
            </w:tcBorders>
            <w:shd w:fill="EEF3F8"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Expectation-Maximization. Iterative estimation algorithm for latent-variable models.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GCLT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8"/>
                <w:szCs w:val="18"/>
              </w:rPr>
              <w:t xml:space="preserve">Generalized Central Limit Theorem. Applies when tail index α &lt; 2; limit distribution is α-stable, not normal.</w:t>
            </w:r>
          </w:p>
        </w:tc>
      </w:tr>
    </w:tbl>
    <w:p>
      <w:pPr>
        <w:spacing w:after="200"/>
      </w:pPr>
      <w:r>
        <w:rPr>
          <w:rFonts w:ascii="Arial" w:cs="Arial" w:eastAsia="Arial" w:hAnsi="Arial"/>
          <w:color w:val="1A1A2E"/>
          <w:sz w:val="20"/>
          <w:szCs w:val="20"/>
        </w:rPr>
        <w:t xml:space="preserve"/>
      </w:r>
    </w:p>
    <w:p>
      <w:pPr>
        <w:spacing w:before="400"/>
        <w:jc w:val="center"/>
      </w:pPr>
      <w:r>
        <w:rPr>
          <w:rFonts w:ascii="Arial" w:cs="Arial" w:eastAsia="Arial" w:hAnsi="Arial"/>
          <w:b/>
          <w:bCs/>
          <w:color w:val="4A4A6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before="0"/>
    </w:pPr>
    <w:r>
      <w:rPr>
        <w:rFonts w:ascii="Arial" w:cs="Arial" w:eastAsia="Arial" w:hAnsi="Arial"/>
        <w:color w:val="4A4A6A"/>
        <w:sz w:val="16"/>
        <w:szCs w:val="16"/>
      </w:rPr>
      <w:t xml:space="preserve">SmallClaw Consultancy — Internal Use Only</w:t>
    </w:r>
    <w:r>
      <w:rPr>
        <w:rFonts w:ascii="Arial" w:cs="Arial" w:eastAsia="Arial" w:hAnsi="Arial"/>
        <w:sz w:val="16"/>
        <w:szCs w:val="16"/>
      </w:rPr>
      <w:t xml:space="preserve">	</w:t>
    </w:r>
    <w:r>
      <w:rPr>
        <w:rFonts w:ascii="Arial" w:cs="Arial" w:eastAsia="Arial" w:hAnsi="Arial"/>
        <w:color w:val="4A4A6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after="0"/>
    </w:pPr>
    <w:r>
      <w:rPr>
        <w:rFonts w:ascii="Arial" w:cs="Arial" w:eastAsia="Arial" w:hAnsi="Arial"/>
        <w:color w:val="4A4A6A"/>
        <w:sz w:val="16"/>
        <w:szCs w:val="16"/>
      </w:rPr>
      <w:t xml:space="preserve">BLAQUE BAUX  |  Gamma-ARMA Regime Framework</w:t>
    </w:r>
    <w:r>
      <w:rPr>
        <w:rFonts w:ascii="Arial" w:cs="Arial" w:eastAsia="Arial" w:hAnsi="Arial"/>
        <w:sz w:val="16"/>
        <w:szCs w:val="16"/>
      </w:rPr>
      <w:t xml:space="preserve">	</w:t>
    </w:r>
    <w:r>
      <w:rPr>
        <w:rFonts w:ascii="Arial" w:cs="Arial" w:eastAsia="Arial" w:hAnsi="Arial"/>
        <w:b/>
        <w:bCs/>
        <w:color w:val="C5703A"/>
        <w:sz w:val="16"/>
        <w:szCs w:val="16"/>
      </w:rPr>
      <w:t xml:space="preserve">PROPRIETARY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2026-05-17T05:15:09.396Z</dcterms:created>
  <dcterms:modified xsi:type="dcterms:W3CDTF">2026-05-17T05:15:09.397Z</dcterms:modified>
</cp:coreProperties>
</file>

<file path=docProps/custom.xml><?xml version="1.0" encoding="utf-8"?>
<Properties xmlns="http://schemas.openxmlformats.org/officeDocument/2006/custom-properties" xmlns:vt="http://schemas.openxmlformats.org/officeDocument/2006/docPropsVTypes"/>
</file>