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1B3A5C"/>
          <w:sz w:val="64"/>
          <w:szCs w:val="64"/>
        </w:rPr>
        <w:t xml:space="preserve">BLAQUE BAUX</w:t>
      </w:r>
    </w:p>
    <w:p>
      <w:pPr>
        <w:spacing w:after="120"/>
        <w:jc w:val="center"/>
      </w:pPr>
      <w:r>
        <w:rPr>
          <w:rFonts w:ascii="Arial" w:cs="Arial" w:eastAsia="Arial" w:hAnsi="Arial"/>
          <w:color w:val="2E75B6"/>
          <w:sz w:val="40"/>
          <w:szCs w:val="40"/>
        </w:rPr>
        <w:t xml:space="preserve">Gamma-ARMA Regime Framework</w:t>
      </w:r>
    </w:p>
    <w:p>
      <w:pPr>
        <w:spacing w:after="80"/>
        <w:jc w:val="center"/>
      </w:pPr>
      <w:r>
        <w:rPr>
          <w:rFonts w:ascii="Arial" w:cs="Arial" w:eastAsia="Arial" w:hAnsi="Arial"/>
          <w:color w:val="4A4A6A"/>
          <w:sz w:val="26"/>
          <w:szCs w:val="26"/>
        </w:rPr>
        <w:t xml:space="preserve">System Architecture &amp; Build Specification</w:t>
      </w:r>
    </w:p>
    <w:p>
      <w:pPr>
        <w:spacing w:after="600"/>
        <w:jc w:val="center"/>
      </w:pPr>
      <w:r>
        <w:rPr>
          <w:rFonts w:ascii="Arial" w:cs="Arial" w:eastAsia="Arial" w:hAnsi="Arial"/>
          <w:b/>
          <w:bCs/>
          <w:color w:val="C5703A"/>
          <w:sz w:val="22"/>
          <w:szCs w:val="22"/>
        </w:rPr>
        <w:t xml:space="preserve">Version 2.0 — Implementation Ready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Classification: Proprietary</w:t>
            </w:r>
          </w:p>
        </w:tc>
        <w:tc>
          <w:tcPr>
            <w:tcW w:type="dxa" w:w="25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Version: 2.0 (Final)</w:t>
            </w:r>
          </w:p>
        </w:tc>
      </w:tr>
      <w:tr>
        <w:tc>
          <w:tcPr>
            <w:tcW w:type="dxa" w:w="252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Author: SmallClaw Consultancy</w:t>
            </w:r>
          </w:p>
        </w:tc>
        <w:tc>
          <w:tcPr>
            <w:tcW w:type="dxa" w:w="252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Date: May 2026</w:t>
            </w:r>
          </w:p>
        </w:tc>
      </w:tr>
      <w:tr>
        <w:tc>
          <w:tcPr>
            <w:tcW w:type="dxa" w:w="50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Primary constraint: Fully autonomous</w:t>
            </w:r>
          </w:p>
        </w:tc>
      </w:tr>
    </w:tbl>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Document Change Log</w:t>
      </w:r>
    </w:p>
    <w:p>
      <w:pPr>
        <w:spacing w:after="120"/>
      </w:pPr>
      <w:r>
        <w:rPr>
          <w:rFonts w:ascii="Arial" w:cs="Arial" w:eastAsia="Arial" w:hAnsi="Arial"/>
          <w:color w:val="1A1A2E"/>
          <w:sz w:val="20"/>
          <w:szCs w:val="20"/>
        </w:rPr>
        <w:t xml:space="preserve">Version 2.0 incorporates 12 integration additions and 9 issue resolutions identified in pre-build review. All changes are implementation-breaking corrections to v1.0 unless marked as documentation only.</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5360"/>
        <w:gridCol w:w="1400"/>
      </w:tblGrid>
      <w:tr>
        <w:tc>
          <w:tcPr>
            <w:tcW w:type="dxa" w:w="1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Version</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Section</w:t>
            </w:r>
          </w:p>
        </w:tc>
        <w:tc>
          <w:tcPr>
            <w:tcW w:type="dxa" w:w="53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Change</w:t>
            </w:r>
          </w:p>
        </w:tc>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Severity</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6.0 (new)</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Circular futures cascade receiver specification; reframed as to-be-implemented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Critical</w:t>
            </w:r>
          </w:p>
        </w:tc>
      </w:tr>
      <w:tr>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7.4 (new)</w:t>
            </w:r>
          </w:p>
        </w:tc>
        <w:tc>
          <w:tcPr>
            <w:tcW w:type="dxa" w:w="53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IBKR execution layer: order types, partial fills, emergency liquidation (OR + 3-min persistence)</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Critical</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4.6 (new)</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Data feed specification: sources, failover, normalization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Critical</w:t>
            </w:r>
          </w:p>
        </w:tc>
      </w:tr>
      <w:tr>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5.1 (amended)</w:t>
            </w:r>
          </w:p>
        </w:tc>
        <w:tc>
          <w:tcPr>
            <w:tcW w:type="dxa" w:w="53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 GARCH(1,1) spec; Floating ARMA substitution with realized vol when p_floating &gt; 0.5</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Critical</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5.4 (amended)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VIX1D conditional: degrade state vector on unavailability, do not substitute VIX</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Critical</w:t>
            </w:r>
          </w:p>
        </w:tc>
      </w:tr>
      <w:tr>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6.0 (amended)</w:t>
            </w:r>
          </w:p>
        </w:tc>
        <w:tc>
          <w:tcPr>
            <w:tcW w:type="dxa" w:w="53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Position sizing: parallel pools (active/defensive) with explicit formula; removes double-counting</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Critical</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3.2 (amended)</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Crisis regime: fourth criterion added (VIX/VXV &gt; 1.1); threshold changed to any three of four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Significant</w:t>
            </w:r>
          </w:p>
        </w:tc>
      </w:tr>
      <w:tr>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8.1 (amended)</w:t>
            </w:r>
          </w:p>
        </w:tc>
        <w:tc>
          <w:tcPr>
            <w:tcW w:type="dxa" w:w="53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IV Rank cold start: excluded Phase 1; bias-corrected Phase 2; stated rationale</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Significant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8.4 (new)</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EMEA cross-timezone protocol; asymmetric max() explicitly stated as conservative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Significant</w:t>
            </w:r>
          </w:p>
        </w:tc>
      </w:tr>
      <w:tr>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9.2 (expanded)</w:t>
            </w:r>
          </w:p>
        </w:tc>
        <w:tc>
          <w:tcPr>
            <w:tcW w:type="dxa" w:w="53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Four validation tests restructured into three phased gates by deployment phase</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Significant</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Throughout</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λ→ρ rename for forgetting factor; λ reserved exclusively for jump intensity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Notable</w:t>
            </w:r>
          </w:p>
        </w:tc>
      </w:tr>
      <w:tr>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9.5 (new)</w:t>
            </w:r>
          </w:p>
        </w:tc>
        <w:tc>
          <w:tcPr>
            <w:tcW w:type="dxa" w:w="53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Disaster recovery: machine failure protocols; M3 restart position reconciliation</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Notable</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10.1 (new)</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Timeline reconciliation: build weeks vs cold start trading days; cascade behavior during cold start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Notable</w:t>
            </w:r>
          </w:p>
        </w:tc>
      </w:tr>
      <w:tr>
        <w:tc>
          <w:tcPr>
            <w:tcW w:type="dxa" w:w="1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11 (new)</w:t>
            </w:r>
          </w:p>
        </w:tc>
        <w:tc>
          <w:tcPr>
            <w:tcW w:type="dxa" w:w="53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Scope exclusions: 7 excluded scenarios; 4 operational P&amp;L boundaries</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Notable</w:t>
            </w:r>
          </w:p>
        </w:tc>
      </w:tr>
    </w:tbl>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Executive Summary</w:t>
      </w:r>
    </w:p>
    <w:p>
      <w:pPr>
        <w:spacing w:after="120"/>
      </w:pPr>
      <w:r>
        <w:rPr>
          <w:rFonts w:ascii="Arial" w:cs="Arial" w:eastAsia="Arial" w:hAnsi="Arial"/>
          <w:color w:val="1A1A2E"/>
          <w:sz w:val="20"/>
          <w:szCs w:val="20"/>
        </w:rPr>
        <w:t xml:space="preserve">This document specifies the Blaque Baux Gamma-ARMA Regime Framework: a fully autonomous meta-statistical system governing signal generation for a systematic global trading system. The framework replaces the static base model in risk_engine.py with a dynamic, regime-aware architecture that continuously estimates which time-series model best describes current market conditions and routes signals into the circular futures cascade accordingly.</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none" w:color="FFFFFF" w:sz="0"/>
            </w:tcBorders>
            <w:shd w:fill="EEF3F8" w:val="clear"/>
            <w:tcMar>
              <w:top w:type="dxa" w:w="100"/>
              <w:left w:type="dxa" w:w="180"/>
              <w:bottom w:type="dxa" w:w="100"/>
              <w:right w:type="dxa" w:w="120"/>
            </w:tcMar>
          </w:tcPr>
          <w:p>
            <w:pPr>
              <w:spacing w:after="0"/>
            </w:pPr>
            <w:r>
              <w:rPr>
                <w:rFonts w:ascii="Arial" w:cs="Arial" w:eastAsia="Arial" w:hAnsi="Arial"/>
                <w:b/>
                <w:bCs/>
                <w:color w:val="2E75B6"/>
                <w:sz w:val="20"/>
                <w:szCs w:val="20"/>
              </w:rPr>
              <w:t xml:space="preserve">Primary Constraint: </w:t>
            </w:r>
            <w:r>
              <w:rPr>
                <w:rFonts w:ascii="Arial" w:cs="Arial" w:eastAsia="Arial" w:hAnsi="Arial"/>
                <w:color w:val="1A1A2E"/>
                <w:sz w:val="20"/>
                <w:szCs w:val="20"/>
              </w:rPr>
              <w:t xml:space="preserve">The system operates with no human in the loop for all routine decisions. The only mandated human touchpoints are: (1) PMO weekly 30-minute metric review; (2) three specific disaster recovery scenarios requiring human authorization (Section 9.5); (3) post-hoc PMO review when a Crisis regime is first detected (Section 3.2). All other decisions — regime detection, model updates, version rollback, circuit breaker activation and recovery, position sizing — are fully autonomous.</w:t>
            </w:r>
          </w:p>
        </w:tc>
      </w:tr>
    </w:tbl>
    <w:p>
      <w:pPr>
        <w:spacing w:after="120"/>
      </w:pPr>
      <w:r>
        <w:rPr>
          <w:rFonts w:ascii="Arial" w:cs="Arial" w:eastAsia="Arial" w:hAnsi="Arial"/>
          <w:color w:val="1A1A2E"/>
          <w:sz w:val="20"/>
          <w:szCs w:val="20"/>
        </w:rPr>
        <w:t xml:space="preserve"/>
      </w:r>
    </w:p>
    <w:p>
      <w:pPr>
        <w:spacing w:after="120"/>
      </w:pPr>
      <w:r>
        <w:rPr>
          <w:rFonts w:ascii="Arial" w:cs="Arial" w:eastAsia="Arial" w:hAnsi="Arial"/>
          <w:color w:val="1A1A2E"/>
          <w:sz w:val="20"/>
          <w:szCs w:val="20"/>
        </w:rPr>
        <w:t xml:space="preserve">Three foundational principles underpin the architecture:</w:t>
      </w:r>
    </w:p>
    <w:p>
      <w:pPr>
        <w:pStyle w:val="ListParagraph"/>
        <w:numPr>
          <w:ilvl w:val="0"/>
          <w:numId w:val="2"/>
        </w:numPr>
        <w:spacing w:after="80"/>
      </w:pPr>
      <w:r>
        <w:rPr>
          <w:rFonts w:ascii="Arial" w:cs="Arial" w:eastAsia="Arial" w:hAnsi="Arial"/>
          <w:color w:val="1A1A2E"/>
          <w:sz w:val="20"/>
          <w:szCs w:val="20"/>
        </w:rPr>
        <w:t xml:space="preserve">Markets do not have a single stable autocorrelation structure. ARMA orders historically estimated are becoming progressively less informative as passive flows (~50-55% of US equity AUM), algorithmic execution, and central bank intervention dominate price discovery.</w:t>
      </w:r>
    </w:p>
    <w:p>
      <w:pPr>
        <w:pStyle w:val="ListParagraph"/>
        <w:numPr>
          <w:ilvl w:val="0"/>
          <w:numId w:val="2"/>
        </w:numPr>
        <w:spacing w:after="80"/>
      </w:pPr>
      <w:r>
        <w:rPr>
          <w:rFonts w:ascii="Arial" w:cs="Arial" w:eastAsia="Arial" w:hAnsi="Arial"/>
          <w:color w:val="1A1A2E"/>
          <w:sz w:val="20"/>
          <w:szCs w:val="20"/>
        </w:rPr>
        <w:t xml:space="preserve">Fat tails for certain asset tiers have tail index α &lt; 2, meaning the Generalized Central Limit Theorem applies: fat tails are structural and permanent. The Gamma distribution over ARMA parameter space governs which regime is active; the stability property of α-stable distributions means regime-appropriate tail treatment cannot be approximated by Gaussian methods.</w:t>
      </w:r>
    </w:p>
    <w:p>
      <w:pPr>
        <w:pStyle w:val="ListParagraph"/>
        <w:numPr>
          <w:ilvl w:val="0"/>
          <w:numId w:val="2"/>
        </w:numPr>
        <w:spacing w:after="80"/>
      </w:pPr>
      <w:r>
        <w:rPr>
          <w:rFonts w:ascii="Arial" w:cs="Arial" w:eastAsia="Arial" w:hAnsi="Arial"/>
          <w:color w:val="1A1A2E"/>
          <w:sz w:val="20"/>
          <w:szCs w:val="20"/>
        </w:rPr>
        <w:t xml:space="preserve">Regime identification requires forward-looking inputs. The options volatility surface (VIX, VXV, VVIX, VIX1D, IV Rank) and smoothed yield curve (LW/GSW datasets) provide real-time, market-priced signals about structural uncertainty that backward-looking ARMA estimation cannot supply.</w:t>
      </w:r>
    </w:p>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1. System Classification</w:t>
      </w:r>
    </w:p>
    <w:p>
      <w:pPr>
        <w:spacing w:after="120"/>
      </w:pPr>
      <w:r>
        <w:rPr>
          <w:rFonts w:ascii="Arial" w:cs="Arial" w:eastAsia="Arial" w:hAnsi="Arial"/>
          <w:color w:val="1A1A2E"/>
          <w:sz w:val="20"/>
          <w:szCs w:val="20"/>
        </w:rPr>
        <w:t xml:space="preserve">The fundamental nature of this system governs requirements for every subsequent component. This must be read before any architectural section.</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Dimension</w:t>
            </w:r>
          </w:p>
        </w:tc>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Classification</w:t>
            </w:r>
          </w:p>
        </w:tc>
        <w:tc>
          <w:tcPr>
            <w:tcW w:type="dxa" w:w="39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Implication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Execution mode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Fully autonomous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 human approval for signals, position sizing, model updates, or circuit breakers</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Human touchpoints</w:t>
            </w:r>
          </w:p>
        </w:tc>
        <w:tc>
          <w:tcPr>
            <w:tcW w:type="dxa" w:w="2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Three bounded scenarios</w:t>
            </w:r>
          </w:p>
        </w:tc>
        <w:tc>
          <w:tcPr>
            <w:tcW w:type="dxa" w:w="39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PMO weekly review; machine failure DR; post-hoc Crisis regime review</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Deployment target</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Blaque Baux / IBKR</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Three-machine fleet (M3, DGX Spark, RTX 5090); IBKR execution</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Starting capital</w:t>
            </w:r>
          </w:p>
        </w:tc>
        <w:tc>
          <w:tcPr>
            <w:tcW w:type="dxa" w:w="2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$30,000 across 3 regional pools</w:t>
            </w:r>
          </w:p>
        </w:tc>
        <w:tc>
          <w:tcPr>
            <w:tcW w:type="dxa" w:w="39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US equities, commodities, EMEA/crypto; absolute position floor $500 notional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Rollout sequence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Phased by asset class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US equities → EMEA → commodities → crypto</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Cold start period</w:t>
            </w:r>
          </w:p>
        </w:tc>
        <w:tc>
          <w:tcPr>
            <w:tcW w:type="dxa" w:w="2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252 trading days</w:t>
            </w:r>
          </w:p>
        </w:tc>
        <w:tc>
          <w:tcPr>
            <w:tcW w:type="dxa" w:w="39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Fallback ARMA(1,1)+GARCH before full framework activates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cascade_engine.py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To be implemented (Phase 3A, Week 11)</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Does not yet exist; API specified in Section 6.0</w:t>
            </w:r>
          </w:p>
        </w:tc>
      </w:tr>
    </w:tbl>
    <w:p>
      <w:pPr>
        <w:spacing w:after="200"/>
      </w:pPr>
      <w:r>
        <w:rPr>
          <w:rFonts w:ascii="Arial" w:cs="Arial" w:eastAsia="Arial" w:hAnsi="Arial"/>
          <w:color w:val="1A1A2E"/>
          <w:sz w:val="20"/>
          <w:szCs w:val="20"/>
        </w:rPr>
        <w:t xml:space="preserve"/>
      </w:r>
    </w:p>
    <w:p>
      <w:pPr>
        <w:pStyle w:val="Heading1"/>
        <w:pBdr>
          <w:bottom w:val="single" w:color="2E75B6" w:sz="6" w:space="4"/>
        </w:pBdr>
        <w:spacing w:after="180" w:before="400"/>
      </w:pPr>
      <w:r>
        <w:rPr>
          <w:rFonts w:ascii="Arial" w:cs="Arial" w:eastAsia="Arial" w:hAnsi="Arial"/>
          <w:b/>
          <w:bCs/>
          <w:color w:val="1B3A5C"/>
          <w:sz w:val="36"/>
          <w:szCs w:val="36"/>
        </w:rPr>
        <w:t xml:space="preserve">2. Theoretical Foundation</w:t>
      </w:r>
    </w:p>
    <w:p>
      <w:pPr>
        <w:pStyle w:val="Heading2"/>
        <w:spacing w:after="120" w:before="280"/>
      </w:pPr>
      <w:r>
        <w:rPr>
          <w:rFonts w:ascii="Arial" w:cs="Arial" w:eastAsia="Arial" w:hAnsi="Arial"/>
          <w:b/>
          <w:bCs/>
          <w:color w:val="2E75B6"/>
          <w:sz w:val="26"/>
          <w:szCs w:val="26"/>
        </w:rPr>
        <w:t xml:space="preserve">2.1 The Drift-vs-Noise Problem</w:t>
      </w:r>
    </w:p>
    <w:p>
      <w:pPr>
        <w:spacing w:after="120"/>
      </w:pPr>
      <w:r>
        <w:rPr>
          <w:rFonts w:ascii="Arial" w:cs="Arial" w:eastAsia="Arial" w:hAnsi="Arial"/>
          <w:color w:val="1A1A2E"/>
          <w:sz w:val="20"/>
          <w:szCs w:val="20"/>
        </w:rPr>
        <w:t xml:space="preserve">At daily resolution, the drift component of any financial return series is dominated by noise by a factor of approximately 100-to-1. A market losing 2.2% per year generates a daily drift of only -0.009% against daily volatility of 1.5%. This makes daily up/down frequency statistics nearly uninformative about structural regime. The meaningful signal lives in the magnitude distribution of moves, not their frequency. This is the foundational reason why ARMA order estimation from historical data is necessary but insufficient: the drift is the slow, weak force; regime identification requires measuring the noise structure, not just the mean.</w:t>
      </w:r>
    </w:p>
    <w:p>
      <w:pPr>
        <w:pStyle w:val="Heading2"/>
        <w:spacing w:after="120" w:before="280"/>
      </w:pPr>
      <w:r>
        <w:rPr>
          <w:rFonts w:ascii="Arial" w:cs="Arial" w:eastAsia="Arial" w:hAnsi="Arial"/>
          <w:b/>
          <w:bCs/>
          <w:color w:val="2E75B6"/>
          <w:sz w:val="26"/>
          <w:szCs w:val="26"/>
        </w:rPr>
        <w:t xml:space="preserve">2.2 Stable Distributions and Fat Tails</w:t>
      </w:r>
    </w:p>
    <w:p>
      <w:pPr>
        <w:spacing w:after="120"/>
      </w:pPr>
      <w:r>
        <w:rPr>
          <w:rFonts w:ascii="Arial" w:cs="Arial" w:eastAsia="Arial" w:hAnsi="Arial"/>
          <w:color w:val="1A1A2E"/>
          <w:sz w:val="20"/>
          <w:szCs w:val="20"/>
        </w:rPr>
        <w:t xml:space="preserve">Both the normal (α=2) and Cauchy (α=1) distributions are Lévy-stable. The Generalized Central Limit Theorem: for step distributions with α &lt; 2, sums of i.i.d. draws converge to another α-stable distribution, not the normal. Fat tails are self-similar under aggregation and cannot be diversified away within the same asset tier.</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Asset Tier</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Tail Index α</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Variance</w:t>
            </w:r>
          </w:p>
        </w:tc>
        <w:tc>
          <w:tcPr>
            <w:tcW w:type="dxa" w:w="29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GARCH Treatment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S&amp;P 500 large-cap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3.0–4.0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Finite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Standard GARCH(1,1); t(ν) distribution; full joint estimation</w:t>
            </w:r>
          </w:p>
        </w:tc>
      </w:tr>
      <w:tr>
        <w:tc>
          <w:tcPr>
            <w:tcW w:type="dxa" w:w="2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Russell 2000 small-cap</w:t>
            </w:r>
          </w:p>
        </w:tc>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2.5–3.0</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Finite</w:t>
            </w:r>
          </w:p>
        </w:tc>
        <w:tc>
          <w:tcPr>
            <w:tcW w:type="dxa" w:w="29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GARCH(1,1) with lower ν; estimation slower to converge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Russell Microcap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1.5–2.0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Undefined/infinite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Rolling realized vol substituted (Section 5.1)</w:t>
            </w:r>
          </w:p>
        </w:tc>
      </w:tr>
      <w:tr>
        <w:tc>
          <w:tcPr>
            <w:tcW w:type="dxa" w:w="2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Natural gas (Henry Hub)</w:t>
            </w:r>
          </w:p>
        </w:tc>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~1.5</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Infinite</w:t>
            </w:r>
          </w:p>
        </w:tc>
        <w:tc>
          <w:tcPr>
            <w:tcW w:type="dxa" w:w="29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Rolling realized vol; Floating ARMA treatment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Cauchy reference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Infinite</w:t>
            </w:r>
          </w:p>
        </w:tc>
        <w:tc>
          <w:tcPr>
            <w:tcW w:type="dxa" w:w="2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Fully realized vol; no GARCH</w:t>
            </w:r>
          </w:p>
        </w:tc>
      </w:tr>
    </w:tbl>
    <w:p>
      <w:pPr>
        <w:pStyle w:val="Heading2"/>
        <w:spacing w:after="120" w:before="280"/>
      </w:pPr>
      <w:r>
        <w:rPr>
          <w:rFonts w:ascii="Arial" w:cs="Arial" w:eastAsia="Arial" w:hAnsi="Arial"/>
          <w:b/>
          <w:bCs/>
          <w:color w:val="2E75B6"/>
          <w:sz w:val="26"/>
          <w:szCs w:val="26"/>
        </w:rPr>
        <w:t xml:space="preserve">2.3 Why ARMA History Is Becoming Less Informative</w:t>
      </w:r>
    </w:p>
    <w:p>
      <w:pPr>
        <w:pStyle w:val="ListParagraph"/>
        <w:numPr>
          <w:ilvl w:val="0"/>
          <w:numId w:val="2"/>
        </w:numPr>
        <w:spacing w:after="80"/>
      </w:pPr>
      <w:r>
        <w:rPr>
          <w:rFonts w:ascii="Arial" w:cs="Arial" w:eastAsia="Arial" w:hAnsi="Arial"/>
          <w:color w:val="1A1A2E"/>
          <w:sz w:val="20"/>
          <w:szCs w:val="20"/>
        </w:rPr>
        <w:t xml:space="preserve">Algorithmic execution has compressed exploitable lag structure at short horizons. Daily autocorrelation patterns from the 1990s are largely arbitraged away.</w:t>
      </w:r>
    </w:p>
    <w:p>
      <w:pPr>
        <w:pStyle w:val="ListParagraph"/>
        <w:numPr>
          <w:ilvl w:val="0"/>
          <w:numId w:val="2"/>
        </w:numPr>
        <w:spacing w:after="80"/>
      </w:pPr>
      <w:r>
        <w:rPr>
          <w:rFonts w:ascii="Arial" w:cs="Arial" w:eastAsia="Arial" w:hAnsi="Arial"/>
          <w:color w:val="1A1A2E"/>
          <w:sz w:val="20"/>
          <w:szCs w:val="20"/>
        </w:rPr>
        <w:t xml:space="preserve">Passive investing (~50-55% of US equity AUM) forces mechanical simultaneous buying/selling of index constituents, creating artificial synchronization that breaks individual-stock ARMA models.</w:t>
      </w:r>
    </w:p>
    <w:p>
      <w:pPr>
        <w:pStyle w:val="ListParagraph"/>
        <w:numPr>
          <w:ilvl w:val="0"/>
          <w:numId w:val="2"/>
        </w:numPr>
        <w:spacing w:after="80"/>
      </w:pPr>
      <w:r>
        <w:rPr>
          <w:rFonts w:ascii="Arial" w:cs="Arial" w:eastAsia="Arial" w:hAnsi="Arial"/>
          <w:color w:val="1A1A2E"/>
          <w:sz w:val="20"/>
          <w:szCs w:val="20"/>
        </w:rPr>
        <w:t xml:space="preserve">The 2022 equity-bond correlation flip (negative to positive) invalidated 20 years of cross-asset ARMA relationships in a single regime change.</w:t>
      </w:r>
    </w:p>
    <w:p>
      <w:pPr>
        <w:pStyle w:val="ListParagraph"/>
        <w:numPr>
          <w:ilvl w:val="0"/>
          <w:numId w:val="2"/>
        </w:numPr>
        <w:spacing w:after="80"/>
      </w:pPr>
      <w:r>
        <w:rPr>
          <w:rFonts w:ascii="Arial" w:cs="Arial" w:eastAsia="Arial" w:hAnsi="Arial"/>
          <w:color w:val="1A1A2E"/>
          <w:sz w:val="20"/>
          <w:szCs w:val="20"/>
        </w:rPr>
        <w:t xml:space="preserve">Central bank intervention at scale (Fed balance sheet $900B → $9T → $7T) changes model parameters while the model runs, not just the inputs.</w:t>
      </w:r>
    </w:p>
    <w:p>
      <w:pPr>
        <w:pStyle w:val="ListParagraph"/>
        <w:numPr>
          <w:ilvl w:val="0"/>
          <w:numId w:val="2"/>
        </w:numPr>
        <w:spacing w:after="80"/>
      </w:pPr>
      <w:r>
        <w:rPr>
          <w:rFonts w:ascii="Arial" w:cs="Arial" w:eastAsia="Arial" w:hAnsi="Arial"/>
          <w:color w:val="1A1A2E"/>
          <w:sz w:val="20"/>
          <w:szCs w:val="20"/>
        </w:rPr>
        <w:t xml:space="preserve">Binary geopolitical events (Strait of Hormuz, tariff regime changes) are increasingly dominant price-setting mechanisms with no ARMA representation.</w:t>
      </w:r>
    </w:p>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3. Framework Architecture</w:t>
      </w:r>
    </w:p>
    <w:p>
      <w:pPr>
        <w:pStyle w:val="Heading2"/>
        <w:spacing w:after="120" w:before="280"/>
      </w:pPr>
      <w:r>
        <w:rPr>
          <w:rFonts w:ascii="Arial" w:cs="Arial" w:eastAsia="Arial" w:hAnsi="Arial"/>
          <w:b/>
          <w:bCs/>
          <w:color w:val="2E75B6"/>
          <w:sz w:val="26"/>
          <w:szCs w:val="26"/>
        </w:rPr>
        <w:t xml:space="preserve">3.1 Three-Layer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260"/>
        <w:gridCol w:w="2000"/>
      </w:tblGrid>
      <w:tr>
        <w:tc>
          <w:tcPr>
            <w:tcW w:type="dxa" w:w="9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Layer</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Name</w:t>
            </w:r>
          </w:p>
        </w:tc>
        <w:tc>
          <w:tcPr>
            <w:tcW w:type="dxa" w:w="42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Function</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Update Frequency</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Layer 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Signal Smoothing Pipeline</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Clean raw market signals; remove microstructure noise while preserving structural features; compress to 6-dim state vector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Daily; real-time intraday triggers</w:t>
            </w:r>
          </w:p>
        </w:tc>
      </w:tr>
      <w:tr>
        <w:tc>
          <w:tcPr>
            <w:tcW w:type="dxa" w:w="9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Layer 2</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Gamma-ARMA Meta-Model</w:t>
            </w:r>
          </w:p>
        </w:tc>
        <w:tc>
          <w:tcPr>
            <w:tcW w:type="dxa" w:w="42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Posterior probability distribution over ARMA parameter space; regime identification; tail index assignment</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Daily recursive (ρ=0.99); weekly full EM</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Layer 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Cascade Interface</w:t>
            </w:r>
          </w:p>
        </w:tc>
        <w:tc>
          <w:tcPr>
            <w:tcW w:type="dxa" w:w="4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Translate regime probabilities into position sizing, strategy blending, and risk parameters for cascade_engine.py</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Daily after close; intraday on vol triggers</w:t>
            </w:r>
          </w:p>
        </w:tc>
      </w:tr>
    </w:tbl>
    <w:p>
      <w:pPr>
        <w:spacing w:after="160"/>
      </w:pPr>
      <w:r>
        <w:rPr>
          <w:rFonts w:ascii="Arial" w:cs="Arial" w:eastAsia="Arial" w:hAnsi="Arial"/>
          <w:color w:val="1A1A2E"/>
          <w:sz w:val="20"/>
          <w:szCs w:val="20"/>
        </w:rPr>
        <w:t xml:space="preserve"/>
      </w:r>
    </w:p>
    <w:p>
      <w:pPr>
        <w:pStyle w:val="Heading2"/>
        <w:spacing w:after="120" w:before="280"/>
      </w:pPr>
      <w:r>
        <w:rPr>
          <w:rFonts w:ascii="Arial" w:cs="Arial" w:eastAsia="Arial" w:hAnsi="Arial"/>
          <w:b/>
          <w:bCs/>
          <w:color w:val="2E75B6"/>
          <w:sz w:val="26"/>
          <w:szCs w:val="26"/>
        </w:rPr>
        <w:t xml:space="preserve">3.2 Regime Taxonomy</w:t>
      </w:r>
    </w:p>
    <w:p>
      <w:pPr>
        <w:spacing w:after="120"/>
      </w:pPr>
      <w:r>
        <w:rPr>
          <w:rFonts w:ascii="Arial" w:cs="Arial" w:eastAsia="Arial" w:hAnsi="Arial"/>
          <w:color w:val="1A1A2E"/>
          <w:sz w:val="20"/>
          <w:szCs w:val="20"/>
        </w:rPr>
        <w:t xml:space="preserve">Three named base regimes plus one emergent regime (Crisis/Dislocation) that the Dirichlet Process Mixture discovers autonomously if data demands it. The DPM may also discover additional unnamed regimes; emergent regime handling (below) applies to any regime that meets the Crisis criteria.</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560"/>
        <w:gridCol w:w="2000"/>
        <w:gridCol w:w="140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Regime</w:t>
            </w:r>
          </w:p>
        </w:tc>
        <w:tc>
          <w:tcPr>
            <w:tcW w:type="dxa" w:w="2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ARMA Signature</w:t>
            </w:r>
          </w:p>
        </w:tc>
        <w:tc>
          <w:tcPr>
            <w:tcW w:type="dxa" w:w="1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Tail Index α</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GARCH Treatment</w:t>
            </w:r>
          </w:p>
        </w:tc>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Cascade Posture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Fixed ARMA (calm, mean-reverting)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Low φ₁, short MA, small σ², α+β &lt; 0.99</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3.0–4.0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Standard GARCH(1,1) + t(ν)</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 position; mean-reversion favored</w:t>
            </w:r>
          </w:p>
        </w:tc>
      </w:tr>
      <w:tr>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Growth ARMA (momentum, near-unit root)</w:t>
            </w:r>
          </w:p>
        </w:tc>
        <w:tc>
          <w:tcPr>
            <w:tcW w:type="dxa" w:w="2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φ₁ ≈ 0.97, GARCH dominant, long MA, α+β ≈ 0.99</w:t>
            </w:r>
          </w:p>
        </w:tc>
        <w:tc>
          <w:tcPr>
            <w:tcW w:type="dxa" w:w="1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2.0–3.0</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GARCH(1,1) strong persistence; α+β near 1</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Trend-following; widened stops; up to 1.2×</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Floating ARMA (transition, high uncertainty)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Unstable parameters; α+β may exceed 0.99; ω unstable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1.5–2.0 (may be infinite)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GARCH DISABLED; rolling 10-day realized vol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50–80% exposure cut; ≤3d holds; defensive</w:t>
            </w:r>
          </w:p>
        </w:tc>
      </w:tr>
      <w:tr>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Crisis (emergent, DPM-discovered)</w:t>
            </w:r>
          </w:p>
        </w:tc>
        <w:tc>
          <w:tcPr>
            <w:tcW w:type="dxa" w:w="2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Any regime meeting 3 of 4 Crisis criteria (see below)</w:t>
            </w:r>
          </w:p>
        </w:tc>
        <w:tc>
          <w:tcPr>
            <w:tcW w:type="dxa" w:w="1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&lt; 1.8</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Rolling realized vol; λ(t) forced to 0.5</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100% defensive (cash); 1-day max hold; 0.25 ATR stop</w:t>
            </w:r>
          </w:p>
        </w:tc>
      </w:tr>
    </w:tbl>
    <w:p>
      <w:pPr>
        <w:spacing w:after="120"/>
      </w:pPr>
      <w:r>
        <w:rPr>
          <w:rFonts w:ascii="Arial" w:cs="Arial" w:eastAsia="Arial" w:hAnsi="Arial"/>
          <w:color w:val="1A1A2E"/>
          <w:sz w:val="20"/>
          <w:szCs w:val="20"/>
        </w:rPr>
        <w:t xml:space="preserve"/>
      </w:r>
    </w:p>
    <w:p>
      <w:pPr>
        <w:pStyle w:val="Heading3"/>
        <w:spacing w:after="80" w:before="200"/>
      </w:pPr>
      <w:r>
        <w:rPr>
          <w:rFonts w:ascii="Arial" w:cs="Arial" w:eastAsia="Arial" w:hAnsi="Arial"/>
          <w:b/>
          <w:bCs/>
          <w:color w:val="4A4A6A"/>
          <w:sz w:val="22"/>
          <w:szCs w:val="22"/>
        </w:rPr>
        <w:t xml:space="preserve">Crisis Regime Identification (Any Three of Four Criteria)</w:t>
      </w:r>
    </w:p>
    <w:p>
      <w:pPr>
        <w:pStyle w:val="ListParagraph"/>
        <w:numPr>
          <w:ilvl w:val="0"/>
          <w:numId w:val="2"/>
        </w:numPr>
        <w:spacing w:after="80"/>
      </w:pPr>
      <w:r>
        <w:rPr>
          <w:rFonts w:ascii="Arial" w:cs="Arial" w:eastAsia="Arial" w:hAnsi="Arial"/>
          <w:color w:val="1A1A2E"/>
          <w:sz w:val="20"/>
          <w:szCs w:val="20"/>
        </w:rPr>
        <w:t xml:space="preserve">Estimated volatility &gt; 3× the 60-day rolling average of the base regime volatility</w:t>
      </w:r>
    </w:p>
    <w:p>
      <w:pPr>
        <w:pStyle w:val="ListParagraph"/>
        <w:numPr>
          <w:ilvl w:val="0"/>
          <w:numId w:val="2"/>
        </w:numPr>
        <w:spacing w:after="80"/>
      </w:pPr>
      <w:r>
        <w:rPr>
          <w:rFonts w:ascii="Arial" w:cs="Arial" w:eastAsia="Arial" w:hAnsi="Arial"/>
          <w:color w:val="1A1A2E"/>
          <w:sz w:val="20"/>
          <w:szCs w:val="20"/>
        </w:rPr>
        <w:t xml:space="preserve">Tail index α &lt; 1.8 (very fat tails)</w:t>
      </w:r>
    </w:p>
    <w:p>
      <w:pPr>
        <w:pStyle w:val="ListParagraph"/>
        <w:numPr>
          <w:ilvl w:val="0"/>
          <w:numId w:val="2"/>
        </w:numPr>
        <w:spacing w:after="80"/>
      </w:pPr>
      <w:r>
        <w:rPr>
          <w:rFonts w:ascii="Arial" w:cs="Arial" w:eastAsia="Arial" w:hAnsi="Arial"/>
          <w:color w:val="1A1A2E"/>
          <w:sz w:val="20"/>
          <w:szCs w:val="20"/>
        </w:rPr>
        <w:t xml:space="preserve">Jump intensity λ(t) &gt; 0.3 for more than 3 consecutive days</w:t>
      </w:r>
    </w:p>
    <w:p>
      <w:pPr>
        <w:pStyle w:val="ListParagraph"/>
        <w:numPr>
          <w:ilvl w:val="0"/>
          <w:numId w:val="2"/>
        </w:numPr>
        <w:spacing w:after="80"/>
      </w:pPr>
      <w:r>
        <w:rPr>
          <w:rFonts w:ascii="Arial" w:cs="Arial" w:eastAsia="Arial" w:hAnsi="Arial"/>
          <w:color w:val="1A1A2E"/>
          <w:sz w:val="20"/>
          <w:szCs w:val="20"/>
        </w:rPr>
        <w:t xml:space="preserve">VIX/VXV ratio &gt; 1.1 (inverted volatility term structure — the key discriminator from Growth ARMA)</w:t>
      </w:r>
    </w:p>
    <w:p>
      <w:pPr>
        <w:spacing w:after="120"/>
      </w:pPr>
      <w:r>
        <w:rPr>
          <w:rFonts w:ascii="Arial" w:cs="Arial" w:eastAsia="Arial" w:hAnsi="Arial"/>
          <w:color w:val="1A1A2E"/>
          <w:sz w:val="20"/>
          <w:szCs w:val="20"/>
        </w:rPr>
        <w:t xml:space="preserve">The fourth criterion is the essential discriminator: Growth (momentum) markets do not invert the volatility term structure. Near-term VIX exceeding 3-month VXV is the signature of genuine fear, not momentum. A strong momentum regime satisfying criteria 1 and 3 will not satisfy criterion 4, preventing misclassification.</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Crisis Regime Parameter</w:t>
            </w:r>
          </w:p>
        </w:tc>
        <w:tc>
          <w:tcPr>
            <w:tcW w:type="dxa" w:w="2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Value</w:t>
            </w:r>
          </w:p>
        </w:tc>
        <w:tc>
          <w:tcPr>
            <w:tcW w:type="dxa" w:w="3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Rationale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Position sizing multiplier</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0.25</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Minimum deployment; preserves capital</w:t>
            </w:r>
          </w:p>
        </w:tc>
      </w:tr>
      <w:tr>
        <w:tc>
          <w:tcPr>
            <w:tcW w:type="dxa" w:w="3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Strategy weights</w:t>
            </w:r>
          </w:p>
        </w:tc>
        <w:tc>
          <w:tcPr>
            <w:tcW w:type="dxa" w:w="2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All zero except defensive (cash) = 1.0</w:t>
            </w:r>
          </w:p>
        </w:tc>
        <w:tc>
          <w:tcPr>
            <w:tcW w:type="dxa" w:w="3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 active strategies in Crisis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Trailing stop width</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0.25 ATR (very tight)</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Minimize additional loss on existing positions</w:t>
            </w:r>
          </w:p>
        </w:tc>
      </w:tr>
      <w:tr>
        <w:tc>
          <w:tcPr>
            <w:tcW w:type="dxa" w:w="3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Holding period max</w:t>
            </w:r>
          </w:p>
        </w:tc>
        <w:tc>
          <w:tcPr>
            <w:tcW w:type="dxa" w:w="2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 day</w:t>
            </w:r>
          </w:p>
        </w:tc>
        <w:tc>
          <w:tcPr>
            <w:tcW w:type="dxa" w:w="3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 overnight exposure in Crisis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Jump intensity λ(t)</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Forced to 0.5 for duration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Maximum jump risk assumed throughout</w:t>
            </w:r>
          </w:p>
        </w:tc>
      </w:tr>
      <w:tr>
        <w:tc>
          <w:tcPr>
            <w:tcW w:type="dxa" w:w="3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Governance</w:t>
            </w:r>
          </w:p>
        </w:tc>
        <w:tc>
          <w:tcPr>
            <w:tcW w:type="dxa" w:w="2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Autonomous activation; PMO post-hoc review within 5 business days</w:t>
            </w:r>
          </w:p>
        </w:tc>
        <w:tc>
          <w:tcPr>
            <w:tcW w:type="dxa" w:w="3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System does not wait for approval</w:t>
            </w:r>
          </w:p>
        </w:tc>
      </w:tr>
    </w:tbl>
    <w:p>
      <w:pPr>
        <w:pStyle w:val="Heading2"/>
        <w:spacing w:after="120" w:before="280"/>
      </w:pPr>
      <w:r>
        <w:rPr>
          <w:rFonts w:ascii="Arial" w:cs="Arial" w:eastAsia="Arial" w:hAnsi="Arial"/>
          <w:b/>
          <w:bCs/>
          <w:color w:val="2E75B6"/>
          <w:sz w:val="26"/>
          <w:szCs w:val="26"/>
        </w:rPr>
        <w:t xml:space="preserve">3.3 DPM Concentration Parameter</w:t>
      </w:r>
    </w:p>
    <w:p>
      <w:pPr>
        <w:spacing w:after="120"/>
      </w:pPr>
      <w:r>
        <w:rPr>
          <w:rFonts w:ascii="Arial" w:cs="Arial" w:eastAsia="Arial" w:hAnsi="Arial"/>
          <w:color w:val="1A1A2E"/>
          <w:sz w:val="20"/>
          <w:szCs w:val="20"/>
        </w:rPr>
        <w:t xml:space="preserve">The concentration parameter γ (named gamma; distinct from tail index α and jump intensity λ) governs expected number of active regimes:</w:t>
      </w:r>
    </w:p>
    <w:p>
      <w:pPr>
        <w:spacing w:after="120"/>
      </w:pPr>
      <w:r>
        <w:rPr>
          <w:rFonts w:ascii="Courier New" w:cs="Courier New" w:eastAsia="Courier New" w:hAnsi="Courier New"/>
          <w:color w:val="1B3A5C"/>
          <w:sz w:val="18"/>
          <w:szCs w:val="18"/>
        </w:rPr>
        <w:t xml:space="preserve">  γ ~ Gamma(shape=2, rate=0.5)   →   mean=4, variance=8</w:t>
      </w:r>
    </w:p>
    <w:p>
      <w:pPr>
        <w:spacing w:after="120"/>
      </w:pPr>
      <w:r>
        <w:rPr>
          <w:rFonts w:ascii="Arial" w:cs="Arial" w:eastAsia="Arial" w:hAnsi="Arial"/>
          <w:color w:val="1A1A2E"/>
          <w:sz w:val="20"/>
          <w:szCs w:val="20"/>
        </w:rPr>
        <w:t xml:space="preserve">Estimated weekly during EM via Escobar-West (1995) auxiliary variable method. Expected active regimes: 3–6. Stick-breaking representation used for tractable MCMC/variational inference. The Gamma hyperprior is the mechanism by which the Gamma distribution governs regime structure — it controls how the DPM allocates probability mass across discovered regimes.</w:t>
      </w:r>
    </w:p>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4. Signal Smoothing Pipeline (Layer 1)</w:t>
      </w:r>
    </w:p>
    <w:p>
      <w:pPr>
        <w:pStyle w:val="Heading2"/>
        <w:spacing w:after="120" w:before="280"/>
      </w:pPr>
      <w:r>
        <w:rPr>
          <w:rFonts w:ascii="Arial" w:cs="Arial" w:eastAsia="Arial" w:hAnsi="Arial"/>
          <w:b/>
          <w:bCs/>
          <w:color w:val="2E75B6"/>
          <w:sz w:val="26"/>
          <w:szCs w:val="26"/>
        </w:rPr>
        <w:t xml:space="preserve">4.1 Three Signal Types Differentiated by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Signal Type</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Description</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Pipeline Treatment</w:t>
            </w:r>
          </w:p>
        </w:tc>
        <w:tc>
          <w:tcPr>
            <w:tcW w:type="dxa" w:w="19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Regime Implication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Type 1: Microstructure noise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Bid-ask bounce, non-synchronous trading, options distortions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Filtered by LOWESS + SG; does not reach state vector</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None</w:t>
            </w:r>
          </w:p>
        </w:tc>
      </w:tr>
      <w:tr>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Type 2: Transient event-driven</w:t>
            </w:r>
          </w:p>
        </w:tc>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Single-day spike from specific data release (FOMC, CPI)</w:t>
            </w:r>
          </w:p>
        </w:tc>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Detected by adaptive rolling median; captured in VIX1D</w:t>
            </w:r>
          </w:p>
        </w:tc>
        <w:tc>
          <w:tcPr>
            <w:tcW w:type="dxa" w:w="19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Short-duration; intraday only</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Type 3: Structural shift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Genuine regime transition (2022 equity-bond flip)</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Bootstrap envelope widens first; point estimate follows</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Long-duration; shifts Gamma hyperparameters durably</w:t>
            </w:r>
          </w:p>
        </w:tc>
      </w:tr>
    </w:tbl>
    <w:p>
      <w:pPr>
        <w:pStyle w:val="Heading2"/>
        <w:spacing w:after="120" w:before="280"/>
      </w:pPr>
      <w:r>
        <w:rPr>
          <w:rFonts w:ascii="Arial" w:cs="Arial" w:eastAsia="Arial" w:hAnsi="Arial"/>
          <w:b/>
          <w:bCs/>
          <w:color w:val="2E75B6"/>
          <w:sz w:val="26"/>
          <w:szCs w:val="26"/>
        </w:rPr>
        <w:t xml:space="preserve">4.2 Five-Stage Processing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000"/>
        <w:gridCol w:w="3760"/>
      </w:tblGrid>
      <w:tr>
        <w:tc>
          <w:tcPr>
            <w:tcW w:type="dxa" w:w="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Stage</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Method</w:t>
            </w:r>
          </w:p>
        </w:tc>
        <w:tc>
          <w:tcPr>
            <w:tcW w:type="dxa" w:w="3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Parameters</w:t>
            </w:r>
          </w:p>
        </w:tc>
        <w:tc>
          <w:tcPr>
            <w:tcW w:type="dxa" w:w="3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Output</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LOWESS (robust)</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Bandwidth h=0.35; iterative reweighting for outlier resistance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Non-parametric structural baseline; outliers down-weighted</w:t>
            </w:r>
          </w:p>
        </w:tc>
      </w:tr>
      <w:tr>
        <w:tc>
          <w:tcPr>
            <w:tcW w:type="dxa" w:w="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Savitzky-Golay on residuals</w:t>
            </w:r>
          </w:p>
        </w:tc>
        <w:tc>
          <w:tcPr>
            <w:tcW w:type="dxa" w:w="3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Window=21 days; degree 3 polynomial; applied to LOWESS residuals</w:t>
            </w:r>
          </w:p>
        </w:tc>
        <w:tc>
          <w:tcPr>
            <w:tcW w:type="dxa" w:w="3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Genuine short-term structural features recovered without noise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Adaptive rolling median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Window: 60d if VIX/VXV &lt; 0.9; scales to 10d if VIX/VXV &gt; 1.1</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Regime-responsive estimate; smoothing reacts to vol surface in real time</w:t>
            </w:r>
          </w:p>
        </w:tc>
      </w:tr>
      <w:tr>
        <w:tc>
          <w:tcPr>
            <w:tcW w:type="dxa" w:w="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4</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Stationary block bootstrap</w:t>
            </w:r>
          </w:p>
        </w:tc>
        <w:tc>
          <w:tcPr>
            <w:tcW w:type="dxa" w:w="3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Block length b=60 days; B=5,000 replications; Politis-Romano</w:t>
            </w:r>
          </w:p>
        </w:tc>
        <w:tc>
          <w:tcPr>
            <w:tcW w:type="dxa" w:w="3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Confidence envelope [5%, 50%, 95%] at each point in time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PCA compression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 PCs from vol surface; 3 Litterman-Scheinkman factors from yield curve</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6-dimensional state vector sₜ for Gamma hyperparameter estimation</w:t>
            </w:r>
          </w:p>
        </w:tc>
      </w:tr>
    </w:tbl>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03A" w:sz="1"/>
              <w:left w:val="single" w:color="C5703A" w:sz="14"/>
              <w:bottom w:val="single" w:color="C5703A" w:sz="1"/>
              <w:right w:val="none" w:color="FFFFFF" w:sz="0"/>
            </w:tcBorders>
            <w:shd w:fill="FFF3E0" w:val="clear"/>
            <w:tcMar>
              <w:top w:type="dxa" w:w="100"/>
              <w:left w:type="dxa" w:w="180"/>
              <w:bottom w:type="dxa" w:w="100"/>
              <w:right w:type="dxa" w:w="120"/>
            </w:tcMar>
          </w:tcPr>
          <w:p>
            <w:pPr>
              <w:spacing w:after="0"/>
            </w:pPr>
            <w:r>
              <w:rPr>
                <w:rFonts w:ascii="Arial" w:cs="Arial" w:eastAsia="Arial" w:hAnsi="Arial"/>
                <w:b/>
                <w:bCs/>
                <w:color w:val="7B2D00"/>
                <w:sz w:val="20"/>
                <w:szCs w:val="20"/>
              </w:rPr>
              <w:t xml:space="preserve">SG Failure Mode: </w:t>
            </w:r>
            <w:r>
              <w:rPr>
                <w:rFonts w:ascii="Arial" w:cs="Arial" w:eastAsia="Arial" w:hAnsi="Arial"/>
                <w:color w:val="7B2D00"/>
                <w:sz w:val="20"/>
                <w:szCs w:val="20"/>
              </w:rPr>
              <w:t xml:space="preserve">Savitzky-Golay produces ringing artifacts near genuine discontinuities. If residuals &gt; 5σ at detected break points, fall back to 20-day simple moving average for that window.</w:t>
            </w:r>
          </w:p>
        </w:tc>
      </w:tr>
    </w:tbl>
    <w:p>
      <w:pPr>
        <w:pStyle w:val="Heading2"/>
        <w:spacing w:after="120" w:before="280"/>
      </w:pPr>
      <w:r>
        <w:rPr>
          <w:rFonts w:ascii="Arial" w:cs="Arial" w:eastAsia="Arial" w:hAnsi="Arial"/>
          <w:b/>
          <w:bCs/>
          <w:color w:val="2E75B6"/>
          <w:sz w:val="26"/>
          <w:szCs w:val="26"/>
        </w:rPr>
        <w:t xml:space="preserve">4.3 Volatility Surface Inputs — State Vector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60"/>
        <w:gridCol w:w="3400"/>
      </w:tblGrid>
      <w:t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Signal</w:t>
            </w:r>
          </w:p>
        </w:tc>
        <w:tc>
          <w:tcPr>
            <w:tcW w:type="dxa" w:w="39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Definition</w:t>
            </w:r>
          </w:p>
        </w:tc>
        <w:tc>
          <w:tcPr>
            <w:tcW w:type="dxa" w:w="3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Regime Information Carried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Vol PC₁ (level)</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First PC of [VIX, VXV, VVIX, VIX1D, IV Rank]. ~75-80% variance.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Current absolute fear level; primary regime intensity signal</w:t>
            </w:r>
          </w:p>
        </w:tc>
      </w:tr>
      <w:tr>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Vol PC₂ (term structure)</w:t>
            </w:r>
          </w:p>
        </w:tc>
        <w:tc>
          <w:tcPr>
            <w:tcW w:type="dxa" w:w="39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Positive on VVIX, negative on VIX/VXV. Orthogonal to PC₁.</w:t>
            </w:r>
          </w:p>
        </w:tc>
        <w:tc>
          <w:tcPr>
            <w:tcW w:type="dxa" w:w="3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Fear term structure slope: temporary panic vs structural stress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Vol PC₃ (event vs structural)</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Contrast between VIX1D and VXV.</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Near-term binary event risk vs long-horizon uncertainty. EXCLUDED if VIX1D unavailable (Section 4.6).</w:t>
            </w:r>
          </w:p>
        </w:tc>
      </w:tr>
      <w:tr>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Yield level (LS Factor 1)</w:t>
            </w:r>
          </w:p>
        </w:tc>
        <w:tc>
          <w:tcPr>
            <w:tcW w:type="dxa" w:w="39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Litterman-Scheinkman Factor 1 from LW dataset. Parallel shift.</w:t>
            </w:r>
          </w:p>
        </w:tc>
        <w:tc>
          <w:tcPr>
            <w:tcW w:type="dxa" w:w="3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Broad monetary policy stance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Yield slope (LS Factor 2)</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LS Factor 2. 2s10s spread from LW dataset.</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Growth/recession pricing; key regime context for equity-bond correlation</w:t>
            </w:r>
          </w:p>
        </w:tc>
      </w:tr>
      <w:tr>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Yield curvature (LS Factor 3)</w:t>
            </w:r>
          </w:p>
        </w:tc>
        <w:tc>
          <w:tcPr>
            <w:tcW w:type="dxa" w:w="39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LS Factor 3. Mid-cycle uncertainty.</w:t>
            </w:r>
          </w:p>
        </w:tc>
        <w:tc>
          <w:tcPr>
            <w:tcW w:type="dxa" w:w="3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Inflation expectations vs rate path uncertainty</w:t>
            </w:r>
          </w:p>
        </w:tc>
      </w:tr>
    </w:tbl>
    <w:p>
      <w:pPr>
        <w:pStyle w:val="Heading2"/>
        <w:spacing w:after="120" w:before="280"/>
      </w:pPr>
      <w:r>
        <w:rPr>
          <w:rFonts w:ascii="Arial" w:cs="Arial" w:eastAsia="Arial" w:hAnsi="Arial"/>
          <w:b/>
          <w:bCs/>
          <w:color w:val="2E75B6"/>
          <w:sz w:val="26"/>
          <w:szCs w:val="26"/>
        </w:rPr>
        <w:t xml:space="preserve">4.4 Intraday Frequency Protocol</w:t>
      </w:r>
    </w:p>
    <w:p>
      <w:pPr>
        <w:spacing w:after="120"/>
      </w:pPr>
      <w:r>
        <w:rPr>
          <w:rFonts w:ascii="Arial" w:cs="Arial" w:eastAsia="Arial" w:hAnsi="Arial"/>
          <w:color w:val="1A1A2E"/>
          <w:sz w:val="20"/>
          <w:szCs w:val="20"/>
        </w:rPr>
        <w:t xml:space="preserve">The full 5-stage pipeline runs on daily data only. Regime probabilities from the prior day's close are held as a step function — constant until next daily update. No interpolation. Intraday signal generation (0DTE, crypto) uses:</w:t>
      </w:r>
    </w:p>
    <w:p>
      <w:pPr>
        <w:pStyle w:val="ListParagraph"/>
        <w:numPr>
          <w:ilvl w:val="0"/>
          <w:numId w:val="2"/>
        </w:numPr>
        <w:spacing w:after="80"/>
      </w:pPr>
      <w:r>
        <w:rPr>
          <w:rFonts w:ascii="Arial" w:cs="Arial" w:eastAsia="Arial" w:hAnsi="Arial"/>
          <w:color w:val="1A1A2E"/>
          <w:sz w:val="20"/>
          <w:szCs w:val="20"/>
        </w:rPr>
        <w:t xml:space="preserve">Realized volatility over trailing 2-hour windows</w:t>
      </w:r>
    </w:p>
    <w:p>
      <w:pPr>
        <w:pStyle w:val="ListParagraph"/>
        <w:numPr>
          <w:ilvl w:val="0"/>
          <w:numId w:val="2"/>
        </w:numPr>
        <w:spacing w:after="80"/>
      </w:pPr>
      <w:r>
        <w:rPr>
          <w:rFonts w:ascii="Arial" w:cs="Arial" w:eastAsia="Arial" w:hAnsi="Arial"/>
          <w:color w:val="1A1A2E"/>
          <w:sz w:val="20"/>
          <w:szCs w:val="20"/>
        </w:rPr>
        <w:t xml:space="preserve">VIX1D (real-time, intraday available) — subject to availability flag (Section 4.6)</w:t>
      </w:r>
    </w:p>
    <w:p>
      <w:pPr>
        <w:pStyle w:val="ListParagraph"/>
        <w:numPr>
          <w:ilvl w:val="0"/>
          <w:numId w:val="2"/>
        </w:numPr>
        <w:spacing w:after="80"/>
      </w:pPr>
      <w:r>
        <w:rPr>
          <w:rFonts w:ascii="Arial" w:cs="Arial" w:eastAsia="Arial" w:hAnsi="Arial"/>
          <w:color w:val="1A1A2E"/>
          <w:sz w:val="20"/>
          <w:szCs w:val="20"/>
        </w:rPr>
        <w:t xml:space="preserve">Order flow imbalance from tick data</w:t>
      </w:r>
    </w:p>
    <w:p>
      <w:pPr>
        <w:spacing w:after="120"/>
      </w:pPr>
      <w:r>
        <w:rPr>
          <w:rFonts w:ascii="Arial" w:cs="Arial" w:eastAsia="Arial" w:hAnsi="Arial"/>
          <w:color w:val="1A1A2E"/>
          <w:sz w:val="20"/>
          <w:szCs w:val="20"/>
        </w:rPr>
        <w:t xml:space="preserve">Intraday position sizing = prior close regime probability + 0.10 × VIX1D anomaly. No intraday ARMA re-estimation.</w:t>
      </w:r>
    </w:p>
    <w:p>
      <w:pPr>
        <w:pStyle w:val="Heading2"/>
        <w:spacing w:after="120" w:before="280"/>
      </w:pPr>
      <w:r>
        <w:rPr>
          <w:rFonts w:ascii="Arial" w:cs="Arial" w:eastAsia="Arial" w:hAnsi="Arial"/>
          <w:b/>
          <w:bCs/>
          <w:color w:val="2E75B6"/>
          <w:sz w:val="26"/>
          <w:szCs w:val="26"/>
        </w:rPr>
        <w:t xml:space="preserve">4.5 Yield Curve Publication Lag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160"/>
        <w:gridCol w:w="200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GSW/LW Maturity</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Intraday Real-Time Proxy</w:t>
            </w:r>
          </w:p>
        </w:tc>
        <w:tc>
          <w:tcPr>
            <w:tcW w:type="dxa" w:w="3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End-of-Day Replacement</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Measurement Error Term</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2-year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2yr Treasury futures (ZT)</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Published GSW/LW 2yr zero-coupon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|ZT price − GSW 2yr| as stress signal</w:t>
            </w:r>
          </w:p>
        </w:tc>
      </w:tr>
      <w:tr>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10-year</w:t>
            </w:r>
          </w:p>
        </w:tc>
        <w:tc>
          <w:tcPr>
            <w:tcW w:type="dxa" w:w="2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10yr Treasury futures (ZN)</w:t>
            </w:r>
          </w:p>
        </w:tc>
        <w:tc>
          <w:tcPr>
            <w:tcW w:type="dxa" w:w="3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Published GSW/LW 10yr zero-coupon</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Large divergence = illiquidity flag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30-year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30yr Treasury futures (ZB)</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Published GSW/LW 30yr zero-coupon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Large divergence = thin liquidity flag</w:t>
            </w:r>
          </w:p>
        </w:tc>
      </w:tr>
    </w:tbl>
    <w:p>
      <w:pPr>
        <w:pStyle w:val="Heading2"/>
        <w:spacing w:after="120" w:before="280"/>
      </w:pPr>
      <w:r>
        <w:rPr>
          <w:rFonts w:ascii="Arial" w:cs="Arial" w:eastAsia="Arial" w:hAnsi="Arial"/>
          <w:b/>
          <w:bCs/>
          <w:color w:val="2E75B6"/>
          <w:sz w:val="26"/>
          <w:szCs w:val="26"/>
        </w:rPr>
        <w:t xml:space="preserve">4.6 Data Feed Specification</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800"/>
        <w:gridCol w:w="1560"/>
        <w:gridCol w:w="2700"/>
      </w:tblGrid>
      <w:tr>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Signal</w:t>
            </w:r>
          </w:p>
        </w:tc>
        <w:tc>
          <w:tcPr>
            <w:tcW w:type="dxa" w:w="19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Primary Source</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Backup Source</w:t>
            </w:r>
          </w:p>
        </w:tc>
        <w:tc>
          <w:tcPr>
            <w:tcW w:type="dxa" w:w="1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Update Cadence</w:t>
            </w:r>
          </w:p>
        </w:tc>
        <w:tc>
          <w:tcPr>
            <w:tcW w:type="dxa" w:w="27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Failover Action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VIX, VXV, VVIX</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Cboe direct (WebSocket)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Bloomberg B-PIPE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Real-time; 15 sec delay allowed</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If primary down &gt;60 sec, use backup. If both down: hold positions, halt new signals, log FEED_FAILURE.</w:t>
            </w:r>
          </w:p>
        </w:tc>
      </w:tr>
      <w:tr>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VIX1D</w:t>
            </w:r>
          </w:p>
        </w:tc>
        <w:tc>
          <w:tcPr>
            <w:tcW w:type="dxa" w:w="19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Cboe direct</w:t>
            </w:r>
          </w:p>
        </w:tc>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None</w:t>
            </w:r>
          </w:p>
        </w:tc>
        <w:tc>
          <w:tcPr>
            <w:tcW w:type="dxa" w:w="1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Real-time</w:t>
            </w:r>
          </w:p>
        </w:tc>
        <w:tc>
          <w:tcPr>
            <w:tcW w:type="dxa" w:w="27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If unavailable: set vix1d_available=False; EXCLUDE Vol PC₃ from state vector; λ(t) uses base rate only. Do NOT substitute VIX.</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IV Rank (SPY)</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SPY options via Cboe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Yahoo Finance (daily close only)</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Daily after close</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Use previous day's IV Rank</w:t>
            </w:r>
          </w:p>
        </w:tc>
      </w:tr>
      <w:tr>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GSW yields</w:t>
            </w:r>
          </w:p>
        </w:tc>
        <w:tc>
          <w:tcPr>
            <w:tcW w:type="dxa" w:w="19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FRED API (JSON)</w:t>
            </w:r>
          </w:p>
        </w:tc>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Quandl FRED mirror</w:t>
            </w:r>
          </w:p>
        </w:tc>
        <w:tc>
          <w:tcPr>
            <w:tcW w:type="dxa" w:w="1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Daily 6pm EST</w:t>
            </w:r>
          </w:p>
        </w:tc>
        <w:tc>
          <w:tcPr>
            <w:tcW w:type="dxa" w:w="27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If both fail: use 1-day-old GSW with WARNING flag in state vector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LW yields</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Liu-Wu dataset (custom)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None (fall back to GSW)</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Daily 6pm EST</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Use GSW for affected maturities</w:t>
            </w:r>
          </w:p>
        </w:tc>
      </w:tr>
      <w:tr>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ZT/ZN/ZB futures</w:t>
            </w:r>
          </w:p>
        </w:tc>
        <w:tc>
          <w:tcPr>
            <w:tcW w:type="dxa" w:w="19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IBKR API</w:t>
            </w:r>
          </w:p>
        </w:tc>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Bloomberg</w:t>
            </w:r>
          </w:p>
        </w:tc>
        <w:tc>
          <w:tcPr>
            <w:tcW w:type="dxa" w:w="1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Real-time</w:t>
            </w:r>
          </w:p>
        </w:tc>
        <w:tc>
          <w:tcPr>
            <w:tcW w:type="dxa" w:w="27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Use previous trade price if stale &gt;5 sec</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OIS-SOFR spread</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Federal Reserve + OIS quotes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Bloomberg</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Daily</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Use previous day's value</w:t>
            </w:r>
          </w:p>
        </w:tc>
      </w:tr>
      <w:tr>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TGA balance changes</w:t>
            </w:r>
          </w:p>
        </w:tc>
        <w:tc>
          <w:tcPr>
            <w:tcW w:type="dxa" w:w="19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US Treasury Fiscal Service</w:t>
            </w:r>
          </w:p>
        </w:tc>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FRED</w:t>
            </w:r>
          </w:p>
        </w:tc>
        <w:tc>
          <w:tcPr>
            <w:tcW w:type="dxa" w:w="1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Daily</w:t>
            </w:r>
          </w:p>
        </w:tc>
        <w:tc>
          <w:tcPr>
            <w:tcW w:type="dxa" w:w="27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Use previous day's value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Deribit options skew</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Deribit WebSocket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None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Real-time, 1 sec</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If unavailable: use realized vol instead (conservative)</w:t>
            </w:r>
          </w:p>
        </w:tc>
      </w:tr>
    </w:tbl>
    <w:p>
      <w:pPr>
        <w:spacing w:after="80"/>
      </w:pPr>
      <w:r>
        <w:rPr>
          <w:rFonts w:ascii="Arial" w:cs="Arial" w:eastAsia="Arial" w:hAnsi="Arial"/>
          <w:color w:val="1A1A2E"/>
          <w:sz w:val="20"/>
          <w:szCs w:val="20"/>
        </w:rPr>
        <w:t xml:space="preserve"/>
      </w:r>
    </w:p>
    <w:p>
      <w:pPr>
        <w:pStyle w:val="Heading3"/>
        <w:spacing w:after="80" w:before="200"/>
      </w:pPr>
      <w:r>
        <w:rPr>
          <w:rFonts w:ascii="Arial" w:cs="Arial" w:eastAsia="Arial" w:hAnsi="Arial"/>
          <w:b/>
          <w:bCs/>
          <w:color w:val="4A4A6A"/>
          <w:sz w:val="22"/>
          <w:szCs w:val="22"/>
        </w:rPr>
        <w:t xml:space="preserve">Normalization Before Ingestion</w:t>
      </w:r>
    </w:p>
    <w:p>
      <w:pPr>
        <w:pStyle w:val="ListParagraph"/>
        <w:numPr>
          <w:ilvl w:val="0"/>
          <w:numId w:val="2"/>
        </w:numPr>
        <w:spacing w:after="80"/>
      </w:pPr>
      <w:r>
        <w:rPr>
          <w:rFonts w:ascii="Arial" w:cs="Arial" w:eastAsia="Arial" w:hAnsi="Arial"/>
          <w:color w:val="1A1A2E"/>
          <w:sz w:val="20"/>
          <w:szCs w:val="20"/>
        </w:rPr>
        <w:t xml:space="preserve">Volatility indices (VIX, VXV, VVIX): log transform, then z-score normalization using rolling 60-day window</w:t>
      </w:r>
    </w:p>
    <w:p>
      <w:pPr>
        <w:pStyle w:val="ListParagraph"/>
        <w:numPr>
          <w:ilvl w:val="0"/>
          <w:numId w:val="2"/>
        </w:numPr>
        <w:spacing w:after="80"/>
      </w:pPr>
      <w:r>
        <w:rPr>
          <w:rFonts w:ascii="Arial" w:cs="Arial" w:eastAsia="Arial" w:hAnsi="Arial"/>
          <w:color w:val="1A1A2E"/>
          <w:sz w:val="20"/>
          <w:szCs w:val="20"/>
        </w:rPr>
        <w:t xml:space="preserve">Yield curve factors (LS factors from LW/GSW): no transform (already stationary in differences)</w:t>
      </w:r>
    </w:p>
    <w:p>
      <w:pPr>
        <w:pStyle w:val="ListParagraph"/>
        <w:numPr>
          <w:ilvl w:val="0"/>
          <w:numId w:val="2"/>
        </w:numPr>
        <w:spacing w:after="80"/>
      </w:pPr>
      <w:r>
        <w:rPr>
          <w:rFonts w:ascii="Arial" w:cs="Arial" w:eastAsia="Arial" w:hAnsi="Arial"/>
          <w:color w:val="1A1A2E"/>
          <w:sz w:val="20"/>
          <w:szCs w:val="20"/>
        </w:rPr>
        <w:t xml:space="preserve">IV Rank: already [0,100]; pass through unchanged</w:t>
      </w:r>
    </w:p>
    <w:p>
      <w:pPr>
        <w:pStyle w:val="ListParagraph"/>
        <w:numPr>
          <w:ilvl w:val="0"/>
          <w:numId w:val="2"/>
        </w:numPr>
        <w:spacing w:after="80"/>
      </w:pPr>
      <w:r>
        <w:rPr>
          <w:rFonts w:ascii="Arial" w:cs="Arial" w:eastAsia="Arial" w:hAnsi="Arial"/>
          <w:color w:val="1A1A2E"/>
          <w:sz w:val="20"/>
          <w:szCs w:val="20"/>
        </w:rPr>
        <w:t xml:space="preserve">VIX/VXV ratio: clip to [0.7, 1.3], then min-max normalize to [0,1] for global_risk_off(t)</w:t>
      </w:r>
    </w:p>
    <w:p>
      <w:pPr>
        <w:pStyle w:val="Heading3"/>
        <w:spacing w:after="80" w:before="200"/>
      </w:pPr>
      <w:r>
        <w:rPr>
          <w:rFonts w:ascii="Arial" w:cs="Arial" w:eastAsia="Arial" w:hAnsi="Arial"/>
          <w:b/>
          <w:bCs/>
          <w:color w:val="4A4A6A"/>
          <w:sz w:val="22"/>
          <w:szCs w:val="22"/>
        </w:rPr>
        <w:t xml:space="preserve">Staleness Detection</w:t>
      </w:r>
    </w:p>
    <w:p>
      <w:pPr>
        <w:pStyle w:val="ListParagraph"/>
        <w:numPr>
          <w:ilvl w:val="0"/>
          <w:numId w:val="2"/>
        </w:numPr>
        <w:spacing w:after="80"/>
      </w:pPr>
      <w:r>
        <w:rPr>
          <w:rFonts w:ascii="Arial" w:cs="Arial" w:eastAsia="Arial" w:hAnsi="Arial"/>
          <w:color w:val="1A1A2E"/>
          <w:sz w:val="20"/>
          <w:szCs w:val="20"/>
        </w:rPr>
        <w:t xml:space="preserve">If any primary feed has not updated for &gt;2× its expected cadence: mark as stale; flag reduced confidence in state vector</w:t>
      </w:r>
    </w:p>
    <w:p>
      <w:pPr>
        <w:pStyle w:val="ListParagraph"/>
        <w:numPr>
          <w:ilvl w:val="0"/>
          <w:numId w:val="2"/>
        </w:numPr>
        <w:spacing w:after="80"/>
      </w:pPr>
      <w:r>
        <w:rPr>
          <w:rFonts w:ascii="Arial" w:cs="Arial" w:eastAsia="Arial" w:hAnsi="Arial"/>
          <w:color w:val="1A1A2E"/>
          <w:sz w:val="20"/>
          <w:szCs w:val="20"/>
        </w:rPr>
        <w:t xml:space="preserve">If &gt;2 signals stale simultaneously: reduce position size 50%; log MULTI_FEED_STALE</w:t>
      </w:r>
    </w:p>
    <w:p>
      <w:pPr>
        <w:pStyle w:val="ListParagraph"/>
        <w:numPr>
          <w:ilvl w:val="0"/>
          <w:numId w:val="2"/>
        </w:numPr>
        <w:spacing w:after="80"/>
      </w:pPr>
      <w:r>
        <w:rPr>
          <w:rFonts w:ascii="Arial" w:cs="Arial" w:eastAsia="Arial" w:hAnsi="Arial"/>
          <w:color w:val="1A1A2E"/>
          <w:sz w:val="20"/>
          <w:szCs w:val="20"/>
        </w:rPr>
        <w:t xml:space="preserve">If &gt;3 primary feeds stale for &gt;5 minutes: reduce position size 50%; if persists &gt;30 minutes: liquidate and halt (Section 11 boundary table)</w:t>
      </w:r>
    </w:p>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5. Gamma-ARMA Meta-Model (Layer 2)</w:t>
      </w:r>
    </w:p>
    <w:p>
      <w:pPr>
        <w:pStyle w:val="Heading2"/>
        <w:spacing w:after="120" w:before="280"/>
      </w:pPr>
      <w:r>
        <w:rPr>
          <w:rFonts w:ascii="Arial" w:cs="Arial" w:eastAsia="Arial" w:hAnsi="Arial"/>
          <w:b/>
          <w:bCs/>
          <w:color w:val="2E75B6"/>
          <w:sz w:val="26"/>
          <w:szCs w:val="26"/>
        </w:rPr>
        <w:t xml:space="preserve">5.1 Complete Model Specification</w:t>
      </w:r>
    </w:p>
    <w:p>
      <w:pPr>
        <w:spacing w:after="120"/>
      </w:pPr>
      <w:r>
        <w:rPr>
          <w:rFonts w:ascii="Arial" w:cs="Arial" w:eastAsia="Arial" w:hAnsi="Arial"/>
          <w:color w:val="1A1A2E"/>
          <w:sz w:val="20"/>
          <w:szCs w:val="20"/>
        </w:rPr>
        <w:t xml:space="preserve">The Gamma-ARMA meta-model places a Gamma distribution (via DPM stick-breaking) over a discrete set of ARMA specifications. The complete model for returns ΔYₜ: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20"/>
            </w:tcMar>
          </w:tcPr>
          <w:p>
            <w:pPr>
              <w:spacing w:after="40"/>
            </w:pPr>
            <w:r>
              <w:rPr>
                <w:rFonts w:ascii="Courier New" w:cs="Courier New" w:eastAsia="Courier New" w:hAnsi="Courier New"/>
                <w:color w:val="1B3A5C"/>
                <w:sz w:val="18"/>
                <w:szCs w:val="18"/>
              </w:rPr>
              <w:t xml:space="preserve">ΔYₜ = μ + Σᵢ φᵢΔYₜ₋ᵢ + Σⱼ θⱼεₜ₋ⱼ + εₜ     [ARMA component]</w:t>
            </w:r>
          </w:p>
          <w:p>
            <w:pPr>
              <w:spacing w:after="40"/>
            </w:pPr>
            <w:r>
              <w:rPr>
                <w:rFonts w:ascii="Courier New" w:cs="Courier New" w:eastAsia="Courier New" w:hAnsi="Courier New"/>
                <w:color w:val="1B3A5C"/>
                <w:sz w:val="18"/>
                <w:szCs w:val="18"/>
              </w:rPr>
              <w:t xml:space="preserve">εₜ = σₜ zₜ,   zₜ ~ t(ν)  [regime-specific ν]      [innovation]</w:t>
            </w:r>
          </w:p>
          <w:p>
            <w:pPr>
              <w:spacing w:after="40"/>
            </w:pPr>
            <w:r>
              <w:rPr>
                <w:rFonts w:ascii="Courier New" w:cs="Courier New" w:eastAsia="Courier New" w:hAnsi="Courier New"/>
                <w:color w:val="1B3A5C"/>
                <w:sz w:val="18"/>
                <w:szCs w:val="18"/>
              </w:rPr>
              <w:t xml:space="preserve">σₜ² = ω + α₁εₜ₋₁² + β₁σₜ₋₁² + γ_j Jₜ²         [GARCH(1,1)]</w:t>
            </w:r>
          </w:p>
          <w:p>
            <w:pPr>
              <w:spacing w:after="40"/>
            </w:pPr>
            <w:r>
              <w:rPr>
                <w:rFonts w:ascii="Courier New" w:cs="Courier New" w:eastAsia="Courier New" w:hAnsi="Courier New"/>
                <w:color w:val="1B3A5C"/>
                <w:sz w:val="18"/>
                <w:szCs w:val="18"/>
              </w:rPr>
              <w:t xml:space="preserve">Jₜ ~ Poisson(λ(t)),  J ~ N(0, σⱼ²)              [jump component]</w:t>
            </w:r>
          </w:p>
        </w:tc>
      </w:tr>
    </w:tbl>
    <w:p>
      <w:pPr>
        <w:spacing w:after="80"/>
      </w:pPr>
      <w:r>
        <w:rPr>
          <w:rFonts w:ascii="Arial" w:cs="Arial" w:eastAsia="Arial" w:hAnsi="Arial"/>
          <w:color w:val="1A1A2E"/>
          <w:sz w:val="20"/>
          <w:szCs w:val="20"/>
        </w:rPr>
        <w:t xml:space="preserve"/>
      </w:r>
    </w:p>
    <w:p>
      <w:pPr>
        <w:pStyle w:val="Heading3"/>
        <w:spacing w:after="80" w:before="200"/>
      </w:pPr>
      <w:r>
        <w:rPr>
          <w:rFonts w:ascii="Arial" w:cs="Arial" w:eastAsia="Arial" w:hAnsi="Arial"/>
          <w:b/>
          <w:bCs/>
          <w:color w:val="4A4A6A"/>
          <w:sz w:val="22"/>
          <w:szCs w:val="22"/>
        </w:rPr>
        <w:t xml:space="preserve">GARCH Specification</w:t>
      </w:r>
    </w:p>
    <w:p>
      <w:pPr>
        <w:spacing w:after="120"/>
      </w:pPr>
      <w:r>
        <w:rPr>
          <w:rFonts w:ascii="Arial" w:cs="Arial" w:eastAsia="Arial" w:hAnsi="Arial"/>
          <w:color w:val="1A1A2E"/>
          <w:sz w:val="20"/>
          <w:szCs w:val="20"/>
        </w:rPr>
        <w:t xml:space="preserve">Order: GARCH(1,1). Estimation: Joint quasi-maximum likelihood (QMLE) with robust standard errors. ARMA and GARCH parameters estimated simultaneously via particle filter passing both conditional mean and conditional variance as latent states. Regime-specific GARCH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76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Regime</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GARCH Persistence α₁+β₁</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Degrees of Freedom ν</w:t>
            </w:r>
          </w:p>
        </w:tc>
        <w:tc>
          <w:tcPr>
            <w:tcW w:type="dxa" w:w="2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Notes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Fixed ARMA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&lt; 0.99 (weak persistence)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Estimated; typically 5–10</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Standard application; full joint estimation</w:t>
            </w:r>
          </w:p>
        </w:tc>
      </w:tr>
      <w:tr>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Growth ARMA</w:t>
            </w:r>
          </w:p>
        </w:tc>
        <w:tc>
          <w:tcPr>
            <w:tcW w:type="dxa" w:w="2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 0.99 (near-integrated)</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Estimated; typically 3–6</w:t>
            </w:r>
          </w:p>
        </w:tc>
        <w:tc>
          <w:tcPr>
            <w:tcW w:type="dxa" w:w="2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Near-IGARCH; strong shock persistence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Floating ARMA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GARCH DISABLED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Not estimated</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See Floating ARMA treatment below</w:t>
            </w:r>
          </w:p>
        </w:tc>
      </w:tr>
    </w:tbl>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03A" w:sz="1"/>
              <w:left w:val="single" w:color="C5703A" w:sz="14"/>
              <w:bottom w:val="single" w:color="C5703A" w:sz="1"/>
              <w:right w:val="none" w:color="FFFFFF" w:sz="0"/>
            </w:tcBorders>
            <w:shd w:fill="FFF3E0" w:val="clear"/>
            <w:tcMar>
              <w:top w:type="dxa" w:w="100"/>
              <w:left w:type="dxa" w:w="180"/>
              <w:bottom w:type="dxa" w:w="100"/>
              <w:right w:type="dxa" w:w="120"/>
            </w:tcMar>
          </w:tcPr>
          <w:p>
            <w:pPr>
              <w:spacing w:after="0"/>
            </w:pPr>
            <w:r>
              <w:rPr>
                <w:rFonts w:ascii="Arial" w:cs="Arial" w:eastAsia="Arial" w:hAnsi="Arial"/>
                <w:b/>
                <w:bCs/>
                <w:color w:val="7B2D00"/>
                <w:sz w:val="20"/>
                <w:szCs w:val="20"/>
              </w:rPr>
              <w:t xml:space="preserve">Floating ARMA — GARCH Substitution: </w:t>
            </w:r>
            <w:r>
              <w:rPr>
                <w:rFonts w:ascii="Arial" w:cs="Arial" w:eastAsia="Arial" w:hAnsi="Arial"/>
                <w:color w:val="7B2D00"/>
                <w:sz w:val="20"/>
                <w:szCs w:val="20"/>
              </w:rPr>
              <w:t xml:space="preserve">When p_floating &gt; 0.5, the GARCH(1,1) equation is DISABLED. The innovation εₜ may have infinite variance (α &lt; 2), making the GARCH σ² equation mathematically undefined. Rolling realized volatility is substituted.</w:t>
            </w:r>
          </w:p>
        </w:tc>
      </w:tr>
    </w:tbl>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20"/>
            </w:tcMar>
          </w:tcPr>
          <w:p>
            <w:pPr>
              <w:spacing w:after="40"/>
            </w:pPr>
            <w:r>
              <w:rPr>
                <w:rFonts w:ascii="Courier New" w:cs="Courier New" w:eastAsia="Courier New" w:hAnsi="Courier New"/>
                <w:color w:val="1B3A5C"/>
                <w:sz w:val="18"/>
                <w:szCs w:val="18"/>
              </w:rPr>
              <w:t xml:space="preserve">IF p_floating &gt; 0.5:</w:t>
            </w:r>
          </w:p>
          <w:p>
            <w:pPr>
              <w:spacing w:after="40"/>
            </w:pPr>
            <w:r>
              <w:rPr>
                <w:rFonts w:ascii="Courier New" w:cs="Courier New" w:eastAsia="Courier New" w:hAnsi="Courier New"/>
                <w:color w:val="1B3A5C"/>
                <w:sz w:val="18"/>
                <w:szCs w:val="18"/>
              </w:rPr>
              <w:t xml:space="preserve">    σₜ² = (1/10) * Σ_{i=1}^{10} (r_{t-i} - μ_{t-i})²   [10-day realized vol]</w:t>
            </w:r>
          </w:p>
          <w:p>
            <w:pPr>
              <w:spacing w:after="40"/>
            </w:pPr>
            <w:r>
              <w:rPr>
                <w:rFonts w:ascii="Courier New" w:cs="Courier New" w:eastAsia="Courier New" w:hAnsi="Courier New"/>
                <w:color w:val="1B3A5C"/>
                <w:sz w:val="18"/>
                <w:szCs w:val="18"/>
              </w:rPr>
              <w:t xml:space="preserve">    degrees_of_freedom ν: NOT ESTIMATED (Cauchy assumption)</w:t>
            </w:r>
          </w:p>
          <w:p>
            <w:pPr>
              <w:spacing w:after="40"/>
            </w:pPr>
            <w:r>
              <w:rPr>
                <w:rFonts w:ascii="Courier New" w:cs="Courier New" w:eastAsia="Courier New" w:hAnsi="Courier New"/>
                <w:color w:val="1B3A5C"/>
                <w:sz w:val="18"/>
                <w:szCs w:val="18"/>
              </w:rPr>
              <w:t xml:space="preserve">    t-distribution: NOT APPLIED</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Recovery — re-enable GARCH when p_floating &lt; 0.3 for 3 consecutive days:</w:t>
            </w:r>
          </w:p>
          <w:p>
            <w:pPr>
              <w:spacing w:after="40"/>
            </w:pPr>
            <w:r>
              <w:rPr>
                <w:rFonts w:ascii="Courier New" w:cs="Courier New" w:eastAsia="Courier New" w:hAnsi="Courier New"/>
                <w:color w:val="1B3A5C"/>
                <w:sz w:val="18"/>
                <w:szCs w:val="18"/>
              </w:rPr>
              <w:t xml:space="preserve">    Initialize: ω = 0.01×σ_realized², α₁ = 0.10, β₁ = 0.85</w:t>
            </w:r>
          </w:p>
          <w:p>
            <w:pPr>
              <w:spacing w:after="40"/>
            </w:pPr>
            <w:r>
              <w:rPr>
                <w:rFonts w:ascii="Courier New" w:cs="Courier New" w:eastAsia="Courier New" w:hAnsi="Courier New"/>
                <w:color w:val="1B3A5C"/>
                <w:sz w:val="18"/>
                <w:szCs w:val="18"/>
              </w:rPr>
              <w:t xml:space="preserve">    Burn-in: 20-day GARCH parameter freeze; ARMA updates only</w:t>
            </w:r>
          </w:p>
          <w:p>
            <w:pPr>
              <w:spacing w:after="40"/>
            </w:pPr>
            <w:r>
              <w:rPr>
                <w:rFonts w:ascii="Courier New" w:cs="Courier New" w:eastAsia="Courier New" w:hAnsi="Courier New"/>
                <w:color w:val="1B3A5C"/>
                <w:sz w:val="18"/>
                <w:szCs w:val="18"/>
              </w:rPr>
              <w:t xml:space="preserve">    Resume full joint estimation after burn-in</w:t>
            </w:r>
          </w:p>
        </w:tc>
      </w:tr>
    </w:tbl>
    <w:p>
      <w:pPr>
        <w:pStyle w:val="Heading3"/>
        <w:spacing w:after="80" w:before="200"/>
      </w:pPr>
      <w:r>
        <w:rPr>
          <w:rFonts w:ascii="Arial" w:cs="Arial" w:eastAsia="Arial" w:hAnsi="Arial"/>
          <w:b/>
          <w:bCs/>
          <w:color w:val="4A4A6A"/>
          <w:sz w:val="22"/>
          <w:szCs w:val="22"/>
        </w:rPr>
        <w:t xml:space="preserve">Linkage Between ν and Tail Index α (Fixed and Growth Regimes Only)</w:t>
      </w:r>
    </w:p>
    <w:p>
      <w:pPr>
        <w:spacing w:after="120"/>
      </w:pPr>
      <w:r>
        <w:rPr>
          <w:rFonts w:ascii="Arial" w:cs="Arial" w:eastAsia="Arial" w:hAnsi="Arial"/>
          <w:color w:val="1A1A2E"/>
          <w:sz w:val="20"/>
          <w:szCs w:val="20"/>
        </w:rPr>
        <w:t xml:space="preserve">For regimes where GARCH applies (α &gt; 2), the t-distribution degrees of freedom ν is linked to tail index α via:</w:t>
      </w:r>
    </w:p>
    <w:p>
      <w:pPr>
        <w:spacing w:after="120"/>
      </w:pPr>
      <w:r>
        <w:rPr>
          <w:rFonts w:ascii="Courier New" w:cs="Courier New" w:eastAsia="Courier New" w:hAnsi="Courier New"/>
          <w:color w:val="1B3A5C"/>
          <w:sz w:val="18"/>
          <w:szCs w:val="18"/>
        </w:rPr>
        <w:t xml:space="preserve">  ν = 2α/(α-1)   for α &gt; 2   [soft constraint enforced during estimation]</w:t>
      </w:r>
    </w:p>
    <w:p>
      <w:pPr>
        <w:spacing w:after="120"/>
      </w:pPr>
      <w:r>
        <w:rPr>
          <w:rFonts w:ascii="Arial" w:cs="Arial" w:eastAsia="Arial" w:hAnsi="Arial"/>
          <w:color w:val="1A1A2E"/>
          <w:sz w:val="20"/>
          <w:szCs w:val="20"/>
        </w:rPr>
        <w:t xml:space="preserve">This linkage is enforced as a soft penalty in the QMLE objective, not a hard constraint, to allow estimation flexibility. For α &lt; 2 (Floating ARMA): linkage is undefined; Floating ARMA uses realized vol (above).</w:t>
      </w:r>
    </w:p>
    <w:p>
      <w:pPr>
        <w:pStyle w:val="Heading2"/>
        <w:spacing w:after="120" w:before="280"/>
      </w:pPr>
      <w:r>
        <w:rPr>
          <w:rFonts w:ascii="Arial" w:cs="Arial" w:eastAsia="Arial" w:hAnsi="Arial"/>
          <w:b/>
          <w:bCs/>
          <w:color w:val="2E75B6"/>
          <w:sz w:val="26"/>
          <w:szCs w:val="26"/>
        </w:rPr>
        <w:t xml:space="preserve">5.2 Estimation Sequence — EM with Particle Filter</w:t>
      </w:r>
    </w:p>
    <w:p>
      <w:pPr>
        <w:pStyle w:val="ListParagraph"/>
        <w:numPr>
          <w:ilvl w:val="0"/>
          <w:numId w:val="3"/>
        </w:numPr>
        <w:spacing w:after="80"/>
      </w:pPr>
      <w:r>
        <w:rPr>
          <w:rFonts w:ascii="Arial" w:cs="Arial" w:eastAsia="Arial" w:hAnsi="Arial"/>
          <w:color w:val="1A1A2E"/>
          <w:sz w:val="20"/>
          <w:szCs w:val="20"/>
        </w:rPr>
        <w:t xml:space="preserve">Initialize: run rolling 1-year ARMA(p,q) on full available series, p,q ∈ {0,1,2}. Store as starting parameter candidates for each of the 20-50 DPM components.</w:t>
      </w:r>
    </w:p>
    <w:p>
      <w:pPr>
        <w:pStyle w:val="ListParagraph"/>
        <w:numPr>
          <w:ilvl w:val="0"/>
          <w:numId w:val="3"/>
        </w:numPr>
        <w:spacing w:after="80"/>
      </w:pPr>
      <w:r>
        <w:rPr>
          <w:rFonts w:ascii="Arial" w:cs="Arial" w:eastAsia="Arial" w:hAnsi="Arial"/>
          <w:color w:val="1A1A2E"/>
          <w:sz w:val="20"/>
          <w:szCs w:val="20"/>
        </w:rPr>
        <w:t xml:space="preserve">E-step: apply particle filter to compute smoothed posterior probability of each regime at each time t, given current ARMA+GARCH parameters.</w:t>
      </w:r>
    </w:p>
    <w:p>
      <w:pPr>
        <w:pStyle w:val="ListParagraph"/>
        <w:numPr>
          <w:ilvl w:val="0"/>
          <w:numId w:val="3"/>
        </w:numPr>
        <w:spacing w:after="80"/>
      </w:pPr>
      <w:r>
        <w:rPr>
          <w:rFonts w:ascii="Arial" w:cs="Arial" w:eastAsia="Arial" w:hAnsi="Arial"/>
          <w:color w:val="1A1A2E"/>
          <w:sz w:val="20"/>
          <w:szCs w:val="20"/>
        </w:rPr>
        <w:t xml:space="preserve">M-step: update ARMA+GARCH parameters per regime using observations weighted by regime probabilities from E-step. Joint QMLE within each regime.</w:t>
      </w:r>
    </w:p>
    <w:p>
      <w:pPr>
        <w:pStyle w:val="ListParagraph"/>
        <w:numPr>
          <w:ilvl w:val="0"/>
          <w:numId w:val="3"/>
        </w:numPr>
        <w:spacing w:after="80"/>
      </w:pPr>
      <w:r>
        <w:rPr>
          <w:rFonts w:ascii="Arial" w:cs="Arial" w:eastAsia="Arial" w:hAnsi="Arial"/>
          <w:color w:val="1A1A2E"/>
          <w:sz w:val="20"/>
          <w:szCs w:val="20"/>
        </w:rPr>
        <w:t xml:space="preserve">Iterate until convergence (log-likelihood change &lt; 1e-4) or maximum 500 iterations.</w:t>
      </w:r>
    </w:p>
    <w:p>
      <w:pPr>
        <w:pStyle w:val="ListParagraph"/>
        <w:numPr>
          <w:ilvl w:val="0"/>
          <w:numId w:val="3"/>
        </w:numPr>
        <w:spacing w:after="80"/>
      </w:pPr>
      <w:r>
        <w:rPr>
          <w:rFonts w:ascii="Arial" w:cs="Arial" w:eastAsia="Arial" w:hAnsi="Arial"/>
          <w:color w:val="1A1A2E"/>
          <w:sz w:val="20"/>
          <w:szCs w:val="20"/>
        </w:rPr>
        <w:t xml:space="preserve">Store converged parameters as model version v_YYYY_MM_DD in SQLite registry.</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none" w:color="FFFFFF" w:sz="0"/>
            </w:tcBorders>
            <w:shd w:fill="EEF3F8" w:val="clear"/>
            <w:tcMar>
              <w:top w:type="dxa" w:w="100"/>
              <w:left w:type="dxa" w:w="180"/>
              <w:bottom w:type="dxa" w:w="100"/>
              <w:right w:type="dxa" w:w="120"/>
            </w:tcMar>
          </w:tcPr>
          <w:p>
            <w:pPr>
              <w:spacing w:after="0"/>
            </w:pPr>
            <w:r>
              <w:rPr>
                <w:rFonts w:ascii="Arial" w:cs="Arial" w:eastAsia="Arial" w:hAnsi="Arial"/>
                <w:b/>
                <w:bCs/>
                <w:color w:val="2E75B6"/>
                <w:sz w:val="20"/>
                <w:szCs w:val="20"/>
              </w:rPr>
              <w:t xml:space="preserve">Production schedule: </w:t>
            </w:r>
            <w:r>
              <w:rPr>
                <w:rFonts w:ascii="Arial" w:cs="Arial" w:eastAsia="Arial" w:hAnsi="Arial"/>
                <w:color w:val="1A1A2E"/>
                <w:sz w:val="20"/>
                <w:szCs w:val="20"/>
              </w:rPr>
              <w:t xml:space="preserve">Daily fast path — recursive Bayesian update with forgetting factor ρ=0.99 (not λ; λ is reserved for jump intensity throughout). Weekly Saturday — full EM warm-started from current recursive parameters. If EM converges, replace recursive parameters. If EM fails to converge, keep recursive parameters and log warning.</w:t>
            </w:r>
          </w:p>
        </w:tc>
      </w:tr>
    </w:tbl>
    <w:p>
      <w:pPr>
        <w:pStyle w:val="Heading2"/>
        <w:spacing w:after="120" w:before="280"/>
      </w:pPr>
      <w:r>
        <w:rPr>
          <w:rFonts w:ascii="Arial" w:cs="Arial" w:eastAsia="Arial" w:hAnsi="Arial"/>
          <w:b/>
          <w:bCs/>
          <w:color w:val="2E75B6"/>
          <w:sz w:val="26"/>
          <w:szCs w:val="26"/>
        </w:rPr>
        <w:t xml:space="preserve">5.3 Tail Index Assignment — All Regimes Including Emergent</w:t>
      </w:r>
    </w:p>
    <w:p>
      <w:pPr>
        <w:spacing w:after="120"/>
      </w:pPr>
      <w:r>
        <w:rPr>
          <w:rFonts w:ascii="Arial" w:cs="Arial" w:eastAsia="Arial" w:hAnsi="Arial"/>
          <w:color w:val="1A1A2E"/>
          <w:sz w:val="20"/>
          <w:szCs w:val="20"/>
        </w:rPr>
        <w:t xml:space="preserve">Each regime (named or DPM-discovered) receives a tail index α as a deterministic function of its volatility scale, removing free parameters and handling novel regimes automatically:</w:t>
      </w:r>
    </w:p>
    <w:p>
      <w:pPr>
        <w:spacing w:after="120"/>
      </w:pPr>
      <w:r>
        <w:rPr>
          <w:rFonts w:ascii="Courier New" w:cs="Courier New" w:eastAsia="Courier New" w:hAnsi="Courier New"/>
          <w:color w:val="1B3A5C"/>
          <w:sz w:val="18"/>
          <w:szCs w:val="18"/>
        </w:rPr>
        <w:t xml:space="preserve">  α(regime) = 4.0 / (1 + 0.5 × log(σ_regime / σ_baseline))</w:t>
      </w:r>
    </w:p>
    <w:p>
      <w:pPr>
        <w:spacing w:after="120"/>
      </w:pPr>
      <w:r>
        <w:rPr>
          <w:rFonts w:ascii="Courier New" w:cs="Courier New" w:eastAsia="Courier New" w:hAnsi="Courier New"/>
          <w:color w:val="1B3A5C"/>
          <w:sz w:val="18"/>
          <w:szCs w:val="18"/>
        </w:rPr>
        <w:t xml:space="preserve">  Clipped to [1.5, 4.0]</w:t>
      </w:r>
    </w:p>
    <w:p>
      <w:pPr>
        <w:spacing w:after="120"/>
      </w:pPr>
      <w:r>
        <w:rPr>
          <w:rFonts w:ascii="Arial" w:cs="Arial" w:eastAsia="Arial" w:hAnsi="Arial"/>
          <w:color w:val="1A1A2E"/>
          <w:sz w:val="20"/>
          <w:szCs w:val="20"/>
        </w:rPr>
        <w:t xml:space="preserve">Higher volatility regimes receive lower (fatter-tailed) α values. σ_regime is the empirical standard deviation of εₜ within that regime's weighted observations. σ_baseline is the Fixed ARMA regime's volatility estimate.</w:t>
      </w:r>
    </w:p>
    <w:p>
      <w:pPr>
        <w:pStyle w:val="Heading2"/>
        <w:spacing w:after="120" w:before="280"/>
      </w:pPr>
      <w:r>
        <w:rPr>
          <w:rFonts w:ascii="Arial" w:cs="Arial" w:eastAsia="Arial" w:hAnsi="Arial"/>
          <w:b/>
          <w:bCs/>
          <w:color w:val="2E75B6"/>
          <w:sz w:val="26"/>
          <w:szCs w:val="26"/>
        </w:rPr>
        <w:t xml:space="preserve">5.4 Jump Process Specification</w:t>
      </w:r>
    </w:p>
    <w:p>
      <w:pPr>
        <w:spacing w:after="120"/>
      </w:pPr>
      <w:r>
        <w:rPr>
          <w:rFonts w:ascii="Arial" w:cs="Arial" w:eastAsia="Arial" w:hAnsi="Arial"/>
          <w:color w:val="1A1A2E"/>
          <w:sz w:val="20"/>
          <w:szCs w:val="20"/>
        </w:rPr>
        <w:t xml:space="preserve">A separate Poisson jump component captures binary geopolitical events, which are rare, large, and mean-reverting within days. Absorbing jumps into fat-tailed εₜ is insufficient because fat-tailed distributions have no mean-reversion baked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20"/>
            </w:tcMar>
          </w:tcPr>
          <w:p>
            <w:pPr>
              <w:spacing w:after="40"/>
            </w:pPr>
            <w:r>
              <w:rPr>
                <w:rFonts w:ascii="Courier New" w:cs="Courier New" w:eastAsia="Courier New" w:hAnsi="Courier New"/>
                <w:color w:val="1B3A5C"/>
                <w:sz w:val="18"/>
                <w:szCs w:val="18"/>
              </w:rPr>
              <w:t xml:space="preserve">IF vix1d_available = True:</w:t>
            </w:r>
          </w:p>
          <w:p>
            <w:pPr>
              <w:spacing w:after="40"/>
            </w:pPr>
            <w:r>
              <w:rPr>
                <w:rFonts w:ascii="Courier New" w:cs="Courier New" w:eastAsia="Courier New" w:hAnsi="Courier New"/>
                <w:color w:val="1B3A5C"/>
                <w:sz w:val="18"/>
                <w:szCs w:val="18"/>
              </w:rPr>
              <w:t xml:space="preserve">    λ(t) = min(0.5, 0.01 + 0.3 × max(0, VIX1D / (2 × 20dMA) - 1))</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IF vix1d_available = False:</w:t>
            </w:r>
          </w:p>
          <w:p>
            <w:pPr>
              <w:spacing w:after="40"/>
            </w:pPr>
            <w:r>
              <w:rPr>
                <w:rFonts w:ascii="Courier New" w:cs="Courier New" w:eastAsia="Courier New" w:hAnsi="Courier New"/>
                <w:color w:val="1B3A5C"/>
                <w:sz w:val="18"/>
                <w:szCs w:val="18"/>
              </w:rPr>
              <w:t xml:space="preserve">    λ(t) = 0.01  [base rate only; no VIX1D adjustment]</w:t>
            </w:r>
          </w:p>
          <w:p>
            <w:pPr>
              <w:spacing w:after="40"/>
            </w:pPr>
            <w:r>
              <w:rPr>
                <w:rFonts w:ascii="Courier New" w:cs="Courier New" w:eastAsia="Courier New" w:hAnsi="Courier New"/>
                <w:color w:val="1B3A5C"/>
                <w:sz w:val="18"/>
                <w:szCs w:val="18"/>
              </w:rPr>
              <w:t xml:space="preserve">    Rationale: VIX ≠ VIX1D; substitution miscalibrates λ in both directions.</w:t>
            </w:r>
          </w:p>
          <w:p>
            <w:pPr>
              <w:spacing w:after="40"/>
            </w:pPr>
            <w:r>
              <w:rPr>
                <w:rFonts w:ascii="Courier New" w:cs="Courier New" w:eastAsia="Courier New" w:hAnsi="Courier New"/>
                <w:color w:val="1B3A5C"/>
                <w:sz w:val="18"/>
                <w:szCs w:val="18"/>
              </w:rPr>
              <w:t xml:space="preserve">               Degraded but honest is safer than confident but wrong.</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USD liquidity adjustment (additive):</w:t>
            </w:r>
          </w:p>
          <w:p>
            <w:pPr>
              <w:spacing w:after="40"/>
            </w:pPr>
            <w:r>
              <w:rPr>
                <w:rFonts w:ascii="Courier New" w:cs="Courier New" w:eastAsia="Courier New" w:hAnsi="Courier New"/>
                <w:color w:val="1B3A5C"/>
                <w:sz w:val="18"/>
                <w:szCs w:val="18"/>
              </w:rPr>
              <w:t xml:space="preserve">    λ(t) += 0.05 × max(0, OIS_SOFR_spread - 0.20)  [if spread exceeds 20bps]</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Crisis regime override:</w:t>
            </w:r>
          </w:p>
          <w:p>
            <w:pPr>
              <w:spacing w:after="40"/>
            </w:pPr>
            <w:r>
              <w:rPr>
                <w:rFonts w:ascii="Courier New" w:cs="Courier New" w:eastAsia="Courier New" w:hAnsi="Courier New"/>
                <w:color w:val="1B3A5C"/>
                <w:sz w:val="18"/>
                <w:szCs w:val="18"/>
              </w:rPr>
              <w:t xml:space="preserve">    IF crisis_regime_active: λ(t) = 0.50  [maximum; overrides formula]</w:t>
            </w:r>
          </w:p>
        </w:tc>
      </w:tr>
    </w:tbl>
    <w:p>
      <w:pPr>
        <w:pStyle w:val="Heading2"/>
        <w:spacing w:after="120" w:before="280"/>
      </w:pPr>
      <w:r>
        <w:rPr>
          <w:rFonts w:ascii="Arial" w:cs="Arial" w:eastAsia="Arial" w:hAnsi="Arial"/>
          <w:b/>
          <w:bCs/>
          <w:color w:val="2E75B6"/>
          <w:sz w:val="26"/>
          <w:szCs w:val="26"/>
        </w:rPr>
        <w:t xml:space="preserve">5.5 Between-Regime Dynamics</w:t>
      </w:r>
    </w:p>
    <w:p>
      <w:pPr>
        <w:pStyle w:val="ListParagraph"/>
        <w:numPr>
          <w:ilvl w:val="0"/>
          <w:numId w:val="2"/>
        </w:numPr>
        <w:spacing w:after="80"/>
      </w:pPr>
      <w:r>
        <w:rPr>
          <w:rFonts w:ascii="Arial" w:cs="Arial" w:eastAsia="Arial" w:hAnsi="Arial"/>
          <w:color w:val="1A1A2E"/>
          <w:sz w:val="20"/>
          <w:szCs w:val="20"/>
        </w:rPr>
        <w:t xml:space="preserve">Lagged dependent variables Yₜ₋₁…Yₜ₋ₚ and lagged errors εₜ₋₁…εₜ₋ℙ are carried forward from the prior regime (price level and recent momentum do not vanish at a regime boundary)</w:t>
      </w:r>
    </w:p>
    <w:p>
      <w:pPr>
        <w:pStyle w:val="ListParagraph"/>
        <w:numPr>
          <w:ilvl w:val="0"/>
          <w:numId w:val="2"/>
        </w:numPr>
        <w:spacing w:after="80"/>
      </w:pPr>
      <w:r>
        <w:rPr>
          <w:rFonts w:ascii="Arial" w:cs="Arial" w:eastAsia="Arial" w:hAnsi="Arial"/>
          <w:color w:val="1A1A2E"/>
          <w:sz w:val="20"/>
          <w:szCs w:val="20"/>
        </w:rPr>
        <w:t xml:space="preserve">The innovation distribution is re-initialized to the new regime's tail index α immediately upon shift detection</w:t>
      </w:r>
    </w:p>
    <w:p>
      <w:pPr>
        <w:pStyle w:val="ListParagraph"/>
        <w:numPr>
          <w:ilvl w:val="0"/>
          <w:numId w:val="2"/>
        </w:numPr>
        <w:spacing w:after="80"/>
      </w:pPr>
      <w:r>
        <w:rPr>
          <w:rFonts w:ascii="Arial" w:cs="Arial" w:eastAsia="Arial" w:hAnsi="Arial"/>
          <w:color w:val="1A1A2E"/>
          <w:sz w:val="20"/>
          <w:szCs w:val="20"/>
        </w:rPr>
        <w:t xml:space="preserve">Burn-in: 5-period exponential weighting with 3-day half-life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20"/>
            </w:tcMar>
          </w:tcPr>
          <w:p>
            <w:pPr>
              <w:spacing w:after="40"/>
            </w:pPr>
            <w:r>
              <w:rPr>
                <w:rFonts w:ascii="Courier New" w:cs="Courier New" w:eastAsia="Courier New" w:hAnsi="Courier New"/>
                <w:color w:val="1B3A5C"/>
                <w:sz w:val="18"/>
                <w:szCs w:val="18"/>
              </w:rPr>
              <w:t xml:space="preserve">t_shift = first time: regime_prob_floating_raw &gt; 0.70  AND  was &lt; 0.30 five days earlier</w:t>
            </w:r>
          </w:p>
          <w:p>
            <w:pPr>
              <w:spacing w:after="40"/>
            </w:pPr>
            <w:r>
              <w:rPr>
                <w:rFonts w:ascii="Courier New" w:cs="Courier New" w:eastAsia="Courier New" w:hAnsi="Courier New"/>
                <w:color w:val="1B3A5C"/>
                <w:sz w:val="18"/>
                <w:szCs w:val="18"/>
              </w:rPr>
              <w:t xml:space="preserve">w_new(t) = 1 - exp(-(t - t_shift) / 2.16)   [2.16 = τ for 3-day half-life]</w:t>
            </w:r>
          </w:p>
          <w:p>
            <w:pPr>
              <w:spacing w:after="40"/>
            </w:pPr>
            <w:r>
              <w:rPr>
                <w:rFonts w:ascii="Courier New" w:cs="Courier New" w:eastAsia="Courier New" w:hAnsi="Courier New"/>
                <w:color w:val="1B3A5C"/>
                <w:sz w:val="18"/>
                <w:szCs w:val="18"/>
              </w:rPr>
              <w:t xml:space="preserve">w_old(t) = 1 - w_new(t)</w:t>
            </w:r>
          </w:p>
          <w:p>
            <w:pPr>
              <w:spacing w:after="40"/>
            </w:pPr>
            <w:r>
              <w:rPr>
                <w:rFonts w:ascii="Courier New" w:cs="Courier New" w:eastAsia="Courier New" w:hAnsi="Courier New"/>
                <w:color w:val="1B3A5C"/>
                <w:sz w:val="18"/>
                <w:szCs w:val="18"/>
              </w:rPr>
              <w:t xml:space="preserve">forecast  = w_old × old_regime_forecast + w_new × new_regime_forecast</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Burn-in ends (reset t_shift): regime_prob_floating_raw &lt; 0.40 for 3 consecutive days</w:t>
            </w:r>
          </w:p>
        </w:tc>
      </w:tr>
    </w:tbl>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6. Cascade Interface (Layer 3)</w:t>
      </w:r>
    </w:p>
    <w:p>
      <w:pPr>
        <w:pStyle w:val="Heading2"/>
        <w:spacing w:after="120" w:before="280"/>
      </w:pPr>
      <w:r>
        <w:rPr>
          <w:rFonts w:ascii="Arial" w:cs="Arial" w:eastAsia="Arial" w:hAnsi="Arial"/>
          <w:b/>
          <w:bCs/>
          <w:color w:val="2E75B6"/>
          <w:sz w:val="26"/>
          <w:szCs w:val="26"/>
        </w:rPr>
        <w:t xml:space="preserve">6.0 Circular Futures Cascade — Receiver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03A" w:sz="1"/>
              <w:left w:val="single" w:color="C5703A" w:sz="14"/>
              <w:bottom w:val="single" w:color="C5703A" w:sz="1"/>
              <w:right w:val="none" w:color="FFFFFF" w:sz="0"/>
            </w:tcBorders>
            <w:shd w:fill="FFF3E0" w:val="clear"/>
            <w:tcMar>
              <w:top w:type="dxa" w:w="100"/>
              <w:left w:type="dxa" w:w="180"/>
              <w:bottom w:type="dxa" w:w="100"/>
              <w:right w:type="dxa" w:w="120"/>
            </w:tcMar>
          </w:tcPr>
          <w:p>
            <w:pPr>
              <w:spacing w:after="0"/>
            </w:pPr>
            <w:r>
              <w:rPr>
                <w:rFonts w:ascii="Arial" w:cs="Arial" w:eastAsia="Arial" w:hAnsi="Arial"/>
                <w:b/>
                <w:bCs/>
                <w:color w:val="7B2D00"/>
                <w:sz w:val="20"/>
                <w:szCs w:val="20"/>
              </w:rPr>
              <w:t xml:space="preserve">Implementation Status: </w:t>
            </w:r>
            <w:r>
              <w:rPr>
                <w:rFonts w:ascii="Arial" w:cs="Arial" w:eastAsia="Arial" w:hAnsi="Arial"/>
                <w:color w:val="7B2D00"/>
                <w:sz w:val="20"/>
                <w:szCs w:val="20"/>
              </w:rPr>
              <w:t xml:space="preserve">cascade_engine.py does NOT yet exist. The following API and parameter tables define what must be implemented in Phase 3A (Week 11). There is no existing file to reference.</w:t>
            </w:r>
          </w:p>
        </w:tc>
      </w:tr>
    </w:tbl>
    <w:p>
      <w:pPr>
        <w:spacing w:after="80"/>
      </w:pPr>
      <w:r>
        <w:rPr>
          <w:rFonts w:ascii="Arial" w:cs="Arial" w:eastAsia="Arial" w:hAnsi="Arial"/>
          <w:color w:val="1A1A2E"/>
          <w:sz w:val="20"/>
          <w:szCs w:val="20"/>
        </w:rPr>
        <w:t xml:space="preserve"/>
      </w:r>
    </w:p>
    <w:p>
      <w:pPr>
        <w:spacing w:after="120"/>
      </w:pPr>
      <w:r>
        <w:rPr>
          <w:rFonts w:ascii="Arial" w:cs="Arial" w:eastAsia="Arial" w:hAnsi="Arial"/>
          <w:color w:val="1A1A2E"/>
          <w:sz w:val="20"/>
          <w:szCs w:val="20"/>
        </w:rPr>
        <w:t xml:space="preserve">The circular futures cascade is the signal generation engine that translates regime probabilities into trade signals. It must implement the following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20"/>
            </w:tcMar>
          </w:tcPr>
          <w:p>
            <w:pPr>
              <w:spacing w:after="40"/>
            </w:pPr>
            <w:r>
              <w:rPr>
                <w:rFonts w:ascii="Courier New" w:cs="Courier New" w:eastAsia="Courier New" w:hAnsi="Courier New"/>
                <w:color w:val="1B3A5C"/>
                <w:sz w:val="18"/>
                <w:szCs w:val="18"/>
              </w:rPr>
              <w:t xml:space="preserve"># Required API — to be implemented in cascade_engine.py</w:t>
            </w:r>
          </w:p>
          <w:p>
            <w:pPr>
              <w:spacing w:after="40"/>
            </w:pPr>
            <w:r>
              <w:rPr>
                <w:rFonts w:ascii="Courier New" w:cs="Courier New" w:eastAsia="Courier New" w:hAnsi="Courier New"/>
                <w:color w:val="1B3A5C"/>
                <w:sz w:val="18"/>
                <w:szCs w:val="18"/>
              </w:rPr>
              <w:t xml:space="preserve">cascade.update_regime_weights(</w:t>
            </w:r>
          </w:p>
          <w:p>
            <w:pPr>
              <w:spacing w:after="40"/>
            </w:pPr>
            <w:r>
              <w:rPr>
                <w:rFonts w:ascii="Courier New" w:cs="Courier New" w:eastAsia="Courier New" w:hAnsi="Courier New"/>
                <w:color w:val="1B3A5C"/>
                <w:sz w:val="18"/>
                <w:szCs w:val="18"/>
              </w:rPr>
              <w:t xml:space="preserve">    fixed: float,      # regime_prob_fixed [0,1]</w:t>
            </w:r>
          </w:p>
          <w:p>
            <w:pPr>
              <w:spacing w:after="40"/>
            </w:pPr>
            <w:r>
              <w:rPr>
                <w:rFonts w:ascii="Courier New" w:cs="Courier New" w:eastAsia="Courier New" w:hAnsi="Courier New"/>
                <w:color w:val="1B3A5C"/>
                <w:sz w:val="18"/>
                <w:szCs w:val="18"/>
              </w:rPr>
              <w:t xml:space="preserve">    growth: float,     # regime_prob_growth [0,1]</w:t>
            </w:r>
          </w:p>
          <w:p>
            <w:pPr>
              <w:spacing w:after="40"/>
            </w:pPr>
            <w:r>
              <w:rPr>
                <w:rFonts w:ascii="Courier New" w:cs="Courier New" w:eastAsia="Courier New" w:hAnsi="Courier New"/>
                <w:color w:val="1B3A5C"/>
                <w:sz w:val="18"/>
                <w:szCs w:val="18"/>
              </w:rPr>
              <w:t xml:space="preserve">    floating: float,   # regime_prob_floating [0,1]</w:t>
            </w:r>
          </w:p>
          <w:p>
            <w:pPr>
              <w:spacing w:after="40"/>
            </w:pPr>
            <w:r>
              <w:rPr>
                <w:rFonts w:ascii="Courier New" w:cs="Courier New" w:eastAsia="Courier New" w:hAnsi="Courier New"/>
                <w:color w:val="1B3A5C"/>
                <w:sz w:val="18"/>
                <w:szCs w:val="18"/>
              </w:rPr>
              <w:t xml:space="preserve">    timestamp: datetime  # UTC</w:t>
            </w:r>
          </w:p>
          <w:p>
            <w:pPr>
              <w:spacing w:after="40"/>
            </w:pPr>
            <w:r>
              <w:rPr>
                <w:rFonts w:ascii="Courier New" w:cs="Courier New" w:eastAsia="Courier New" w:hAnsi="Courier New"/>
                <w:color w:val="1B3A5C"/>
                <w:sz w:val="18"/>
                <w:szCs w:val="18"/>
              </w:rPr>
              <w:t xml:space="preserve">)</w:t>
            </w:r>
          </w:p>
          <w:p>
            <w:pPr>
              <w:spacing w:after="40"/>
            </w:pPr>
            <w:r>
              <w:rPr>
                <w:rFonts w:ascii="Courier New" w:cs="Courier New" w:eastAsia="Courier New" w:hAnsi="Courier New"/>
                <w:color w:val="1B3A5C"/>
                <w:sz w:val="18"/>
                <w:szCs w:val="18"/>
              </w:rPr>
              <w:t xml:space="preserve"># Constraint: fixed + growth + floating == 1.0 (enforced by caller)</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 Fallback if no update received for 5 consecutive minutes during market hours:</w:t>
            </w:r>
          </w:p>
          <w:p>
            <w:pPr>
              <w:spacing w:after="40"/>
            </w:pPr>
            <w:r>
              <w:rPr>
                <w:rFonts w:ascii="Courier New" w:cs="Courier New" w:eastAsia="Courier New" w:hAnsi="Courier New"/>
                <w:color w:val="1B3A5C"/>
                <w:sz w:val="18"/>
                <w:szCs w:val="18"/>
              </w:rPr>
              <w:t xml:space="preserve"># Cascade defaults to: fixed=0.50, growth=0.25, floating=0.25 (neutral prior)</w:t>
            </w:r>
          </w:p>
        </w:tc>
      </w:tr>
    </w:tbl>
    <w:p>
      <w:pPr>
        <w:spacing w:after="80"/>
      </w:pPr>
      <w:r>
        <w:rPr>
          <w:rFonts w:ascii="Arial" w:cs="Arial" w:eastAsia="Arial" w:hAnsi="Arial"/>
          <w:color w:val="1A1A2E"/>
          <w:sz w:val="20"/>
          <w:szCs w:val="20"/>
        </w:rPr>
        <w:t xml:space="preserve"/>
      </w:r>
    </w:p>
    <w:p>
      <w:pPr>
        <w:pStyle w:val="Heading3"/>
        <w:spacing w:after="80" w:before="200"/>
      </w:pPr>
      <w:r>
        <w:rPr>
          <w:rFonts w:ascii="Arial" w:cs="Arial" w:eastAsia="Arial" w:hAnsi="Arial"/>
          <w:b/>
          <w:bCs/>
          <w:color w:val="4A4A6A"/>
          <w:sz w:val="22"/>
          <w:szCs w:val="22"/>
        </w:rPr>
        <w:t xml:space="preserve">Cascade Parameter Blending — Weighted by Regime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Cascade Parameter</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Fixed ARMA (p_fixed high)</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Growth ARMA (p_growth high)</w:t>
            </w:r>
          </w:p>
        </w:tc>
        <w:tc>
          <w:tcPr>
            <w:tcW w:type="dxa" w:w="2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Floating ARMA (p_floating high)</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Trend-following strategy weight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0.20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0.70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0.10</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Mean-reversion strategy weight</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0.60</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0.10</w:t>
            </w:r>
          </w:p>
        </w:tc>
        <w:tc>
          <w:tcPr>
            <w:tcW w:type="dxa" w:w="2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0.10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Momentum strategy weight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0.20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0.20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0.10</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Defensive (cash) weight</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0.00</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0.00</w:t>
            </w:r>
          </w:p>
        </w:tc>
        <w:tc>
          <w:tcPr>
            <w:tcW w:type="dxa" w:w="2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0.70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Trailing stop width (ATR multiple)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1.5</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3.0</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0.5 (tight)</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Maximum holding period (days)</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60</w:t>
            </w:r>
          </w:p>
        </w:tc>
        <w:tc>
          <w:tcPr>
            <w:tcW w:type="dxa" w:w="2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w:t>
            </w:r>
          </w:p>
        </w:tc>
      </w:tr>
    </w:tbl>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none" w:color="FFFFFF" w:sz="0"/>
            </w:tcBorders>
            <w:shd w:fill="EEF3F8" w:val="clear"/>
            <w:tcMar>
              <w:top w:type="dxa" w:w="100"/>
              <w:left w:type="dxa" w:w="180"/>
              <w:bottom w:type="dxa" w:w="100"/>
              <w:right w:type="dxa" w:w="120"/>
            </w:tcMar>
          </w:tcPr>
          <w:p>
            <w:pPr>
              <w:spacing w:after="0"/>
            </w:pPr>
            <w:r>
              <w:rPr>
                <w:rFonts w:ascii="Arial" w:cs="Arial" w:eastAsia="Arial" w:hAnsi="Arial"/>
                <w:b/>
                <w:bCs/>
                <w:color w:val="2E75B6"/>
                <w:sz w:val="20"/>
                <w:szCs w:val="20"/>
              </w:rPr>
              <w:t xml:space="preserve">Blending rule: </w:t>
            </w:r>
            <w:r>
              <w:rPr>
                <w:rFonts w:ascii="Arial" w:cs="Arial" w:eastAsia="Arial" w:hAnsi="Arial"/>
                <w:color w:val="1A1A2E"/>
                <w:sz w:val="20"/>
                <w:szCs w:val="20"/>
              </w:rPr>
              <w:t xml:space="preserve">All cascade parameters are the weighted sum of per-regime values. Example: p_fixed=0.60, p_growth=0.30, p_floating=0.10 → trend-following weight = 0.60×0.20 + 0.30×0.70 + 0.10×0.10 = 0.12 + 0.21 + 0.01 = 0.34.</w:t>
            </w:r>
          </w:p>
        </w:tc>
      </w:tr>
    </w:tbl>
    <w:p>
      <w:pPr>
        <w:pStyle w:val="Heading2"/>
        <w:spacing w:after="120" w:before="280"/>
      </w:pPr>
      <w:r>
        <w:rPr>
          <w:rFonts w:ascii="Arial" w:cs="Arial" w:eastAsia="Arial" w:hAnsi="Arial"/>
          <w:b/>
          <w:bCs/>
          <w:color w:val="2E75B6"/>
          <w:sz w:val="26"/>
          <w:szCs w:val="26"/>
        </w:rPr>
        <w:t xml:space="preserve">6.1 Three-Signal Output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Signal</w:t>
            </w:r>
          </w:p>
        </w:tc>
        <w:tc>
          <w:tcPr>
            <w:tcW w:type="dxa" w:w="4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Definition</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Guarantee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regime_prob_fixed</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Posterior probability of Fixed ARMA (calm, mean-reverting)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Always in [0,1]</w:t>
            </w:r>
          </w:p>
        </w:tc>
      </w:tr>
      <w:tr>
        <w:tc>
          <w:tcPr>
            <w:tcW w:type="dxa" w:w="2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regime_prob_growth</w:t>
            </w:r>
          </w:p>
        </w:tc>
        <w:tc>
          <w:tcPr>
            <w:tcW w:type="dxa" w:w="4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Posterior probability of Growth ARMA (momentum, near-unit root)</w:t>
            </w:r>
          </w:p>
        </w:tc>
        <w:tc>
          <w:tcPr>
            <w:tcW w:type="dxa" w:w="2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Always in [0,1]</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regime_prob_floating</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Posterior probability of Floating ARMA (transition, uncertainty)</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Always in [0,1]; sum of three = 1.0</w:t>
            </w:r>
          </w:p>
        </w:tc>
      </w:tr>
    </w:tbl>
    <w:p>
      <w:pPr>
        <w:pStyle w:val="Heading2"/>
        <w:spacing w:after="120" w:before="280"/>
      </w:pPr>
      <w:r>
        <w:rPr>
          <w:rFonts w:ascii="Arial" w:cs="Arial" w:eastAsia="Arial" w:hAnsi="Arial"/>
          <w:b/>
          <w:bCs/>
          <w:color w:val="2E75B6"/>
          <w:sz w:val="26"/>
          <w:szCs w:val="26"/>
        </w:rPr>
        <w:t xml:space="preserve">6.2 Position Sizing — Parallel Pools (Active and Defensive)</w:t>
      </w:r>
    </w:p>
    <w:p>
      <w:pPr>
        <w:spacing w:after="120"/>
      </w:pPr>
      <w:r>
        <w:rPr>
          <w:rFonts w:ascii="Arial" w:cs="Arial" w:eastAsia="Arial" w:hAnsi="Arial"/>
          <w:color w:val="1A1A2E"/>
          <w:sz w:val="20"/>
          <w:szCs w:val="20"/>
        </w:rPr>
        <w:t xml:space="preserve">Position sizing uses parallel pools applied to disjoint portions of capital. The defensive pool (cash) and active pool position sizing multiplier operate independently — no double-counting.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20"/>
            </w:tcMar>
          </w:tcPr>
          <w:p>
            <w:pPr>
              <w:spacing w:after="40"/>
            </w:pPr>
            <w:r>
              <w:rPr>
                <w:rFonts w:ascii="Courier New" w:cs="Courier New" w:eastAsia="Courier New" w:hAnsi="Courier New"/>
                <w:color w:val="1B3A5C"/>
                <w:sz w:val="18"/>
                <w:szCs w:val="18"/>
              </w:rPr>
              <w:t xml:space="preserve">total_capital = $10,000 per regional pool  [$30,000 / 3 pools]</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 Step 1: Split capital into active vs defensive</w:t>
            </w:r>
          </w:p>
          <w:p>
            <w:pPr>
              <w:spacing w:after="40"/>
            </w:pPr>
            <w:r>
              <w:rPr>
                <w:rFonts w:ascii="Courier New" w:cs="Courier New" w:eastAsia="Courier New" w:hAnsi="Courier New"/>
                <w:color w:val="1B3A5C"/>
                <w:sz w:val="18"/>
                <w:szCs w:val="18"/>
              </w:rPr>
              <w:t xml:space="preserve">active_pct     = p_fixed * 1.0 + p_growth * 1.0 + p_floating * 0.0</w:t>
            </w:r>
          </w:p>
          <w:p>
            <w:pPr>
              <w:spacing w:after="40"/>
            </w:pPr>
            <w:r>
              <w:rPr>
                <w:rFonts w:ascii="Courier New" w:cs="Courier New" w:eastAsia="Courier New" w:hAnsi="Courier New"/>
                <w:color w:val="1B3A5C"/>
                <w:sz w:val="18"/>
                <w:szCs w:val="18"/>
              </w:rPr>
              <w:t xml:space="preserve">defensive_pct  = 1.0 - active_pct   # p_floating goes entirely to defensive</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 Step 2: Position sizing multiplier within active pool</w:t>
            </w:r>
          </w:p>
          <w:p>
            <w:pPr>
              <w:spacing w:after="40"/>
            </w:pPr>
            <w:r>
              <w:rPr>
                <w:rFonts w:ascii="Courier New" w:cs="Courier New" w:eastAsia="Courier New" w:hAnsi="Courier New"/>
                <w:color w:val="1B3A5C"/>
                <w:sz w:val="18"/>
                <w:szCs w:val="18"/>
              </w:rPr>
              <w:t xml:space="preserve">multiplier = p_fixed*1.0 + p_growth*1.2 + p_floating*0.5</w:t>
            </w:r>
          </w:p>
          <w:p>
            <w:pPr>
              <w:spacing w:after="40"/>
            </w:pPr>
            <w:r>
              <w:rPr>
                <w:rFonts w:ascii="Courier New" w:cs="Courier New" w:eastAsia="Courier New" w:hAnsi="Courier New"/>
                <w:color w:val="1B3A5C"/>
                <w:sz w:val="18"/>
                <w:szCs w:val="18"/>
              </w:rPr>
              <w:t xml:space="preserve"># (blended multiplier, weighted by regime probabilities)</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 Step 3: Final exposure</w:t>
            </w:r>
          </w:p>
          <w:p>
            <w:pPr>
              <w:spacing w:after="40"/>
            </w:pPr>
            <w:r>
              <w:rPr>
                <w:rFonts w:ascii="Courier New" w:cs="Courier New" w:eastAsia="Courier New" w:hAnsi="Courier New"/>
                <w:color w:val="1B3A5C"/>
                <w:sz w:val="18"/>
                <w:szCs w:val="18"/>
              </w:rPr>
              <w:t xml:space="preserve">exposure        = active_pct * multiplier * total_capital</w:t>
            </w:r>
          </w:p>
          <w:p>
            <w:pPr>
              <w:spacing w:after="40"/>
            </w:pPr>
            <w:r>
              <w:rPr>
                <w:rFonts w:ascii="Courier New" w:cs="Courier New" w:eastAsia="Courier New" w:hAnsi="Courier New"/>
                <w:color w:val="1B3A5C"/>
                <w:sz w:val="18"/>
                <w:szCs w:val="18"/>
              </w:rPr>
              <w:t xml:space="preserve">defensive_cash  = (defensive_pct + active_pct*(1.0 - multiplier)) * total_capital</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 Example: p_fixed=0.20, p_growth=0.30, p_floating=0.50</w:t>
            </w:r>
          </w:p>
          <w:p>
            <w:pPr>
              <w:spacing w:after="40"/>
            </w:pPr>
            <w:r>
              <w:rPr>
                <w:rFonts w:ascii="Courier New" w:cs="Courier New" w:eastAsia="Courier New" w:hAnsi="Courier New"/>
                <w:color w:val="1B3A5C"/>
                <w:sz w:val="18"/>
                <w:szCs w:val="18"/>
              </w:rPr>
              <w:t xml:space="preserve"># active_pct = 0.50; multiplier = 0.20+0.36+0.25 = 0.81</w:t>
            </w:r>
          </w:p>
          <w:p>
            <w:pPr>
              <w:spacing w:after="40"/>
            </w:pPr>
            <w:r>
              <w:rPr>
                <w:rFonts w:ascii="Courier New" w:cs="Courier New" w:eastAsia="Courier New" w:hAnsi="Courier New"/>
                <w:color w:val="1B3A5C"/>
                <w:sz w:val="18"/>
                <w:szCs w:val="18"/>
              </w:rPr>
              <w:t xml:space="preserve"># exposure   = 0.50 * 0.81 * $10,000 = $4,050</w:t>
            </w:r>
          </w:p>
          <w:p>
            <w:pPr>
              <w:spacing w:after="40"/>
            </w:pPr>
            <w:r>
              <w:rPr>
                <w:rFonts w:ascii="Courier New" w:cs="Courier New" w:eastAsia="Courier New" w:hAnsi="Courier New"/>
                <w:color w:val="1B3A5C"/>
                <w:sz w:val="18"/>
                <w:szCs w:val="18"/>
              </w:rPr>
              <w:t xml:space="preserve"># defensive  = (0.50 + 0.50*0.19) * $10,000 = $5,950</w:t>
            </w:r>
          </w:p>
        </w:tc>
      </w:tr>
    </w:tbl>
    <w:p>
      <w:pPr>
        <w:pStyle w:val="Heading2"/>
        <w:spacing w:after="120" w:before="280"/>
      </w:pPr>
      <w:r>
        <w:rPr>
          <w:rFonts w:ascii="Arial" w:cs="Arial" w:eastAsia="Arial" w:hAnsi="Arial"/>
          <w:b/>
          <w:bCs/>
          <w:color w:val="2E75B6"/>
          <w:sz w:val="26"/>
          <w:szCs w:val="26"/>
        </w:rPr>
        <w:t xml:space="preserve">6.3 Cross-Asset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20"/>
            </w:tcMar>
          </w:tcPr>
          <w:p>
            <w:pPr>
              <w:spacing w:after="40"/>
            </w:pPr>
            <w:r>
              <w:rPr>
                <w:rFonts w:ascii="Courier New" w:cs="Courier New" w:eastAsia="Courier New" w:hAnsi="Courier New"/>
                <w:color w:val="1B3A5C"/>
                <w:sz w:val="18"/>
                <w:szCs w:val="18"/>
              </w:rPr>
              <w:t xml:space="preserve">global_risk_off(t) = clip(normalize(VIX/VXV ratio), 0, 1)</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regime_prob_fixed_final(i,t)    = regime_prob_fixed_raw(i,t) * (1 - global_risk_off(t))</w:t>
            </w:r>
          </w:p>
          <w:p>
            <w:pPr>
              <w:spacing w:after="40"/>
            </w:pPr>
            <w:r>
              <w:rPr>
                <w:rFonts w:ascii="Courier New" w:cs="Courier New" w:eastAsia="Courier New" w:hAnsi="Courier New"/>
                <w:color w:val="1B3A5C"/>
                <w:sz w:val="18"/>
                <w:szCs w:val="18"/>
              </w:rPr>
              <w:t xml:space="preserve">regime_prob_floating_final(i,t) = regime_prob_floating_raw(i,t) + global_risk_off(t) * 0.30</w:t>
            </w:r>
          </w:p>
          <w:p>
            <w:pPr>
              <w:spacing w:after="40"/>
            </w:pPr>
            <w:r>
              <w:rPr>
                <w:rFonts w:ascii="Courier New" w:cs="Courier New" w:eastAsia="Courier New" w:hAnsi="Courier New"/>
                <w:color w:val="1B3A5C"/>
                <w:sz w:val="18"/>
                <w:szCs w:val="18"/>
              </w:rPr>
              <w:t xml:space="preserve">regime_prob_growth_final(i,t)   = 1.0 - fixed_final - floating_final</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USD liquidity signal: enters as additive term to λ(t) only, not as regime scaler</w:t>
            </w:r>
          </w:p>
        </w:tc>
      </w:tr>
    </w:tbl>
    <w:p>
      <w:pPr>
        <w:spacing w:after="120"/>
      </w:pPr>
      <w:r>
        <w:rPr>
          <w:rFonts w:ascii="Arial" w:cs="Arial" w:eastAsia="Arial" w:hAnsi="Arial"/>
          <w:color w:val="1A1A2E"/>
          <w:sz w:val="20"/>
          <w:szCs w:val="20"/>
        </w:rPr>
        <w:t xml:space="preserve">During global stress events, all asset classes simultaneously shift toward Floating ARMA regardless of individual state vector readings. Multiplicative scaling ensures no discontinuities.</w:t>
      </w:r>
    </w:p>
    <w:p>
      <w:pPr>
        <w:pStyle w:val="Heading2"/>
        <w:spacing w:after="120" w:before="280"/>
      </w:pPr>
      <w:r>
        <w:rPr>
          <w:rFonts w:ascii="Arial" w:cs="Arial" w:eastAsia="Arial" w:hAnsi="Arial"/>
          <w:b/>
          <w:bCs/>
          <w:color w:val="2E75B6"/>
          <w:sz w:val="26"/>
          <w:szCs w:val="26"/>
        </w:rPr>
        <w:t xml:space="preserve">6.4 Update Frequency</w:t>
      </w:r>
    </w:p>
    <w:p>
      <w:pPr>
        <w:pStyle w:val="ListParagraph"/>
        <w:numPr>
          <w:ilvl w:val="0"/>
          <w:numId w:val="2"/>
        </w:numPr>
        <w:spacing w:after="80"/>
      </w:pPr>
      <w:r>
        <w:rPr>
          <w:rFonts w:ascii="Arial" w:cs="Arial" w:eastAsia="Arial" w:hAnsi="Arial"/>
          <w:color w:val="1A1A2E"/>
          <w:sz w:val="20"/>
          <w:szCs w:val="20"/>
        </w:rPr>
        <w:t xml:space="preserve">Daily baseline: regime probabilities updated after market close; available before next open</w:t>
      </w:r>
    </w:p>
    <w:p>
      <w:pPr>
        <w:pStyle w:val="ListParagraph"/>
        <w:numPr>
          <w:ilvl w:val="0"/>
          <w:numId w:val="2"/>
        </w:numPr>
        <w:spacing w:after="80"/>
      </w:pPr>
      <w:r>
        <w:rPr>
          <w:rFonts w:ascii="Arial" w:cs="Arial" w:eastAsia="Arial" w:hAnsi="Arial"/>
          <w:color w:val="1A1A2E"/>
          <w:sz w:val="20"/>
          <w:szCs w:val="20"/>
        </w:rPr>
        <w:t xml:space="preserve">Intraday trigger 1: VIX/VXV ratio crosses 1.1 → intraday update within 5 minutes on RTX 5090</w:t>
      </w:r>
    </w:p>
    <w:p>
      <w:pPr>
        <w:pStyle w:val="ListParagraph"/>
        <w:numPr>
          <w:ilvl w:val="0"/>
          <w:numId w:val="2"/>
        </w:numPr>
        <w:spacing w:after="80"/>
      </w:pPr>
      <w:r>
        <w:rPr>
          <w:rFonts w:ascii="Arial" w:cs="Arial" w:eastAsia="Arial" w:hAnsi="Arial"/>
          <w:color w:val="1A1A2E"/>
          <w:sz w:val="20"/>
          <w:szCs w:val="20"/>
        </w:rPr>
        <w:t xml:space="preserve">Intraday trigger 2: VVIX rises &gt;2σ from 5-day mean → intraday update within 5 minutes</w:t>
      </w:r>
    </w:p>
    <w:p>
      <w:pPr>
        <w:pStyle w:val="ListParagraph"/>
        <w:numPr>
          <w:ilvl w:val="0"/>
          <w:numId w:val="2"/>
        </w:numPr>
        <w:spacing w:after="80"/>
      </w:pPr>
      <w:r>
        <w:rPr>
          <w:rFonts w:ascii="Arial" w:cs="Arial" w:eastAsia="Arial" w:hAnsi="Arial"/>
          <w:color w:val="1A1A2E"/>
          <w:sz w:val="20"/>
          <w:szCs w:val="20"/>
        </w:rPr>
        <w:t xml:space="preserve">0DTE overlay: prior close regime probability + 0.10 × VIX1D anomaly. VIX1D used is PREVIOUS DAY's close to prevent same-session feedback loop.</w:t>
      </w:r>
    </w:p>
    <w:p>
      <w:pPr>
        <w:pStyle w:val="Heading2"/>
        <w:spacing w:after="120" w:before="280"/>
      </w:pPr>
      <w:r>
        <w:rPr>
          <w:rFonts w:ascii="Arial" w:cs="Arial" w:eastAsia="Arial" w:hAnsi="Arial"/>
          <w:b/>
          <w:bCs/>
          <w:color w:val="2E75B6"/>
          <w:sz w:val="26"/>
          <w:szCs w:val="26"/>
        </w:rPr>
        <w:t xml:space="preserve">6.5 Integration with risk_engine.py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risk_engine.py Lane</w:t>
            </w:r>
          </w:p>
        </w:tc>
        <w:tc>
          <w:tcPr>
            <w:tcW w:type="dxa" w:w="4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Relationship to Gamma-ARMA</w:t>
            </w:r>
          </w:p>
        </w:tc>
        <w:tc>
          <w:tcPr>
            <w:tcW w:type="dxa" w:w="3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Change Required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Base model</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REPLACE with regime-specific conditional mean forecast from Gamma-ARMA</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Replace existing random walk / constant vol model</w:t>
            </w:r>
          </w:p>
        </w:tc>
      </w:tr>
      <w:tr>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VaR / sVaR</w:t>
            </w:r>
          </w:p>
        </w:tc>
        <w:tc>
          <w:tcPr>
            <w:tcW w:type="dxa" w:w="4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FEED regime-conditional σₜ (GARCH or realized vol per regime) as vol input</w:t>
            </w:r>
          </w:p>
        </w:tc>
        <w:tc>
          <w:tcPr>
            <w:tcW w:type="dxa" w:w="3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Replace vol input only; VaR/sVaR calculation unchanged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RNIV / long-tail</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REPLACE static EVT threshold with regime-specific tail index α (Section 5.3)</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Replace threshold parameter</w:t>
            </w:r>
          </w:p>
        </w:tc>
      </w:tr>
      <w:tr>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Six Sigma oracle</w:t>
            </w:r>
          </w:p>
        </w:tc>
        <w:tc>
          <w:tcPr>
            <w:tcW w:type="dxa" w:w="4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UNCHANGED. Exogenous black swan overlay; Gamma-ARMA does not touch it.</w:t>
            </w:r>
          </w:p>
        </w:tc>
        <w:tc>
          <w:tcPr>
            <w:tcW w:type="dxa" w:w="3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 change</w:t>
            </w:r>
          </w:p>
        </w:tc>
      </w:tr>
    </w:tbl>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none" w:color="FFFFFF" w:sz="0"/>
            </w:tcBorders>
            <w:shd w:fill="EEF3F8" w:val="clear"/>
            <w:tcMar>
              <w:top w:type="dxa" w:w="100"/>
              <w:left w:type="dxa" w:w="180"/>
              <w:bottom w:type="dxa" w:w="100"/>
              <w:right w:type="dxa" w:w="120"/>
            </w:tcMar>
          </w:tcPr>
          <w:p>
            <w:pPr>
              <w:spacing w:after="0"/>
            </w:pPr>
            <w:r>
              <w:rPr>
                <w:rFonts w:ascii="Arial" w:cs="Arial" w:eastAsia="Arial" w:hAnsi="Arial"/>
                <w:b/>
                <w:bCs/>
                <w:color w:val="2E75B6"/>
                <w:sz w:val="20"/>
                <w:szCs w:val="20"/>
              </w:rPr>
              <w:t xml:space="preserve">Output object delivered to risk_engine.py each morning: </w:t>
            </w:r>
            <w:r>
              <w:rPr>
                <w:rFonts w:ascii="Arial" w:cs="Arial" w:eastAsia="Arial" w:hAnsi="Arial"/>
                <w:color w:val="1A1A2E"/>
                <w:sz w:val="20"/>
                <w:szCs w:val="20"/>
              </w:rPr>
              <w:t xml:space="preserve">{ "regime_probs": [p_fixed, p_growth, p_floating], "cond_vol": float, "tail_alpha": float, "jump_intensity": float }</w:t>
            </w:r>
          </w:p>
        </w:tc>
      </w:tr>
    </w:tbl>
    <w:p>
      <w:pPr>
        <w:pStyle w:val="Heading2"/>
        <w:spacing w:after="120" w:before="280"/>
      </w:pPr>
      <w:r>
        <w:rPr>
          <w:rFonts w:ascii="Arial" w:cs="Arial" w:eastAsia="Arial" w:hAnsi="Arial"/>
          <w:b/>
          <w:bCs/>
          <w:color w:val="2E75B6"/>
          <w:sz w:val="26"/>
          <w:szCs w:val="26"/>
        </w:rPr>
        <w:t xml:space="preserve">6.6 0DTE Feedback Loop Prevention</w:t>
      </w:r>
    </w:p>
    <w:p>
      <w:pPr>
        <w:pStyle w:val="ListParagraph"/>
        <w:numPr>
          <w:ilvl w:val="0"/>
          <w:numId w:val="2"/>
        </w:numPr>
        <w:spacing w:after="80"/>
      </w:pPr>
      <w:r>
        <w:rPr>
          <w:rFonts w:ascii="Arial" w:cs="Arial" w:eastAsia="Arial" w:hAnsi="Arial"/>
          <w:color w:val="1A1A2E"/>
          <w:sz w:val="20"/>
          <w:szCs w:val="20"/>
        </w:rPr>
        <w:t xml:space="preserve">VIX1D used for regime calculation = PREVIOUS DAY's close value; not real-time</w:t>
      </w:r>
    </w:p>
    <w:p>
      <w:pPr>
        <w:pStyle w:val="ListParagraph"/>
        <w:numPr>
          <w:ilvl w:val="0"/>
          <w:numId w:val="2"/>
        </w:numPr>
        <w:spacing w:after="80"/>
      </w:pPr>
      <w:r>
        <w:rPr>
          <w:rFonts w:ascii="Arial" w:cs="Arial" w:eastAsia="Arial" w:hAnsi="Arial"/>
          <w:color w:val="1A1A2E"/>
          <w:sz w:val="20"/>
          <w:szCs w:val="20"/>
        </w:rPr>
        <w:t xml:space="preserve">Today's 0DTE trading decisions (based on yesterday's regime) cannot feed into today's VIX1D calculation</w:t>
      </w:r>
    </w:p>
    <w:p>
      <w:pPr>
        <w:pStyle w:val="ListParagraph"/>
        <w:numPr>
          <w:ilvl w:val="0"/>
          <w:numId w:val="2"/>
        </w:numPr>
        <w:spacing w:after="80"/>
      </w:pPr>
      <w:r>
        <w:rPr>
          <w:rFonts w:ascii="Arial" w:cs="Arial" w:eastAsia="Arial" w:hAnsi="Arial"/>
          <w:color w:val="1A1A2E"/>
          <w:sz w:val="20"/>
          <w:szCs w:val="20"/>
        </w:rPr>
        <w:t xml:space="preserve">The cascade may use intraday 0DTE signals internally; the regime framework only sees lagged VIX1D</w:t>
      </w:r>
    </w:p>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7. Position Sizing and Risk Controls</w:t>
      </w:r>
    </w:p>
    <w:p>
      <w:pPr>
        <w:pStyle w:val="Heading2"/>
        <w:spacing w:after="120" w:before="280"/>
      </w:pPr>
      <w:r>
        <w:rPr>
          <w:rFonts w:ascii="Arial" w:cs="Arial" w:eastAsia="Arial" w:hAnsi="Arial"/>
          <w:b/>
          <w:bCs/>
          <w:color w:val="2E75B6"/>
          <w:sz w:val="26"/>
          <w:szCs w:val="26"/>
        </w:rPr>
        <w:t xml:space="preserve">7.1 Reflexivity Governor</w:t>
      </w:r>
    </w:p>
    <w:p>
      <w:pPr>
        <w:spacing w:after="120"/>
      </w:pPr>
      <w:r>
        <w:rPr>
          <w:rFonts w:ascii="Arial" w:cs="Arial" w:eastAsia="Arial" w:hAnsi="Arial"/>
          <w:color w:val="1A1A2E"/>
          <w:sz w:val="20"/>
          <w:szCs w:val="20"/>
        </w:rPr>
        <w:t xml:space="preserve">If Blaque Baux aggregate capital in a given tier exceeds 2% of that tier's average daily volume, all regime signals are scaled down linearly with the excess. The system does not estimate a structural model in a market it is meaningfully moving.</w:t>
      </w:r>
    </w:p>
    <w:p>
      <w:pPr>
        <w:pStyle w:val="Heading2"/>
        <w:spacing w:after="120" w:before="280"/>
      </w:pPr>
      <w:r>
        <w:rPr>
          <w:rFonts w:ascii="Arial" w:cs="Arial" w:eastAsia="Arial" w:hAnsi="Arial"/>
          <w:b/>
          <w:bCs/>
          <w:color w:val="2E75B6"/>
          <w:sz w:val="26"/>
          <w:szCs w:val="26"/>
        </w:rPr>
        <w:t xml:space="preserve">7.2 Absolute Position Floor</w:t>
      </w:r>
    </w:p>
    <w:p>
      <w:pPr>
        <w:spacing w:after="120"/>
      </w:pPr>
      <w:r>
        <w:rPr>
          <w:rFonts w:ascii="Arial" w:cs="Arial" w:eastAsia="Arial" w:hAnsi="Arial"/>
          <w:color w:val="1A1A2E"/>
          <w:sz w:val="20"/>
          <w:szCs w:val="20"/>
        </w:rPr>
        <w:t xml:space="preserve">After all percentage-based adjustments, any position with notional below $500 is closed entirely. Rationale: 10bp commission + 2bp slippage = 12bp round trip; minimum viable expected edge ($5) requires $500 notional. For IBKR minimums: if closing order &lt; 1 share or 1 contract, do not send; reduce to zero on next daily rebalance.</w:t>
      </w:r>
    </w:p>
    <w:p>
      <w:pPr>
        <w:pStyle w:val="Heading2"/>
        <w:spacing w:after="120" w:before="280"/>
      </w:pPr>
      <w:r>
        <w:rPr>
          <w:rFonts w:ascii="Arial" w:cs="Arial" w:eastAsia="Arial" w:hAnsi="Arial"/>
          <w:b/>
          <w:bCs/>
          <w:color w:val="2E75B6"/>
          <w:sz w:val="26"/>
          <w:szCs w:val="26"/>
        </w:rPr>
        <w:t xml:space="preserve">7.3 Asset-Class State Vector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300"/>
        <w:gridCol w:w="3260"/>
      </w:tblGrid>
      <w:tr>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Asset Class</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State Vector</w:t>
            </w:r>
          </w:p>
        </w:tc>
        <w:tc>
          <w:tcPr>
            <w:tcW w:type="dxa" w:w="23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Vol Signal</w:t>
            </w:r>
          </w:p>
        </w:tc>
        <w:tc>
          <w:tcPr>
            <w:tcW w:type="dxa" w:w="32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Notes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US Equities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 6-dim sₜ</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VIX, VXV, VVIX, VIX1D, IV Rank</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Primary deployment; full framework from Day 252</w:t>
            </w:r>
          </w:p>
        </w:tc>
      </w:tr>
      <w:tr>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Commodities</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 6-dim sₜ; re-estimated from scratch</w:t>
            </w:r>
          </w:p>
        </w:tc>
        <w:tc>
          <w:tcPr>
            <w:tcW w:type="dxa" w:w="23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OVX for crude; commodity-specific realized vol</w:t>
            </w:r>
          </w:p>
        </w:tc>
        <w:tc>
          <w:tcPr>
            <w:tcW w:type="dxa" w:w="32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 parameter transfer from equity estimation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EMEA Equities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 6-dim sₜ; 1-day lag for cross-timezone correlation</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VSTOXX; end-of-day data only</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See EMEA protocol Section 8.4</w:t>
            </w:r>
          </w:p>
        </w:tc>
      </w:tr>
      <w:tr>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Crypto (1-2hr)</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Asset-class-specific; Deribit options skew</w:t>
            </w:r>
          </w:p>
        </w:tc>
        <w:tc>
          <w:tcPr>
            <w:tcW w:type="dxa" w:w="23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Crypto implied vol (no VIX equivalent)</w:t>
            </w:r>
          </w:p>
        </w:tc>
        <w:tc>
          <w:tcPr>
            <w:tcW w:type="dxa" w:w="32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ARMA(0,1) dominant; 1-2hr windows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0DTE overlay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Separate short-horizon; ARMA(0,1)</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VIX1D (lagged one day for regime input)</w:t>
            </w:r>
          </w:p>
        </w:tc>
        <w:tc>
          <w:tcPr>
            <w:tcW w:type="dxa" w:w="3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MA(1) from daily expiry; feedback loop prevented</w:t>
            </w:r>
          </w:p>
        </w:tc>
      </w:tr>
    </w:tbl>
    <w:p>
      <w:pPr>
        <w:pStyle w:val="Heading2"/>
        <w:spacing w:after="120" w:before="280"/>
      </w:pPr>
      <w:r>
        <w:rPr>
          <w:rFonts w:ascii="Arial" w:cs="Arial" w:eastAsia="Arial" w:hAnsi="Arial"/>
          <w:b/>
          <w:bCs/>
          <w:color w:val="2E75B6"/>
          <w:sz w:val="26"/>
          <w:szCs w:val="26"/>
        </w:rPr>
        <w:t xml:space="preserve">7.4 IBKR Execution Layer Specification</w:t>
      </w:r>
    </w:p>
    <w:p>
      <w:pPr>
        <w:pStyle w:val="Heading3"/>
        <w:spacing w:after="80" w:before="200"/>
      </w:pPr>
      <w:r>
        <w:rPr>
          <w:rFonts w:ascii="Arial" w:cs="Arial" w:eastAsia="Arial" w:hAnsi="Arial"/>
          <w:b/>
          <w:bCs/>
          <w:color w:val="4A4A6A"/>
          <w:sz w:val="22"/>
          <w:szCs w:val="22"/>
        </w:rPr>
        <w:t xml:space="preserve">Standard Order Execution</w:t>
      </w:r>
    </w:p>
    <w:p>
      <w:pPr>
        <w:pStyle w:val="ListParagraph"/>
        <w:numPr>
          <w:ilvl w:val="0"/>
          <w:numId w:val="2"/>
        </w:numPr>
        <w:spacing w:after="80"/>
      </w:pPr>
      <w:r>
        <w:rPr>
          <w:rFonts w:ascii="Arial" w:cs="Arial" w:eastAsia="Arial" w:hAnsi="Arial"/>
          <w:color w:val="1A1A2E"/>
          <w:sz w:val="20"/>
          <w:szCs w:val="20"/>
        </w:rPr>
        <w:t xml:space="preserve">Order type: limit orders only. No market orders except emergency circuit breaker liquidation.</w:t>
      </w:r>
    </w:p>
    <w:p>
      <w:pPr>
        <w:pStyle w:val="ListParagraph"/>
        <w:numPr>
          <w:ilvl w:val="0"/>
          <w:numId w:val="2"/>
        </w:numPr>
        <w:spacing w:after="80"/>
      </w:pPr>
      <w:r>
        <w:rPr>
          <w:rFonts w:ascii="Arial" w:cs="Arial" w:eastAsia="Arial" w:hAnsi="Arial"/>
          <w:color w:val="1A1A2E"/>
          <w:sz w:val="20"/>
          <w:szCs w:val="20"/>
        </w:rPr>
        <w:t xml:space="preserve">Limit price: current bid/ask mid-price ± 0.5× half-spread (aggressive for execution certainty)</w:t>
      </w:r>
    </w:p>
    <w:p>
      <w:pPr>
        <w:pStyle w:val="ListParagraph"/>
        <w:numPr>
          <w:ilvl w:val="0"/>
          <w:numId w:val="2"/>
        </w:numPr>
        <w:spacing w:after="80"/>
      </w:pPr>
      <w:r>
        <w:rPr>
          <w:rFonts w:ascii="Arial" w:cs="Arial" w:eastAsia="Arial" w:hAnsi="Arial"/>
          <w:color w:val="1A1A2E"/>
          <w:sz w:val="20"/>
          <w:szCs w:val="20"/>
        </w:rPr>
        <w:t xml:space="preserve">If unfilled after 30 seconds: cancel; re-place at new mid-price</w:t>
      </w:r>
    </w:p>
    <w:p>
      <w:pPr>
        <w:pStyle w:val="ListParagraph"/>
        <w:numPr>
          <w:ilvl w:val="0"/>
          <w:numId w:val="2"/>
        </w:numPr>
        <w:spacing w:after="80"/>
      </w:pPr>
      <w:r>
        <w:rPr>
          <w:rFonts w:ascii="Arial" w:cs="Arial" w:eastAsia="Arial" w:hAnsi="Arial"/>
          <w:color w:val="1A1A2E"/>
          <w:sz w:val="20"/>
          <w:szCs w:val="20"/>
        </w:rPr>
        <w:t xml:space="preserve">If unfilled after 3 re-placements: convert to limit at opposite side of spread to ensure execution before daily close</w:t>
      </w:r>
    </w:p>
    <w:p>
      <w:pPr>
        <w:pStyle w:val="Heading3"/>
        <w:spacing w:after="80" w:before="200"/>
      </w:pPr>
      <w:r>
        <w:rPr>
          <w:rFonts w:ascii="Arial" w:cs="Arial" w:eastAsia="Arial" w:hAnsi="Arial"/>
          <w:b/>
          <w:bCs/>
          <w:color w:val="4A4A6A"/>
          <w:sz w:val="22"/>
          <w:szCs w:val="22"/>
        </w:rPr>
        <w:t xml:space="preserve">Partial Fill Handling During Regime Transition</w:t>
      </w:r>
    </w:p>
    <w:p>
      <w:pPr>
        <w:pStyle w:val="ListParagraph"/>
        <w:numPr>
          <w:ilvl w:val="0"/>
          <w:numId w:val="2"/>
        </w:numPr>
        <w:spacing w:after="80"/>
      </w:pPr>
      <w:r>
        <w:rPr>
          <w:rFonts w:ascii="Arial" w:cs="Arial" w:eastAsia="Arial" w:hAnsi="Arial"/>
          <w:color w:val="1A1A2E"/>
          <w:sz w:val="20"/>
          <w:szCs w:val="20"/>
        </w:rPr>
        <w:t xml:space="preserve">If regime_prob_floating increases by &gt;0.20 since order placement and the order is partially filled: cancel the unfilled remainder immediately</w:t>
      </w:r>
    </w:p>
    <w:p>
      <w:pPr>
        <w:pStyle w:val="ListParagraph"/>
        <w:numPr>
          <w:ilvl w:val="0"/>
          <w:numId w:val="2"/>
        </w:numPr>
        <w:spacing w:after="80"/>
      </w:pPr>
      <w:r>
        <w:rPr>
          <w:rFonts w:ascii="Arial" w:cs="Arial" w:eastAsia="Arial" w:hAnsi="Arial"/>
          <w:color w:val="1A1A2E"/>
          <w:sz w:val="20"/>
          <w:szCs w:val="20"/>
        </w:rPr>
        <w:t xml:space="preserve">Do not re-enter the cancelled remainder. Log for post-trade analysis.</w:t>
      </w:r>
    </w:p>
    <w:p>
      <w:pPr>
        <w:pStyle w:val="ListParagraph"/>
        <w:numPr>
          <w:ilvl w:val="0"/>
          <w:numId w:val="2"/>
        </w:numPr>
        <w:spacing w:after="80"/>
      </w:pPr>
      <w:r>
        <w:rPr>
          <w:rFonts w:ascii="Arial" w:cs="Arial" w:eastAsia="Arial" w:hAnsi="Arial"/>
          <w:color w:val="1A1A2E"/>
          <w:sz w:val="20"/>
          <w:szCs w:val="20"/>
        </w:rPr>
        <w:t xml:space="preserve">If a residual position below $500 remains after partial fill: set target to zero on next daily rebalance</w:t>
      </w:r>
    </w:p>
    <w:p>
      <w:pPr>
        <w:pStyle w:val="Heading3"/>
        <w:spacing w:after="80" w:before="200"/>
      </w:pPr>
      <w:r>
        <w:rPr>
          <w:rFonts w:ascii="Arial" w:cs="Arial" w:eastAsia="Arial" w:hAnsi="Arial"/>
          <w:b/>
          <w:bCs/>
          <w:color w:val="4A4A6A"/>
          <w:sz w:val="22"/>
          <w:szCs w:val="22"/>
        </w:rPr>
        <w:t xml:space="preserve">Emergency Liquidation — OR Logic with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03A" w:sz="1"/>
              <w:left w:val="single" w:color="C5703A" w:sz="14"/>
              <w:bottom w:val="single" w:color="C5703A" w:sz="1"/>
              <w:right w:val="none" w:color="FFFFFF" w:sz="0"/>
            </w:tcBorders>
            <w:shd w:fill="FFF3E0" w:val="clear"/>
            <w:tcMar>
              <w:top w:type="dxa" w:w="100"/>
              <w:left w:type="dxa" w:w="180"/>
              <w:bottom w:type="dxa" w:w="100"/>
              <w:right w:type="dxa" w:w="120"/>
            </w:tcMar>
          </w:tcPr>
          <w:p>
            <w:pPr>
              <w:spacing w:after="0"/>
            </w:pPr>
            <w:r>
              <w:rPr>
                <w:rFonts w:ascii="Arial" w:cs="Arial" w:eastAsia="Arial" w:hAnsi="Arial"/>
                <w:b/>
                <w:bCs/>
                <w:color w:val="7B2D00"/>
                <w:sz w:val="20"/>
                <w:szCs w:val="20"/>
              </w:rPr>
              <w:t xml:space="preserve">Emergency Liquidation Trigger (OR with 3-minute persistence on fast signal): </w:t>
            </w:r>
            <w:r>
              <w:rPr>
                <w:rFonts w:ascii="Arial" w:cs="Arial" w:eastAsia="Arial" w:hAnsi="Arial"/>
                <w:color w:val="7B2D00"/>
                <w:sz w:val="20"/>
                <w:szCs w:val="20"/>
              </w:rPr>
              <w:t xml:space="preserve">This is OR logic, not AND. Bootstrap envelope alone triggers immediately (slow signal; cannot spike intraday). VVIX requires 3-minute persistence to prevent false positives from single-second option market spikes.</w:t>
            </w:r>
          </w:p>
        </w:tc>
      </w:tr>
    </w:tbl>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Trigger</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Condition</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Persistence Required</w:t>
            </w:r>
          </w:p>
        </w:tc>
        <w:tc>
          <w:tcPr>
            <w:tcW w:type="dxa" w:w="19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VVIX extreme (fast signal)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VVIX &gt; 2× VIX</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 consecutive minutes (180 one-second samples)</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Emergency liquidation</w:t>
            </w:r>
          </w:p>
        </w:tc>
      </w:tr>
      <w:tr>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Bootstrap extreme (slow signal)</w:t>
            </w:r>
          </w:p>
        </w:tc>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Bootstrap envelope &gt; 3× its 6-month median</w:t>
            </w:r>
          </w:p>
        </w:tc>
        <w:tc>
          <w:tcPr>
            <w:tcW w:type="dxa" w:w="2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None (envelope cannot spike intraday)</w:t>
            </w:r>
          </w:p>
        </w:tc>
        <w:tc>
          <w:tcPr>
            <w:tcW w:type="dxa" w:w="19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Emergency liquidation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Both simultaneously</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Either condition met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Any duration</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Emergency liquidation immediately</w:t>
            </w:r>
          </w:p>
        </w:tc>
      </w:tr>
    </w:tbl>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20"/>
            </w:tcMar>
          </w:tcPr>
          <w:p>
            <w:pPr>
              <w:spacing w:after="40"/>
            </w:pPr>
            <w:r>
              <w:rPr>
                <w:rFonts w:ascii="Courier New" w:cs="Courier New" w:eastAsia="Courier New" w:hAnsi="Courier New"/>
                <w:color w:val="1B3A5C"/>
                <w:sz w:val="18"/>
                <w:szCs w:val="18"/>
              </w:rPr>
              <w:t xml:space="preserve"># VVIX persistence implementation</w:t>
            </w:r>
          </w:p>
          <w:p>
            <w:pPr>
              <w:spacing w:after="40"/>
            </w:pPr>
            <w:r>
              <w:rPr>
                <w:rFonts w:ascii="Courier New" w:cs="Courier New" w:eastAsia="Courier New" w:hAnsi="Courier New"/>
                <w:color w:val="1B3A5C"/>
                <w:sz w:val="18"/>
                <w:szCs w:val="18"/>
              </w:rPr>
              <w:t xml:space="preserve">vvix_breached_count += 1 if VVIX &gt; 2*VIX else 0</w:t>
            </w:r>
          </w:p>
          <w:p>
            <w:pPr>
              <w:spacing w:after="40"/>
            </w:pPr>
            <w:r>
              <w:rPr>
                <w:rFonts w:ascii="Courier New" w:cs="Courier New" w:eastAsia="Courier New" w:hAnsi="Courier New"/>
                <w:color w:val="1B3A5C"/>
                <w:sz w:val="18"/>
                <w:szCs w:val="18"/>
              </w:rPr>
              <w:t xml:space="preserve">if vvix_breached_count &gt;= 180:   # 3 minutes at 1-sec sampling</w:t>
            </w:r>
          </w:p>
          <w:p>
            <w:pPr>
              <w:spacing w:after="40"/>
            </w:pPr>
            <w:r>
              <w:rPr>
                <w:rFonts w:ascii="Courier New" w:cs="Courier New" w:eastAsia="Courier New" w:hAnsi="Courier New"/>
                <w:color w:val="1B3A5C"/>
                <w:sz w:val="18"/>
                <w:szCs w:val="18"/>
              </w:rPr>
              <w:t xml:space="preserve">    trigger_emergency_liquidation()</w:t>
            </w:r>
          </w:p>
          <w:p>
            <w:pPr>
              <w:spacing w:after="40"/>
            </w:pPr>
            <w:r>
              <w:rPr>
                <w:rFonts w:ascii="Courier New" w:cs="Courier New" w:eastAsia="Courier New" w:hAnsi="Courier New"/>
                <w:color w:val="1B3A5C"/>
                <w:sz w:val="18"/>
                <w:szCs w:val="18"/>
              </w:rPr>
              <w:t xml:space="preserve">    vvix_breached_count = 0</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 Bootstrap trigger (immediate)</w:t>
            </w:r>
          </w:p>
          <w:p>
            <w:pPr>
              <w:spacing w:after="40"/>
            </w:pPr>
            <w:r>
              <w:rPr>
                <w:rFonts w:ascii="Courier New" w:cs="Courier New" w:eastAsia="Courier New" w:hAnsi="Courier New"/>
                <w:color w:val="1B3A5C"/>
                <w:sz w:val="18"/>
                <w:szCs w:val="18"/>
              </w:rPr>
              <w:t xml:space="preserve">if bootstrap_envelope_width &gt; 3 * rolling_6month_median_width:</w:t>
            </w:r>
          </w:p>
          <w:p>
            <w:pPr>
              <w:spacing w:after="40"/>
            </w:pPr>
            <w:r>
              <w:rPr>
                <w:rFonts w:ascii="Courier New" w:cs="Courier New" w:eastAsia="Courier New" w:hAnsi="Courier New"/>
                <w:color w:val="1B3A5C"/>
                <w:sz w:val="18"/>
                <w:szCs w:val="18"/>
              </w:rPr>
              <w:t xml:space="preserve">    trigger_emergency_liquidation()</w:t>
            </w:r>
          </w:p>
        </w:tc>
      </w:tr>
    </w:tbl>
    <w:p>
      <w:pPr>
        <w:spacing w:after="80"/>
      </w:pPr>
      <w:r>
        <w:rPr>
          <w:rFonts w:ascii="Arial" w:cs="Arial" w:eastAsia="Arial" w:hAnsi="Arial"/>
          <w:color w:val="1A1A2E"/>
          <w:sz w:val="20"/>
          <w:szCs w:val="20"/>
        </w:rPr>
        <w:t xml:space="preserve"/>
      </w:r>
    </w:p>
    <w:p>
      <w:pPr>
        <w:pStyle w:val="Heading3"/>
        <w:spacing w:after="80" w:before="200"/>
      </w:pPr>
      <w:r>
        <w:rPr>
          <w:rFonts w:ascii="Arial" w:cs="Arial" w:eastAsia="Arial" w:hAnsi="Arial"/>
          <w:b/>
          <w:bCs/>
          <w:color w:val="4A4A6A"/>
          <w:sz w:val="22"/>
          <w:szCs w:val="22"/>
        </w:rPr>
        <w:t xml:space="preserve">Emergency Liquidation Execution</w:t>
      </w:r>
    </w:p>
    <w:p>
      <w:pPr>
        <w:pStyle w:val="ListParagraph"/>
        <w:numPr>
          <w:ilvl w:val="0"/>
          <w:numId w:val="2"/>
        </w:numPr>
        <w:spacing w:after="80"/>
      </w:pPr>
      <w:r>
        <w:rPr>
          <w:rFonts w:ascii="Arial" w:cs="Arial" w:eastAsia="Arial" w:hAnsi="Arial"/>
          <w:color w:val="1A1A2E"/>
          <w:sz w:val="20"/>
          <w:szCs w:val="20"/>
        </w:rPr>
        <w:t xml:space="preserve">Convert all open limit orders to market orders immediately</w:t>
      </w:r>
    </w:p>
    <w:p>
      <w:pPr>
        <w:pStyle w:val="ListParagraph"/>
        <w:numPr>
          <w:ilvl w:val="0"/>
          <w:numId w:val="2"/>
        </w:numPr>
        <w:spacing w:after="80"/>
      </w:pPr>
      <w:r>
        <w:rPr>
          <w:rFonts w:ascii="Arial" w:cs="Arial" w:eastAsia="Arial" w:hAnsi="Arial"/>
          <w:color w:val="1A1A2E"/>
          <w:sz w:val="20"/>
          <w:szCs w:val="20"/>
        </w:rPr>
        <w:t xml:space="preserve">Liquidate all open positions within 5 minutes of trigger regardless of price</w:t>
      </w:r>
    </w:p>
    <w:p>
      <w:pPr>
        <w:pStyle w:val="ListParagraph"/>
        <w:numPr>
          <w:ilvl w:val="0"/>
          <w:numId w:val="2"/>
        </w:numPr>
        <w:spacing w:after="80"/>
      </w:pPr>
      <w:r>
        <w:rPr>
          <w:rFonts w:ascii="Arial" w:cs="Arial" w:eastAsia="Arial" w:hAnsi="Arial"/>
          <w:color w:val="1A1A2E"/>
          <w:sz w:val="20"/>
          <w:szCs w:val="20"/>
        </w:rPr>
        <w:t xml:space="preserve">After liquidation: 30-minute halt on all new order generation</w:t>
      </w:r>
    </w:p>
    <w:p>
      <w:pPr>
        <w:pStyle w:val="ListParagraph"/>
        <w:numPr>
          <w:ilvl w:val="0"/>
          <w:numId w:val="2"/>
        </w:numPr>
        <w:spacing w:after="80"/>
      </w:pPr>
      <w:r>
        <w:rPr>
          <w:rFonts w:ascii="Arial" w:cs="Arial" w:eastAsia="Arial" w:hAnsi="Arial"/>
          <w:color w:val="1A1A2E"/>
          <w:sz w:val="20"/>
          <w:szCs w:val="20"/>
        </w:rPr>
        <w:t xml:space="preserve">Resume at 50% of normal position sizing after 30-minute cooldown</w:t>
      </w:r>
    </w:p>
    <w:p>
      <w:pPr>
        <w:pStyle w:val="ListParagraph"/>
        <w:numPr>
          <w:ilvl w:val="0"/>
          <w:numId w:val="2"/>
        </w:numPr>
        <w:spacing w:after="80"/>
      </w:pPr>
      <w:r>
        <w:rPr>
          <w:rFonts w:ascii="Arial" w:cs="Arial" w:eastAsia="Arial" w:hAnsi="Arial"/>
          <w:color w:val="1A1A2E"/>
          <w:sz w:val="20"/>
          <w:szCs w:val="20"/>
        </w:rPr>
        <w:t xml:space="preserve">Log EMERGENCY_LIQUIDATION event to PMO dashboard</w:t>
      </w:r>
    </w:p>
    <w:p>
      <w:pPr>
        <w:pStyle w:val="Heading3"/>
        <w:spacing w:after="80" w:before="200"/>
      </w:pPr>
      <w:r>
        <w:rPr>
          <w:rFonts w:ascii="Arial" w:cs="Arial" w:eastAsia="Arial" w:hAnsi="Arial"/>
          <w:b/>
          <w:bCs/>
          <w:color w:val="4A4A6A"/>
          <w:sz w:val="22"/>
          <w:szCs w:val="22"/>
        </w:rPr>
        <w:t xml:space="preserve">Execution Latency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Event</w:t>
            </w:r>
          </w:p>
        </w:tc>
        <w:tc>
          <w:tcPr>
            <w:tcW w:type="dxa" w:w="46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Latency Target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Daily rebalance orders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Sent within 1 minute of market open</w:t>
            </w:r>
          </w:p>
        </w:tc>
      </w:tr>
      <w:tr>
        <w:tc>
          <w:tcPr>
            <w:tcW w:type="dxa" w:w="468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Intraday regime-triggered orders</w:t>
            </w:r>
          </w:p>
        </w:tc>
        <w:tc>
          <w:tcPr>
            <w:tcW w:type="dxa" w:w="468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Sent within 5 seconds of trigger detection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Emergency liquidation: all positions closed</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Within 5 minutes of trigger activation</w:t>
            </w:r>
          </w:p>
        </w:tc>
      </w:tr>
    </w:tbl>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8. Deployment Architecture</w:t>
      </w:r>
    </w:p>
    <w:p>
      <w:pPr>
        <w:pStyle w:val="Heading2"/>
        <w:spacing w:after="120" w:before="280"/>
      </w:pPr>
      <w:r>
        <w:rPr>
          <w:rFonts w:ascii="Arial" w:cs="Arial" w:eastAsia="Arial" w:hAnsi="Arial"/>
          <w:b/>
          <w:bCs/>
          <w:color w:val="2E75B6"/>
          <w:sz w:val="26"/>
          <w:szCs w:val="26"/>
        </w:rPr>
        <w:t xml:space="preserve">8.1 Cold Start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200"/>
        <w:gridCol w:w="1460"/>
        <w:gridCol w:w="1100"/>
        <w:gridCol w:w="2200"/>
      </w:tblGrid>
      <w:tr>
        <w:tc>
          <w:tcPr>
            <w:tcW w:type="dxa" w:w="11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Phase</w:t>
            </w:r>
          </w:p>
        </w:tc>
        <w:tc>
          <w:tcPr>
            <w:tcW w:type="dxa" w:w="13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Trading Days</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Model Active</w:t>
            </w:r>
          </w:p>
        </w:tc>
        <w:tc>
          <w:tcPr>
            <w:tcW w:type="dxa" w:w="14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Position Sizing</w:t>
            </w:r>
          </w:p>
        </w:tc>
        <w:tc>
          <w:tcPr>
            <w:tcW w:type="dxa" w:w="11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DPM Active?</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IV Rank Handling</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Phase 1: Minimal</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Days 1–63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Constant mean + rolling 60d vol</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50% of normal</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EXCLUDED from state vector (insufficient history)</w:t>
            </w:r>
          </w:p>
        </w:tc>
      </w:tr>
      <w:tr>
        <w:tc>
          <w:tcPr>
            <w:tcW w:type="dxa" w:w="1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Phase 2: Base ARMA</w:t>
            </w:r>
          </w:p>
        </w:tc>
        <w:tc>
          <w:tcPr>
            <w:tcW w:type="dxa" w:w="13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Days 64–251</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ARMA(1,1) + GARCH(1,1)</w:t>
            </w:r>
          </w:p>
        </w:tc>
        <w:tc>
          <w:tcPr>
            <w:tcW w:type="dxa" w:w="14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75% of normal</w:t>
            </w:r>
          </w:p>
        </w:tc>
        <w:tc>
          <w:tcPr>
            <w:tcW w:type="dxa" w:w="1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Bias-corrected short-history IV Rank (see below)</w:t>
            </w:r>
          </w:p>
        </w:tc>
      </w:tr>
      <w:tr>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Phase 3: Full</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Day 252+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 Gamma-ARMA + DPM on 1-year data</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100% of normal</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Yes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 52-week IV Rank; no correction needed</w:t>
            </w:r>
          </w:p>
        </w:tc>
      </w:tr>
    </w:tbl>
    <w:p>
      <w:pPr>
        <w:spacing w:after="80"/>
      </w:pPr>
      <w:r>
        <w:rPr>
          <w:rFonts w:ascii="Arial" w:cs="Arial" w:eastAsia="Arial" w:hAnsi="Arial"/>
          <w:color w:val="1A1A2E"/>
          <w:sz w:val="20"/>
          <w:szCs w:val="20"/>
        </w:rPr>
        <w:t xml:space="preserve"/>
      </w:r>
    </w:p>
    <w:p>
      <w:pPr>
        <w:pStyle w:val="Heading3"/>
        <w:spacing w:after="80" w:before="200"/>
      </w:pPr>
      <w:r>
        <w:rPr>
          <w:rFonts w:ascii="Arial" w:cs="Arial" w:eastAsia="Arial" w:hAnsi="Arial"/>
          <w:b/>
          <w:bCs/>
          <w:color w:val="4A4A6A"/>
          <w:sz w:val="22"/>
          <w:szCs w:val="22"/>
        </w:rPr>
        <w:t xml:space="preserve">IV Rank Handling During Cold Start</w:t>
      </w:r>
    </w:p>
    <w:p>
      <w:pPr>
        <w:pStyle w:val="ListParagraph"/>
        <w:numPr>
          <w:ilvl w:val="0"/>
          <w:numId w:val="2"/>
        </w:numPr>
        <w:spacing w:after="80"/>
      </w:pPr>
      <w:r>
        <w:rPr>
          <w:rFonts w:ascii="Arial" w:cs="Arial" w:eastAsia="Arial" w:hAnsi="Arial"/>
          <w:color w:val="1A1A2E"/>
          <w:sz w:val="20"/>
          <w:szCs w:val="20"/>
        </w:rPr>
        <w:t xml:space="preserve">Days 1-63 (Phase 1): IV Rank not used. Vol PC₁ computed from VIX, VXV, VVIX only. IV Rank requires 52-week history that does not yet exist.</w:t>
      </w:r>
    </w:p>
    <w:p>
      <w:pPr>
        <w:pStyle w:val="ListParagraph"/>
        <w:numPr>
          <w:ilvl w:val="0"/>
          <w:numId w:val="2"/>
        </w:numPr>
        <w:spacing w:after="80"/>
      </w:pPr>
      <w:r>
        <w:rPr>
          <w:rFonts w:ascii="Arial" w:cs="Arial" w:eastAsia="Arial" w:hAnsi="Arial"/>
          <w:color w:val="1A1A2E"/>
          <w:sz w:val="20"/>
          <w:szCs w:val="20"/>
        </w:rPr>
        <w:t xml:space="preserve">Days 64-251 (Phase 2): IV Rank calculated on rolling available history (e.g., 64-day lookback on Day 64). Bias correction applied: subtract E[IV Rank_short] − E[IV Rank_52wk] estimated from backtest data; clip to [0,100].</w:t>
      </w:r>
    </w:p>
    <w:p>
      <w:pPr>
        <w:pStyle w:val="ListParagraph"/>
        <w:numPr>
          <w:ilvl w:val="0"/>
          <w:numId w:val="2"/>
        </w:numPr>
        <w:spacing w:after="80"/>
      </w:pPr>
      <w:r>
        <w:rPr>
          <w:rFonts w:ascii="Arial" w:cs="Arial" w:eastAsia="Arial" w:hAnsi="Arial"/>
          <w:color w:val="1A1A2E"/>
          <w:sz w:val="20"/>
          <w:szCs w:val="20"/>
        </w:rPr>
        <w:t xml:space="preserve">Day 252+ (Phase 3): Full 52-week IV Rank; no correction needed.</w:t>
      </w:r>
    </w:p>
    <w:p>
      <w:pPr>
        <w:spacing w:after="120"/>
      </w:pPr>
      <w:r>
        <w:rPr>
          <w:rFonts w:ascii="Arial" w:cs="Arial" w:eastAsia="Arial" w:hAnsi="Arial"/>
          <w:color w:val="1A1A2E"/>
          <w:sz w:val="20"/>
          <w:szCs w:val="20"/>
        </w:rPr>
        <w:t xml:space="preserve">Synthetic 52-week history from backtest data is explicitly prohibited: it creates look-ahead bias and violates the walk-forward validation protocol.</w:t>
      </w:r>
    </w:p>
    <w:p>
      <w:pPr>
        <w:pStyle w:val="Heading2"/>
        <w:spacing w:after="120" w:before="280"/>
      </w:pPr>
      <w:r>
        <w:rPr>
          <w:rFonts w:ascii="Arial" w:cs="Arial" w:eastAsia="Arial" w:hAnsi="Arial"/>
          <w:b/>
          <w:bCs/>
          <w:color w:val="2E75B6"/>
          <w:sz w:val="26"/>
          <w:szCs w:val="26"/>
        </w:rPr>
        <w:t xml:space="preserve">8.2 Three-Machine Compute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600"/>
        <w:gridCol w:w="196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Machine</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Role</w:t>
            </w:r>
          </w:p>
        </w:tc>
        <w:tc>
          <w:tcPr>
            <w:tcW w:type="dxa" w:w="3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Framework Components</w:t>
            </w:r>
          </w:p>
        </w:tc>
        <w:tc>
          <w:tcPr>
            <w:tcW w:type="dxa" w:w="19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Latency Budget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M3 Studio (orchestrator)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SmallClaw orchestrator</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Layer 1 smoothing pipeline (LOESS, SG, rolling median, bootstrap); state vector sₜ construction; cascade interface output; version registry</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&lt; 30 min after close</w:t>
            </w:r>
          </w:p>
        </w:tc>
      </w:tr>
      <w:tr>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DGX Spark (training)</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Training / EM estimation</w:t>
            </w:r>
          </w:p>
        </w:tc>
        <w:tc>
          <w:tcPr>
            <w:tcW w:type="dxa" w:w="3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Weekly EM re-estimation; particle filter E-step; DPM concentration γ update; bootstrap B=5,000 replications (GPU-parallelized via cupy/jax); 2-3 min target runtime</w:t>
            </w:r>
          </w:p>
        </w:tc>
        <w:tc>
          <w:tcPr>
            <w:tcW w:type="dxa" w:w="19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Saturday 4-hour window</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RTX 5090 (inference)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Inference + execution</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Daily recursive update (ρ=0.99); intraday regime updates on vol triggers; IBKR order routing; VVIX 3-min persistence monitoring</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&lt; 5 sec for intraday; &lt; 1 min for daily rebalance orders</w:t>
            </w:r>
          </w:p>
        </w:tc>
      </w:tr>
    </w:tbl>
    <w:p>
      <w:pPr>
        <w:pStyle w:val="Heading2"/>
        <w:spacing w:after="120" w:before="280"/>
      </w:pPr>
      <w:r>
        <w:rPr>
          <w:rFonts w:ascii="Arial" w:cs="Arial" w:eastAsia="Arial" w:hAnsi="Arial"/>
          <w:b/>
          <w:bCs/>
          <w:color w:val="2E75B6"/>
          <w:sz w:val="26"/>
          <w:szCs w:val="26"/>
        </w:rPr>
        <w:t xml:space="preserve">8.3 Phased Deployment Sequence</w:t>
      </w:r>
    </w:p>
    <w:p>
      <w:pPr>
        <w:pStyle w:val="ListParagraph"/>
        <w:numPr>
          <w:ilvl w:val="0"/>
          <w:numId w:val="3"/>
        </w:numPr>
        <w:spacing w:after="80"/>
      </w:pPr>
      <w:r>
        <w:rPr>
          <w:rFonts w:ascii="Arial" w:cs="Arial" w:eastAsia="Arial" w:hAnsi="Arial"/>
          <w:color w:val="1A1A2E"/>
          <w:sz w:val="20"/>
          <w:szCs w:val="20"/>
        </w:rPr>
        <w:t xml:space="preserve">US Equities: cold start (252 days) then full framework. Gates T1 and T4 must pass first.</w:t>
      </w:r>
    </w:p>
    <w:p>
      <w:pPr>
        <w:pStyle w:val="ListParagraph"/>
        <w:numPr>
          <w:ilvl w:val="0"/>
          <w:numId w:val="3"/>
        </w:numPr>
        <w:spacing w:after="80"/>
      </w:pPr>
      <w:r>
        <w:rPr>
          <w:rFonts w:ascii="Arial" w:cs="Arial" w:eastAsia="Arial" w:hAnsi="Arial"/>
          <w:color w:val="1A1A2E"/>
          <w:sz w:val="20"/>
          <w:szCs w:val="20"/>
        </w:rPr>
        <w:t xml:space="preserve">EMEA Equities: independent cold start. EMEA cross-timezone protocol (Section 8.4) active from Day 1. Gate T2 must pass.</w:t>
      </w:r>
    </w:p>
    <w:p>
      <w:pPr>
        <w:pStyle w:val="ListParagraph"/>
        <w:numPr>
          <w:ilvl w:val="0"/>
          <w:numId w:val="3"/>
        </w:numPr>
        <w:spacing w:after="80"/>
      </w:pPr>
      <w:r>
        <w:rPr>
          <w:rFonts w:ascii="Arial" w:cs="Arial" w:eastAsia="Arial" w:hAnsi="Arial"/>
          <w:color w:val="1A1A2E"/>
          <w:sz w:val="20"/>
          <w:szCs w:val="20"/>
        </w:rPr>
        <w:t xml:space="preserve">Commodities: independent cold start from scratch; no equity parameter transfer. Gate T3 must pass.</w:t>
      </w:r>
    </w:p>
    <w:p>
      <w:pPr>
        <w:pStyle w:val="ListParagraph"/>
        <w:numPr>
          <w:ilvl w:val="0"/>
          <w:numId w:val="3"/>
        </w:numPr>
        <w:spacing w:after="80"/>
      </w:pPr>
      <w:r>
        <w:rPr>
          <w:rFonts w:ascii="Arial" w:cs="Arial" w:eastAsia="Arial" w:hAnsi="Arial"/>
          <w:color w:val="1A1A2E"/>
          <w:sz w:val="20"/>
          <w:szCs w:val="20"/>
        </w:rPr>
        <w:t xml:space="preserve">Crypto (1-2hr windows): independent cold start; Deribit implied vol as primary signal; ARMA(0,1).</w:t>
      </w:r>
    </w:p>
    <w:p>
      <w:pPr>
        <w:pStyle w:val="Heading2"/>
        <w:spacing w:after="120" w:before="280"/>
      </w:pPr>
      <w:r>
        <w:rPr>
          <w:rFonts w:ascii="Arial" w:cs="Arial" w:eastAsia="Arial" w:hAnsi="Arial"/>
          <w:b/>
          <w:bCs/>
          <w:color w:val="2E75B6"/>
          <w:sz w:val="26"/>
          <w:szCs w:val="26"/>
        </w:rPr>
        <w:t xml:space="preserve">8.4 EMEA Cross-Timezone Protocol</w:t>
      </w:r>
    </w:p>
    <w:p>
      <w:pPr>
        <w:spacing w:after="120"/>
      </w:pPr>
      <w:r>
        <w:rPr>
          <w:rFonts w:ascii="Arial" w:cs="Arial" w:eastAsia="Arial" w:hAnsi="Arial"/>
          <w:color w:val="1A1A2E"/>
          <w:sz w:val="20"/>
          <w:szCs w:val="20"/>
        </w:rPr>
        <w:t xml:space="preserve">EMEA market close precedes US open. A major US-session event (e.g., geopolitical shock at 2pm EST) will not be reflected in the EMEA state vector for the following EMEA session without explicit propagation.</w:t>
      </w:r>
    </w:p>
    <w:p>
      <w:pPr>
        <w:pStyle w:val="Heading3"/>
        <w:spacing w:after="80" w:before="200"/>
      </w:pPr>
      <w:r>
        <w:rPr>
          <w:rFonts w:ascii="Arial" w:cs="Arial" w:eastAsia="Arial" w:hAnsi="Arial"/>
          <w:b/>
          <w:bCs/>
          <w:color w:val="4A4A6A"/>
          <w:sz w:val="22"/>
          <w:szCs w:val="22"/>
        </w:rPr>
        <w:t xml:space="preserve">Material Event Definition (Any One of the Following During US Hours 9:30am-4pm EST)</w:t>
      </w:r>
    </w:p>
    <w:p>
      <w:pPr>
        <w:pStyle w:val="ListParagraph"/>
        <w:numPr>
          <w:ilvl w:val="0"/>
          <w:numId w:val="2"/>
        </w:numPr>
        <w:spacing w:after="80"/>
      </w:pPr>
      <w:r>
        <w:rPr>
          <w:rFonts w:ascii="Arial" w:cs="Arial" w:eastAsia="Arial" w:hAnsi="Arial"/>
          <w:color w:val="1A1A2E"/>
          <w:sz w:val="20"/>
          <w:szCs w:val="20"/>
        </w:rPr>
        <w:t xml:space="preserve">VIX1D spike &gt; 2× its 20-day moving average</w:t>
      </w:r>
    </w:p>
    <w:p>
      <w:pPr>
        <w:pStyle w:val="ListParagraph"/>
        <w:numPr>
          <w:ilvl w:val="0"/>
          <w:numId w:val="2"/>
        </w:numPr>
        <w:spacing w:after="80"/>
      </w:pPr>
      <w:r>
        <w:rPr>
          <w:rFonts w:ascii="Arial" w:cs="Arial" w:eastAsia="Arial" w:hAnsi="Arial"/>
          <w:color w:val="1A1A2E"/>
          <w:sz w:val="20"/>
          <w:szCs w:val="20"/>
        </w:rPr>
        <w:t xml:space="preserve">10yr Treasury futures (ZN) move &gt; 0.5% in 15 minutes</w:t>
      </w:r>
    </w:p>
    <w:p>
      <w:pPr>
        <w:pStyle w:val="ListParagraph"/>
        <w:numPr>
          <w:ilvl w:val="0"/>
          <w:numId w:val="2"/>
        </w:numPr>
        <w:spacing w:after="80"/>
      </w:pPr>
      <w:r>
        <w:rPr>
          <w:rFonts w:ascii="Arial" w:cs="Arial" w:eastAsia="Arial" w:hAnsi="Arial"/>
          <w:color w:val="1A1A2E"/>
          <w:sz w:val="20"/>
          <w:szCs w:val="20"/>
        </w:rPr>
        <w:t xml:space="preserve">GSW 2s10s spread changes by &gt; 10bps</w:t>
      </w:r>
    </w:p>
    <w:p>
      <w:pPr>
        <w:pStyle w:val="ListParagraph"/>
        <w:numPr>
          <w:ilvl w:val="0"/>
          <w:numId w:val="2"/>
        </w:numPr>
        <w:spacing w:after="80"/>
      </w:pPr>
      <w:r>
        <w:rPr>
          <w:rFonts w:ascii="Arial" w:cs="Arial" w:eastAsia="Arial" w:hAnsi="Arial"/>
          <w:color w:val="1A1A2E"/>
          <w:sz w:val="20"/>
          <w:szCs w:val="20"/>
        </w:rPr>
        <w:t xml:space="preserve">Any published circuit breaker trigger fired (Section 9.3)</w:t>
      </w:r>
    </w:p>
    <w:p>
      <w:pPr>
        <w:pStyle w:val="Heading3"/>
        <w:spacing w:after="80" w:before="200"/>
      </w:pPr>
      <w:r>
        <w:rPr>
          <w:rFonts w:ascii="Arial" w:cs="Arial" w:eastAsia="Arial" w:hAnsi="Arial"/>
          <w:b/>
          <w:bCs/>
          <w:color w:val="4A4A6A"/>
          <w:sz w:val="22"/>
          <w:szCs w:val="22"/>
        </w:rPr>
        <w:t xml:space="preserve">Propagation Rule for EMEA — Intentionally Asymmetric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00"/>
              <w:left w:type="dxa" w:w="180"/>
              <w:bottom w:type="dxa" w:w="100"/>
              <w:right w:type="dxa" w:w="120"/>
            </w:tcMar>
          </w:tcPr>
          <w:p>
            <w:pPr>
              <w:spacing w:after="40"/>
            </w:pPr>
            <w:r>
              <w:rPr>
                <w:rFonts w:ascii="Courier New" w:cs="Courier New" w:eastAsia="Courier New" w:hAnsi="Courier New"/>
                <w:color w:val="1B3A5C"/>
                <w:sz w:val="18"/>
                <w:szCs w:val="18"/>
              </w:rPr>
              <w:t xml:space="preserve"># Conservative asymmetric override: transmits US STRESS but not US RELIEF</w:t>
            </w:r>
          </w:p>
          <w:p>
            <w:pPr>
              <w:spacing w:after="40"/>
            </w:pPr>
            <w:r>
              <w:rPr>
                <w:rFonts w:ascii="Courier New" w:cs="Courier New" w:eastAsia="Courier New" w:hAnsi="Courier New"/>
                <w:color w:val="1B3A5C"/>
                <w:sz w:val="18"/>
                <w:szCs w:val="18"/>
              </w:rPr>
              <w:t xml:space="preserve">IF material_event_detected AND event_time BETWEEN 12pm-4pm EST:</w:t>
            </w:r>
          </w:p>
          <w:p>
            <w:pPr>
              <w:spacing w:after="40"/>
            </w:pPr>
            <w:r>
              <w:rPr>
                <w:rFonts w:ascii="Courier New" w:cs="Courier New" w:eastAsia="Courier New" w:hAnsi="Courier New"/>
                <w:color w:val="1B3A5C"/>
                <w:sz w:val="18"/>
                <w:szCs w:val="18"/>
              </w:rPr>
              <w:t xml:space="preserve">    for PC in [Vol_PC1, Vol_PC2, Vol_PC3]:</w:t>
            </w:r>
          </w:p>
          <w:p>
            <w:pPr>
              <w:spacing w:after="40"/>
            </w:pPr>
            <w:r>
              <w:rPr>
                <w:rFonts w:ascii="Courier New" w:cs="Courier New" w:eastAsia="Courier New" w:hAnsi="Courier New"/>
                <w:color w:val="1B3A5C"/>
                <w:sz w:val="18"/>
                <w:szCs w:val="18"/>
              </w:rPr>
              <w:t xml:space="preserve">        EMEA_state_vector[PC] = max(US_session_value[PC], EMEA_previous_value[PC])</w:t>
            </w:r>
          </w:p>
          <w:p>
            <w:pPr>
              <w:spacing w:after="40"/>
            </w:pPr>
            <w:r>
              <w:rPr>
                <w:rFonts w:ascii="Courier New" w:cs="Courier New" w:eastAsia="Courier New" w:hAnsi="Courier New"/>
                <w:color w:val="1B3A5C"/>
                <w:sz w:val="18"/>
                <w:szCs w:val="18"/>
              </w:rPr>
              <w:t xml:space="preserve">    EMEA_state_vector['yield_factors'] = US_session_values  # yields already correlated at open</w:t>
            </w:r>
          </w:p>
          <w:p>
            <w:pPr>
              <w:spacing w:after="40"/>
            </w:pPr>
            <w:r>
              <w:rPr>
                <w:rFonts w:ascii="Courier New" w:cs="Courier New" w:eastAsia="Courier New" w:hAnsi="Courier New"/>
                <w:color w:val="1B3A5C"/>
                <w:sz w:val="18"/>
                <w:szCs w:val="18"/>
              </w:rPr>
              <w:t xml:space="preserve">    EMEA_state_vector['override_flag'] = 'EMEA_OVERRIDE'</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 Recovery: override applies for 1 EMEA session only; reverts to standard calculation next day</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 Rationale for max() asymmetry:</w:t>
            </w:r>
          </w:p>
          <w:p>
            <w:pPr>
              <w:spacing w:after="40"/>
            </w:pPr>
            <w:r>
              <w:rPr>
                <w:rFonts w:ascii="Courier New" w:cs="Courier New" w:eastAsia="Courier New" w:hAnsi="Courier New"/>
                <w:color w:val="1B3A5C"/>
                <w:sz w:val="18"/>
                <w:szCs w:val="18"/>
              </w:rPr>
              <w:t xml:space="preserve"># Under-estimating volatility during calm (missing a relief rally) &lt; </w:t>
            </w:r>
          </w:p>
          <w:p>
            <w:pPr>
              <w:spacing w:after="40"/>
            </w:pPr>
            <w:r>
              <w:rPr>
                <w:rFonts w:ascii="Courier New" w:cs="Courier New" w:eastAsia="Courier New" w:hAnsi="Courier New"/>
                <w:color w:val="1B3A5C"/>
                <w:sz w:val="18"/>
                <w:szCs w:val="18"/>
              </w:rPr>
              <w:t xml:space="preserve"># Under-estimating volatility during stress (exposing capital to tail risk)</w:t>
            </w:r>
          </w:p>
          <w:p>
            <w:pPr>
              <w:spacing w:after="40"/>
            </w:pPr>
            <w:r>
              <w:rPr>
                <w:rFonts w:ascii="Courier New" w:cs="Courier New" w:eastAsia="Courier New" w:hAnsi="Courier New"/>
                <w:color w:val="1B3A5C"/>
                <w:sz w:val="18"/>
                <w:szCs w:val="18"/>
              </w:rPr>
              <w:t xml:space="preserve"># Conservative by design; accepted cost is ~1 session of slight vol over-estimation after US calm</w:t>
            </w:r>
          </w:p>
          <w:p>
            <w:pPr>
              <w:spacing w:after="40"/>
            </w:pPr>
            <w:r>
              <w:rPr>
                <w:rFonts w:ascii="Courier New" w:cs="Courier New" w:eastAsia="Courier New" w:hAnsi="Courier New"/>
                <w:color w:val="1B3A5C"/>
                <w:sz w:val="18"/>
                <w:szCs w:val="18"/>
              </w:rPr>
              <w:t xml:space="preserve"/>
            </w:r>
          </w:p>
          <w:p>
            <w:pPr>
              <w:spacing w:after="40"/>
            </w:pPr>
            <w:r>
              <w:rPr>
                <w:rFonts w:ascii="Courier New" w:cs="Courier New" w:eastAsia="Courier New" w:hAnsi="Courier New"/>
                <w:color w:val="1B3A5C"/>
                <w:sz w:val="18"/>
                <w:szCs w:val="18"/>
              </w:rPr>
              <w:t xml:space="preserve"># Backtest mode only (never live): symmetric override available</w:t>
            </w:r>
          </w:p>
          <w:p>
            <w:pPr>
              <w:spacing w:after="40"/>
            </w:pPr>
            <w:r>
              <w:rPr>
                <w:rFonts w:ascii="Courier New" w:cs="Courier New" w:eastAsia="Courier New" w:hAnsi="Courier New"/>
                <w:color w:val="1B3A5C"/>
                <w:sz w:val="18"/>
                <w:szCs w:val="18"/>
              </w:rPr>
              <w:t xml:space="preserve"># EMEA_state_vector[PC] = US_session_value[PC]  # do not use in production</w:t>
            </w:r>
          </w:p>
        </w:tc>
      </w:tr>
    </w:tbl>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9. Model Governance</w:t>
      </w:r>
    </w:p>
    <w:p>
      <w:pPr>
        <w:pStyle w:val="Heading2"/>
        <w:spacing w:after="120" w:before="280"/>
      </w:pPr>
      <w:r>
        <w:rPr>
          <w:rFonts w:ascii="Arial" w:cs="Arial" w:eastAsia="Arial" w:hAnsi="Arial"/>
          <w:b/>
          <w:bCs/>
          <w:color w:val="2E75B6"/>
          <w:sz w:val="26"/>
          <w:szCs w:val="26"/>
        </w:rPr>
        <w:t xml:space="preserve">9.1 Version Registry and Rollback</w:t>
      </w:r>
    </w:p>
    <w:p>
      <w:pPr>
        <w:pStyle w:val="ListParagraph"/>
        <w:numPr>
          <w:ilvl w:val="0"/>
          <w:numId w:val="2"/>
        </w:numPr>
        <w:spacing w:after="80"/>
      </w:pPr>
      <w:r>
        <w:rPr>
          <w:rFonts w:ascii="Arial" w:cs="Arial" w:eastAsia="Arial" w:hAnsi="Arial"/>
          <w:color w:val="1A1A2E"/>
          <w:sz w:val="20"/>
          <w:szCs w:val="20"/>
        </w:rPr>
        <w:t xml:space="preserve">Each Saturday EM output stored as v_YYYY_MM_DD in SQLite registry. Retention: 52 versions (rolling 1 year).</w:t>
      </w:r>
    </w:p>
    <w:p>
      <w:pPr>
        <w:pStyle w:val="ListParagraph"/>
        <w:numPr>
          <w:ilvl w:val="0"/>
          <w:numId w:val="2"/>
        </w:numPr>
        <w:spacing w:after="80"/>
      </w:pPr>
      <w:r>
        <w:rPr>
          <w:rFonts w:ascii="Arial" w:cs="Arial" w:eastAsia="Arial" w:hAnsi="Arial"/>
          <w:color w:val="1A1A2E"/>
          <w:sz w:val="20"/>
          <w:szCs w:val="20"/>
        </w:rPr>
        <w:t xml:space="preserve">On Friday close: compute ex-post MAE of 1-day ahead return forecast for the week.</w:t>
      </w:r>
    </w:p>
    <w:p>
      <w:pPr>
        <w:pStyle w:val="ListParagraph"/>
        <w:numPr>
          <w:ilvl w:val="0"/>
          <w:numId w:val="2"/>
        </w:numPr>
        <w:spacing w:after="80"/>
      </w:pPr>
      <w:r>
        <w:rPr>
          <w:rFonts w:ascii="Arial" w:cs="Arial" w:eastAsia="Arial" w:hAnsi="Arial"/>
          <w:color w:val="1A1A2E"/>
          <w:sz w:val="20"/>
          <w:szCs w:val="20"/>
        </w:rPr>
        <w:t xml:space="preserve">If current version MAE &gt; 1.2× previous version MAE: automatic rollback to previous version for the following week. No human approval.</w:t>
      </w:r>
    </w:p>
    <w:p>
      <w:pPr>
        <w:pStyle w:val="ListParagraph"/>
        <w:numPr>
          <w:ilvl w:val="0"/>
          <w:numId w:val="2"/>
        </w:numPr>
        <w:spacing w:after="80"/>
      </w:pPr>
      <w:r>
        <w:rPr>
          <w:rFonts w:ascii="Arial" w:cs="Arial" w:eastAsia="Arial" w:hAnsi="Arial"/>
          <w:color w:val="1A1A2E"/>
          <w:sz w:val="20"/>
          <w:szCs w:val="20"/>
        </w:rPr>
        <w:t xml:space="preserve">Two consecutive automatic rollbacks: flag for PMO review within 5 business days.</w:t>
      </w:r>
    </w:p>
    <w:p>
      <w:pPr>
        <w:pStyle w:val="Heading2"/>
        <w:spacing w:after="120" w:before="280"/>
      </w:pPr>
      <w:r>
        <w:rPr>
          <w:rFonts w:ascii="Arial" w:cs="Arial" w:eastAsia="Arial" w:hAnsi="Arial"/>
          <w:b/>
          <w:bCs/>
          <w:color w:val="2E75B6"/>
          <w:sz w:val="26"/>
          <w:szCs w:val="26"/>
        </w:rPr>
        <w:t xml:space="preserve">9.2 Walk-Forward Validation — Three Phased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none" w:color="FFFFFF" w:sz="0"/>
            </w:tcBorders>
            <w:shd w:fill="EEF3F8" w:val="clear"/>
            <w:tcMar>
              <w:top w:type="dxa" w:w="100"/>
              <w:left w:type="dxa" w:w="180"/>
              <w:bottom w:type="dxa" w:w="100"/>
              <w:right w:type="dxa" w:w="120"/>
            </w:tcMar>
          </w:tcPr>
          <w:p>
            <w:pPr>
              <w:spacing w:after="0"/>
            </w:pPr>
            <w:r>
              <w:rPr>
                <w:rFonts w:ascii="Arial" w:cs="Arial" w:eastAsia="Arial" w:hAnsi="Arial"/>
                <w:b/>
                <w:bCs/>
                <w:color w:val="2E75B6"/>
                <w:sz w:val="20"/>
                <w:szCs w:val="20"/>
              </w:rPr>
              <w:t xml:space="preserve">Sequencing rule: </w:t>
            </w:r>
            <w:r>
              <w:rPr>
                <w:rFonts w:ascii="Arial" w:cs="Arial" w:eastAsia="Arial" w:hAnsi="Arial"/>
                <w:color w:val="1A1A2E"/>
                <w:sz w:val="20"/>
                <w:szCs w:val="20"/>
              </w:rPr>
              <w:t xml:space="preserve">Gates are deployment-phase specific. Passing Gate 1 allows US equities to go live even if Gate 3 (commodities) has not been run. Failing a gate keeps that asset class in paper trading; other asset classes are unaffected.</w:t>
            </w:r>
          </w:p>
        </w:tc>
      </w:tr>
    </w:tbl>
    <w:p>
      <w:pPr>
        <w:spacing w:after="80"/>
      </w:pPr>
      <w:r>
        <w:rPr>
          <w:rFonts w:ascii="Arial" w:cs="Arial" w:eastAsia="Arial" w:hAnsi="Arial"/>
          <w:color w:val="1A1A2E"/>
          <w:sz w:val="20"/>
          <w:szCs w:val="20"/>
        </w:rPr>
        <w:t xml:space="preserve"/>
      </w:r>
    </w:p>
    <w:p>
      <w:pPr>
        <w:pStyle w:val="Heading3"/>
        <w:spacing w:after="80" w:before="200"/>
      </w:pPr>
      <w:r>
        <w:rPr>
          <w:rFonts w:ascii="Arial" w:cs="Arial" w:eastAsia="Arial" w:hAnsi="Arial"/>
          <w:b/>
          <w:bCs/>
          <w:color w:val="4A4A6A"/>
          <w:sz w:val="22"/>
          <w:szCs w:val="22"/>
        </w:rPr>
        <w:t xml:space="preserve">Gate 1 — US Equities Deployment (T1 and T4 both must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4160"/>
      </w:tblGrid>
      <w:tr>
        <w:tc>
          <w:tcPr>
            <w:tcW w:type="dxa" w:w="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Test</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Scenario</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Data Window</w:t>
            </w:r>
          </w:p>
        </w:tc>
        <w:tc>
          <w:tcPr>
            <w:tcW w:type="dxa" w:w="4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Success Criterion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2022 equity-bond correlation flip (negative to positive)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Jan 2021 – Dec 2022</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Regime classification accuracy &gt; 70%; Floating ARMA probability &gt; 0.50 by Feb 15, 2022</w:t>
            </w:r>
          </w:p>
        </w:tc>
      </w:tr>
      <w:tr>
        <w:tc>
          <w:tcPr>
            <w:tcW w:type="dxa" w:w="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T4</w:t>
            </w:r>
          </w:p>
        </w:tc>
        <w:tc>
          <w:tcPr>
            <w:tcW w:type="dxa" w:w="2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2021 tech peak / 2022 drawdown (momentum to reversal)</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Jan 2020 – Dec 2022</w:t>
            </w:r>
          </w:p>
        </w:tc>
        <w:tc>
          <w:tcPr>
            <w:tcW w:type="dxa" w:w="4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Growth ARMA probability &gt; 0.60 in Nov 2021; drops below 0.30 by Apr 2022</w:t>
            </w:r>
          </w:p>
        </w:tc>
      </w:tr>
    </w:tbl>
    <w:p>
      <w:pPr>
        <w:pStyle w:val="Heading3"/>
        <w:spacing w:after="80" w:before="200"/>
      </w:pPr>
      <w:r>
        <w:rPr>
          <w:rFonts w:ascii="Arial" w:cs="Arial" w:eastAsia="Arial" w:hAnsi="Arial"/>
          <w:b/>
          <w:bCs/>
          <w:color w:val="4A4A6A"/>
          <w:sz w:val="22"/>
          <w:szCs w:val="22"/>
        </w:rPr>
        <w:t xml:space="preserve">Gate 2 — All-Asset Volatility Deployment (covers EMEA)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4160"/>
      </w:tblGrid>
      <w:tr>
        <w:tc>
          <w:tcPr>
            <w:tcW w:type="dxa" w:w="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Test</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Scenario</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Data Window</w:t>
            </w:r>
          </w:p>
        </w:tc>
        <w:tc>
          <w:tcPr>
            <w:tcW w:type="dxa" w:w="4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Success Criterion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T2</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March 2020 volatility spike (VIX 12→82)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Jan 2019 – Dec 2020</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Vol PC₁ captures &gt;80% variance; Floating ARMA probability &gt; 0.70 during week of Mar 16-20, 2020</w:t>
            </w:r>
          </w:p>
        </w:tc>
      </w:tr>
    </w:tbl>
    <w:p>
      <w:pPr>
        <w:pStyle w:val="Heading3"/>
        <w:spacing w:after="80" w:before="200"/>
      </w:pPr>
      <w:r>
        <w:rPr>
          <w:rFonts w:ascii="Arial" w:cs="Arial" w:eastAsia="Arial" w:hAnsi="Arial"/>
          <w:b/>
          <w:bCs/>
          <w:color w:val="4A4A6A"/>
          <w:sz w:val="22"/>
          <w:szCs w:val="22"/>
        </w:rPr>
        <w:t xml:space="preserve">Gate 3 — Commodities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4160"/>
      </w:tblGrid>
      <w:tr>
        <w:tc>
          <w:tcPr>
            <w:tcW w:type="dxa" w:w="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Test</w:t>
            </w:r>
          </w:p>
        </w:tc>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Scenario</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Data Window</w:t>
            </w:r>
          </w:p>
        </w:tc>
        <w:tc>
          <w:tcPr>
            <w:tcW w:type="dxa" w:w="4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Success Criterion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Natural gas 2022 price spike (Henry Hub $3→$9)</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Jan 2021 – Dec 2022</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Commodity tail index α &lt; 2.0 during spike; jump intensity λ(t) peaks within 2 days of price peak</w:t>
            </w:r>
          </w:p>
        </w:tc>
      </w:tr>
    </w:tbl>
    <w:p>
      <w:pPr>
        <w:spacing w:after="80"/>
      </w:pPr>
      <w:r>
        <w:rPr>
          <w:rFonts w:ascii="Arial" w:cs="Arial" w:eastAsia="Arial" w:hAnsi="Arial"/>
          <w:color w:val="1A1A2E"/>
          <w:sz w:val="20"/>
          <w:szCs w:val="20"/>
        </w:rPr>
        <w:t xml:space="preserve"/>
      </w:r>
    </w:p>
    <w:p>
      <w:pPr>
        <w:spacing w:after="120"/>
      </w:pPr>
      <w:r>
        <w:rPr>
          <w:rFonts w:ascii="Arial" w:cs="Arial" w:eastAsia="Arial" w:hAnsi="Arial"/>
          <w:color w:val="1A1A2E"/>
          <w:sz w:val="20"/>
          <w:szCs w:val="20"/>
        </w:rPr>
        <w:t xml:space="preserve">If any test fails: the system remains in paper trading for that asset class until the failure is diagnosed and the model is re-estimated. US equities continue trading unchanged if Gate 3 (commodities) fails.</w:t>
      </w:r>
    </w:p>
    <w:p>
      <w:pPr>
        <w:pStyle w:val="Heading2"/>
        <w:spacing w:after="120" w:before="280"/>
      </w:pPr>
      <w:r>
        <w:rPr>
          <w:rFonts w:ascii="Arial" w:cs="Arial" w:eastAsia="Arial" w:hAnsi="Arial"/>
          <w:b/>
          <w:bCs/>
          <w:color w:val="2E75B6"/>
          <w:sz w:val="26"/>
          <w:szCs w:val="26"/>
        </w:rPr>
        <w:t xml:space="preserve">9.3 Circuit Breakers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100"/>
        <w:gridCol w:w="1760"/>
        <w:gridCol w:w="1800"/>
      </w:tblGrid>
      <w:tr>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Trigger</w:t>
            </w:r>
          </w:p>
        </w:tc>
        <w:tc>
          <w:tcPr>
            <w:tcW w:type="dxa" w:w="21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Condition</w:t>
            </w:r>
          </w:p>
        </w:tc>
        <w:tc>
          <w:tcPr>
            <w:tcW w:type="dxa" w:w="21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Automatic Action</w:t>
            </w:r>
          </w:p>
        </w:tc>
        <w:tc>
          <w:tcPr>
            <w:tcW w:type="dxa" w:w="17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Recovery Condition</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Max Duration Before Force-Reset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Bootstrap envelope too wide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Width &gt; 3× 6-month median</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Reduce all position sizes 75%</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Envelope &lt; 2× median for 5 consecutive days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 trading days then halve severity for 1 week</w:t>
            </w:r>
          </w:p>
        </w:tc>
      </w:tr>
      <w:tr>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VVIX extreme</w:t>
            </w:r>
          </w:p>
        </w:tc>
        <w:tc>
          <w:tcPr>
            <w:tcW w:type="dxa" w:w="2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VVIX &gt; 2× VIX for 3 consecutive minutes</w:t>
            </w:r>
          </w:p>
        </w:tc>
        <w:tc>
          <w:tcPr>
            <w:tcW w:type="dxa" w:w="2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Emergency liquidation; 30-min halt; 50% sizing on resume</w:t>
            </w:r>
          </w:p>
        </w:tc>
        <w:tc>
          <w:tcPr>
            <w:tcW w:type="dxa" w:w="1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VVIX &lt; 1.5× VIX for 3 days</w:t>
            </w:r>
          </w:p>
        </w:tc>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 trading days then halve severity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Bootstrap extreme</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Bootstrap envelope &gt; 3× median (no persistence needed)</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Emergency liquidation (same as VVIX extreme)</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Envelope &lt; 2× median for 5 days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 trading days then halve severity</w:t>
            </w:r>
          </w:p>
        </w:tc>
      </w:tr>
      <w:tr>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LOESS non-convergence</w:t>
            </w:r>
          </w:p>
        </w:tc>
        <w:tc>
          <w:tcPr>
            <w:tcW w:type="dxa" w:w="2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Residuals &gt; 5σ</w:t>
            </w:r>
          </w:p>
        </w:tc>
        <w:tc>
          <w:tcPr>
            <w:tcW w:type="dxa" w:w="2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Fall back to 20-day SMA for that day; log error</w:t>
            </w:r>
          </w:p>
        </w:tc>
        <w:tc>
          <w:tcPr>
            <w:tcW w:type="dxa" w:w="1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LOESS converges on next daily run</w:t>
            </w:r>
          </w:p>
        </w:tc>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 day (auto-retry)</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Regime probability locked</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Any P(regime) &gt; 0.95 for 10+ consecutive days</w:t>
            </w:r>
          </w:p>
        </w:tc>
        <w:tc>
          <w:tcPr>
            <w:tcW w:type="dxa" w:w="2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Force full EM re-estimation (overrides weekly schedule)</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Re-estimation completes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Until EM finishes</w:t>
            </w:r>
          </w:p>
        </w:tc>
      </w:tr>
      <w:tr>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Multi-feed staleness</w:t>
            </w:r>
          </w:p>
        </w:tc>
        <w:tc>
          <w:tcPr>
            <w:tcW w:type="dxa" w:w="2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 primary feeds stale &gt;5 min</w:t>
            </w:r>
          </w:p>
        </w:tc>
        <w:tc>
          <w:tcPr>
            <w:tcW w:type="dxa" w:w="2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Reduce position size 50%; if &gt;30 min: liquidate and halt</w:t>
            </w:r>
          </w:p>
        </w:tc>
        <w:tc>
          <w:tcPr>
            <w:tcW w:type="dxa" w:w="17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Feeds restore</w:t>
            </w:r>
          </w:p>
        </w:tc>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30 minutes then reassess</w:t>
            </w:r>
          </w:p>
        </w:tc>
      </w:tr>
    </w:tbl>
    <w:p>
      <w:pPr>
        <w:pStyle w:val="Heading2"/>
        <w:spacing w:after="120" w:before="280"/>
      </w:pPr>
      <w:r>
        <w:rPr>
          <w:rFonts w:ascii="Arial" w:cs="Arial" w:eastAsia="Arial" w:hAnsi="Arial"/>
          <w:b/>
          <w:bCs/>
          <w:color w:val="2E75B6"/>
          <w:sz w:val="26"/>
          <w:szCs w:val="26"/>
        </w:rPr>
        <w:t xml:space="preserve">9.4 Evaluation Metrics — PMO Weekly Review (30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900"/>
        <w:gridCol w:w="1680"/>
        <w:gridCol w:w="1780"/>
      </w:tblGrid>
      <w:tr>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Metric</w:t>
            </w:r>
          </w:p>
        </w:tc>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Definition</w:t>
            </w:r>
          </w:p>
        </w:tc>
        <w:tc>
          <w:tcPr>
            <w:tcW w:type="dxa" w:w="19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Warning Threshold</w:t>
            </w:r>
          </w:p>
        </w:tc>
        <w:tc>
          <w:tcPr>
            <w:tcW w:type="dxa" w:w="16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Automatic Action</w:t>
            </w:r>
          </w:p>
        </w:tc>
        <w:tc>
          <w:tcPr>
            <w:tcW w:type="dxa" w:w="178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Human Escalation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Regime classification accuracy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vs ex-post smoothed labels (3-month backward-looking)</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&lt; 65% for 2 consecutive weeks</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None (advisory only)</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PMO review at next grooming</w:t>
            </w:r>
          </w:p>
        </w:tc>
      </w:tr>
      <w:tr>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Bootstrap calibration</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95% CI actual coverage of true correlation</w:t>
            </w:r>
          </w:p>
        </w:tc>
        <w:tc>
          <w:tcPr>
            <w:tcW w:type="dxa" w:w="19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&lt; 90% coverage for 3 weeks</w:t>
            </w:r>
          </w:p>
        </w:tc>
        <w:tc>
          <w:tcPr>
            <w:tcW w:type="dxa" w:w="168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Automatic rollback to prior version</w:t>
            </w:r>
          </w:p>
        </w:tc>
        <w:tc>
          <w:tcPr>
            <w:tcW w:type="dxa" w:w="178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If rollback occurs twice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Forecast error by regime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MSE decomposition. Floating expected &gt; 2× Fixed MSE</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Floating MSE &gt; 3× Fixed MSE for 1 week</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Reduce position sizes 50% for 1 week</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If persists after reduction</w:t>
            </w:r>
          </w:p>
        </w:tc>
      </w:tr>
      <w:tr>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ARMA order stability</w:t>
            </w:r>
          </w:p>
        </w:tc>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Frequency of (p,q) changes per regime per year</w:t>
            </w:r>
          </w:p>
        </w:tc>
        <w:tc>
          <w:tcPr>
            <w:tcW w:type="dxa" w:w="19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&gt; 1 change per regime per year</w:t>
            </w:r>
          </w:p>
        </w:tc>
        <w:tc>
          <w:tcPr>
            <w:tcW w:type="dxa" w:w="168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Log overfitting flag</w:t>
            </w:r>
          </w:p>
        </w:tc>
        <w:tc>
          <w:tcPr>
            <w:tcW w:type="dxa" w:w="178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PMO review to reassess prior selection</w:t>
            </w:r>
          </w:p>
        </w:tc>
      </w:tr>
    </w:tbl>
    <w:p>
      <w:pPr>
        <w:spacing w:after="80"/>
      </w:pPr>
      <w:r>
        <w:rPr>
          <w:rFonts w:ascii="Arial" w:cs="Arial" w:eastAsia="Arial" w:hAnsi="Arial"/>
          <w:color w:val="1A1A2E"/>
          <w:sz w:val="20"/>
          <w:szCs w:val="20"/>
        </w:rPr>
        <w:t xml:space="preserve"/>
      </w:r>
    </w:p>
    <w:p>
      <w:pPr>
        <w:spacing w:after="120"/>
      </w:pPr>
      <w:r>
        <w:rPr>
          <w:rFonts w:ascii="Arial" w:cs="Arial" w:eastAsia="Arial" w:hAnsi="Arial"/>
          <w:color w:val="1A1A2E"/>
          <w:sz w:val="20"/>
          <w:szCs w:val="20"/>
        </w:rPr>
        <w:t xml:space="preserve">Human escalation threshold: two metrics simultaneously failing warning thresholds for two consecutive weeks requires PMO chair authorization to pause or structurally modify the system.</w:t>
      </w:r>
    </w:p>
    <w:p>
      <w:pPr>
        <w:pStyle w:val="Heading2"/>
        <w:spacing w:after="120" w:before="280"/>
      </w:pPr>
      <w:r>
        <w:rPr>
          <w:rFonts w:ascii="Arial" w:cs="Arial" w:eastAsia="Arial" w:hAnsi="Arial"/>
          <w:b/>
          <w:bCs/>
          <w:color w:val="2E75B6"/>
          <w:sz w:val="26"/>
          <w:szCs w:val="26"/>
        </w:rPr>
        <w:t xml:space="preserve">9.5 Disaster Recovery — Machine Failure</w:t>
      </w:r>
    </w:p>
    <w:p>
      <w:pPr>
        <w:pStyle w:val="Heading3"/>
        <w:spacing w:after="80" w:before="200"/>
      </w:pPr>
      <w:r>
        <w:rPr>
          <w:rFonts w:ascii="Arial" w:cs="Arial" w:eastAsia="Arial" w:hAnsi="Arial"/>
          <w:b/>
          <w:bCs/>
          <w:color w:val="4A4A6A"/>
          <w:sz w:val="22"/>
          <w:szCs w:val="22"/>
        </w:rPr>
        <w:t xml:space="preserve">RTX 5090 (Inference / Execution) Failure During Market Hours</w:t>
      </w:r>
    </w:p>
    <w:p>
      <w:pPr>
        <w:pStyle w:val="ListParagraph"/>
        <w:numPr>
          <w:ilvl w:val="0"/>
          <w:numId w:val="3"/>
        </w:numPr>
        <w:spacing w:after="80"/>
      </w:pPr>
      <w:r>
        <w:rPr>
          <w:rFonts w:ascii="Arial" w:cs="Arial" w:eastAsia="Arial" w:hAnsi="Arial"/>
          <w:color w:val="1A1A2E"/>
          <w:sz w:val="20"/>
          <w:szCs w:val="20"/>
        </w:rPr>
        <w:t xml:space="preserve">M3 Studio detects via heartbeat if RTX 5090 unresponsive for &gt; 30 seconds.</w:t>
      </w:r>
    </w:p>
    <w:p>
      <w:pPr>
        <w:pStyle w:val="ListParagraph"/>
        <w:numPr>
          <w:ilvl w:val="0"/>
          <w:numId w:val="3"/>
        </w:numPr>
        <w:spacing w:after="80"/>
      </w:pPr>
      <w:r>
        <w:rPr>
          <w:rFonts w:ascii="Arial" w:cs="Arial" w:eastAsia="Arial" w:hAnsi="Arial"/>
          <w:color w:val="1A1A2E"/>
          <w:sz w:val="20"/>
          <w:szCs w:val="20"/>
        </w:rPr>
        <w:t xml:space="preserve">M3 Studio immediately: holds all open positions (no new orders; no closes); alerts PMO via dashboard and email.</w:t>
      </w:r>
    </w:p>
    <w:p>
      <w:pPr>
        <w:pStyle w:val="ListParagraph"/>
        <w:numPr>
          <w:ilvl w:val="0"/>
          <w:numId w:val="3"/>
        </w:numPr>
        <w:spacing w:after="80"/>
      </w:pPr>
      <w:r>
        <w:rPr>
          <w:rFonts w:ascii="Arial" w:cs="Arial" w:eastAsia="Arial" w:hAnsi="Arial"/>
          <w:color w:val="1A1A2E"/>
          <w:sz w:val="20"/>
          <w:szCs w:val="20"/>
        </w:rPr>
        <w:t xml:space="preserve">M3 Studio attempts automatic RTX 5090 service restart.</w:t>
      </w:r>
    </w:p>
    <w:p>
      <w:pPr>
        <w:pStyle w:val="ListParagraph"/>
        <w:numPr>
          <w:ilvl w:val="0"/>
          <w:numId w:val="3"/>
        </w:numPr>
        <w:spacing w:after="80"/>
      </w:pPr>
      <w:r>
        <w:rPr>
          <w:rFonts w:ascii="Arial" w:cs="Arial" w:eastAsia="Arial" w:hAnsi="Arial"/>
          <w:color w:val="1A1A2E"/>
          <w:sz w:val="20"/>
          <w:szCs w:val="20"/>
        </w:rPr>
        <w:t xml:space="preserve">If restart successful within 5 minutes: resume normal operation. Resume from last persisted state.</w:t>
      </w:r>
    </w:p>
    <w:p>
      <w:pPr>
        <w:pStyle w:val="ListParagraph"/>
        <w:numPr>
          <w:ilvl w:val="0"/>
          <w:numId w:val="3"/>
        </w:numPr>
        <w:spacing w:after="80"/>
      </w:pPr>
      <w:r>
        <w:rPr>
          <w:rFonts w:ascii="Arial" w:cs="Arial" w:eastAsia="Arial" w:hAnsi="Arial"/>
          <w:color w:val="1A1A2E"/>
          <w:sz w:val="20"/>
          <w:szCs w:val="20"/>
        </w:rPr>
        <w:t xml:space="preserve">If restart fails: hold all positions until market close. After close: liquidate all positions at next day's open via IBKR Web API fallback. PMO notification required.</w:t>
      </w:r>
    </w:p>
    <w:p>
      <w:pPr>
        <w:spacing w:after="120"/>
      </w:pPr>
      <w:r>
        <w:rPr>
          <w:rFonts w:ascii="Arial" w:cs="Arial" w:eastAsia="Arial" w:hAnsi="Arial"/>
          <w:color w:val="1A1A2E"/>
          <w:sz w:val="20"/>
          <w:szCs w:val="20"/>
        </w:rPr>
        <w:t xml:space="preserve">RTX 5090 restart: M3 Studio queries IBKR for all current positions and open orders on startup. IBKR is the authoritative source of truth for position state, overwriting any locally cached values. Internal target position state is derived from actual IBKR positions plus pending open orders.</w:t>
      </w:r>
    </w:p>
    <w:p>
      <w:pPr>
        <w:pStyle w:val="Heading3"/>
        <w:spacing w:after="80" w:before="200"/>
      </w:pPr>
      <w:r>
        <w:rPr>
          <w:rFonts w:ascii="Arial" w:cs="Arial" w:eastAsia="Arial" w:hAnsi="Arial"/>
          <w:b/>
          <w:bCs/>
          <w:color w:val="4A4A6A"/>
          <w:sz w:val="22"/>
          <w:szCs w:val="22"/>
        </w:rPr>
        <w:t xml:space="preserve">DGX Spark (Training) Failure During Weekly EM</w:t>
      </w:r>
    </w:p>
    <w:p>
      <w:pPr>
        <w:pStyle w:val="ListParagraph"/>
        <w:numPr>
          <w:ilvl w:val="0"/>
          <w:numId w:val="2"/>
        </w:numPr>
        <w:spacing w:after="80"/>
      </w:pPr>
      <w:r>
        <w:rPr>
          <w:rFonts w:ascii="Arial" w:cs="Arial" w:eastAsia="Arial" w:hAnsi="Arial"/>
          <w:color w:val="1A1A2E"/>
          <w:sz w:val="20"/>
          <w:szCs w:val="20"/>
        </w:rPr>
        <w:t xml:space="preserve">If Saturday EM job fails to complete by Sunday 2am: skip that week's EM; continue with previous week's model version.</w:t>
      </w:r>
    </w:p>
    <w:p>
      <w:pPr>
        <w:pStyle w:val="ListParagraph"/>
        <w:numPr>
          <w:ilvl w:val="0"/>
          <w:numId w:val="2"/>
        </w:numPr>
        <w:spacing w:after="80"/>
      </w:pPr>
      <w:r>
        <w:rPr>
          <w:rFonts w:ascii="Arial" w:cs="Arial" w:eastAsia="Arial" w:hAnsi="Arial"/>
          <w:color w:val="1A1A2E"/>
          <w:sz w:val="20"/>
          <w:szCs w:val="20"/>
        </w:rPr>
        <w:t xml:space="preserve">Log failure; retry next Saturday automatically.</w:t>
      </w:r>
    </w:p>
    <w:p>
      <w:pPr>
        <w:pStyle w:val="ListParagraph"/>
        <w:numPr>
          <w:ilvl w:val="0"/>
          <w:numId w:val="2"/>
        </w:numPr>
        <w:spacing w:after="80"/>
      </w:pPr>
      <w:r>
        <w:rPr>
          <w:rFonts w:ascii="Arial" w:cs="Arial" w:eastAsia="Arial" w:hAnsi="Arial"/>
          <w:color w:val="1A1A2E"/>
          <w:sz w:val="20"/>
          <w:szCs w:val="20"/>
        </w:rPr>
        <w:t xml:space="preserve">Three consecutive EM failures: flag for PMO review. Human diagnosis required before next deployment restart.</w:t>
      </w:r>
    </w:p>
    <w:p>
      <w:pPr>
        <w:pStyle w:val="Heading3"/>
        <w:spacing w:after="80" w:before="200"/>
      </w:pPr>
      <w:r>
        <w:rPr>
          <w:rFonts w:ascii="Arial" w:cs="Arial" w:eastAsia="Arial" w:hAnsi="Arial"/>
          <w:b/>
          <w:bCs/>
          <w:color w:val="4A4A6A"/>
          <w:sz w:val="22"/>
          <w:szCs w:val="22"/>
        </w:rPr>
        <w:t xml:space="preserve">M3 Studio (Orchestrator) Failure</w:t>
      </w:r>
    </w:p>
    <w:p>
      <w:pPr>
        <w:pStyle w:val="ListParagraph"/>
        <w:numPr>
          <w:ilvl w:val="0"/>
          <w:numId w:val="2"/>
        </w:numPr>
        <w:spacing w:after="80"/>
      </w:pPr>
      <w:r>
        <w:rPr>
          <w:rFonts w:ascii="Arial" w:cs="Arial" w:eastAsia="Arial" w:hAnsi="Arial"/>
          <w:color w:val="1A1A2E"/>
          <w:sz w:val="20"/>
          <w:szCs w:val="20"/>
        </w:rPr>
        <w:t xml:space="preserve">Acknowledged single point of failure. No automatic failover (cost exceeds benefit for $30k capital).</w:t>
      </w:r>
    </w:p>
    <w:p>
      <w:pPr>
        <w:pStyle w:val="ListParagraph"/>
        <w:numPr>
          <w:ilvl w:val="0"/>
          <w:numId w:val="2"/>
        </w:numPr>
        <w:spacing w:after="80"/>
      </w:pPr>
      <w:r>
        <w:rPr>
          <w:rFonts w:ascii="Arial" w:cs="Arial" w:eastAsia="Arial" w:hAnsi="Arial"/>
          <w:color w:val="1A1A2E"/>
          <w:sz w:val="20"/>
          <w:szCs w:val="20"/>
        </w:rPr>
        <w:t xml:space="preserve">Manual recovery required: restart M3 Studio; system resumes from last persisted state.</w:t>
      </w:r>
    </w:p>
    <w:p>
      <w:pPr>
        <w:pStyle w:val="ListParagraph"/>
        <w:numPr>
          <w:ilvl w:val="0"/>
          <w:numId w:val="2"/>
        </w:numPr>
        <w:spacing w:after="80"/>
      </w:pPr>
      <w:r>
        <w:rPr>
          <w:rFonts w:ascii="Arial" w:cs="Arial" w:eastAsia="Arial" w:hAnsi="Arial"/>
          <w:color w:val="1A1A2E"/>
          <w:sz w:val="20"/>
          <w:szCs w:val="20"/>
        </w:rPr>
        <w:t xml:space="preserve">On restart: query IBKR for all positions as authoritative source; overwrite any locally cached position state.</w:t>
      </w:r>
    </w:p>
    <w:p>
      <w:pPr>
        <w:pStyle w:val="Heading3"/>
        <w:spacing w:after="80" w:before="200"/>
      </w:pPr>
      <w:r>
        <w:rPr>
          <w:rFonts w:ascii="Arial" w:cs="Arial" w:eastAsia="Arial" w:hAnsi="Arial"/>
          <w:b/>
          <w:bCs/>
          <w:color w:val="4A4A6A"/>
          <w:sz w:val="22"/>
          <w:szCs w:val="22"/>
        </w:rPr>
        <w:t xml:space="preserve">Complete Outage (Power / Network)</w:t>
      </w:r>
    </w:p>
    <w:p>
      <w:pPr>
        <w:pStyle w:val="ListParagraph"/>
        <w:numPr>
          <w:ilvl w:val="0"/>
          <w:numId w:val="2"/>
        </w:numPr>
        <w:spacing w:after="80"/>
      </w:pPr>
      <w:r>
        <w:rPr>
          <w:rFonts w:ascii="Arial" w:cs="Arial" w:eastAsia="Arial" w:hAnsi="Arial"/>
          <w:color w:val="1A1A2E"/>
          <w:sz w:val="20"/>
          <w:szCs w:val="20"/>
        </w:rPr>
        <w:t xml:space="preserve">No autonomous recovery possible. Positions remain open at IBKR.</w:t>
      </w:r>
    </w:p>
    <w:p>
      <w:pPr>
        <w:pStyle w:val="ListParagraph"/>
        <w:numPr>
          <w:ilvl w:val="0"/>
          <w:numId w:val="2"/>
        </w:numPr>
        <w:spacing w:after="80"/>
      </w:pPr>
      <w:r>
        <w:rPr>
          <w:rFonts w:ascii="Arial" w:cs="Arial" w:eastAsia="Arial" w:hAnsi="Arial"/>
          <w:color w:val="1A1A2E"/>
          <w:sz w:val="20"/>
          <w:szCs w:val="20"/>
        </w:rPr>
        <w:t xml:space="preserve">Requires human intervention to assess market impact and decide on liquidation.</w:t>
      </w:r>
    </w:p>
    <w:p>
      <w:pPr>
        <w:pStyle w:val="ListParagraph"/>
        <w:numPr>
          <w:ilvl w:val="0"/>
          <w:numId w:val="2"/>
        </w:numPr>
        <w:spacing w:after="80"/>
      </w:pPr>
      <w:r>
        <w:rPr>
          <w:rFonts w:ascii="Arial" w:cs="Arial" w:eastAsia="Arial" w:hAnsi="Arial"/>
          <w:color w:val="1A1A2E"/>
          <w:sz w:val="20"/>
          <w:szCs w:val="20"/>
        </w:rPr>
        <w:t xml:space="preserve">This scenario is explicitly outside the autonomous system scope (see Section 11).</w:t>
      </w:r>
    </w:p>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10.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1600"/>
        <w:gridCol w:w="2500"/>
        <w:gridCol w:w="1460"/>
      </w:tblGrid>
      <w:tr>
        <w:tc>
          <w:tcPr>
            <w:tcW w:type="dxa" w:w="7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Phase</w:t>
            </w:r>
          </w:p>
        </w:tc>
        <w:tc>
          <w:tcPr>
            <w:tcW w:type="dxa" w:w="31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Component</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Machine</w:t>
            </w:r>
          </w:p>
        </w:tc>
        <w:tc>
          <w:tcPr>
            <w:tcW w:type="dxa" w:w="25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Dependencies</w:t>
            </w:r>
          </w:p>
        </w:tc>
        <w:tc>
          <w:tcPr>
            <w:tcW w:type="dxa" w:w="14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Week Target</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1A</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Layer 1 smoothing pipeline: LOESS, SG, adaptive rolling median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M3 Studio</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Historical daily data feeds; GSW/LW via FRED; options surface</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2</w:t>
            </w:r>
          </w:p>
        </w:tc>
      </w:tr>
      <w:tr>
        <w:tc>
          <w:tcPr>
            <w:tcW w:type="dxa" w:w="7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1B</w:t>
            </w:r>
          </w:p>
        </w:tc>
        <w:tc>
          <w:tcPr>
            <w:tcW w:type="dxa" w:w="3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Block bootstrap; PCA compression; 6-dim state vector sₜ</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DGX Spark</w:t>
            </w:r>
          </w:p>
        </w:tc>
        <w:tc>
          <w:tcPr>
            <w:tcW w:type="dxa" w:w="25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Phase 1A output</w:t>
            </w:r>
          </w:p>
        </w:tc>
        <w:tc>
          <w:tcPr>
            <w:tcW w:type="dxa" w:w="14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3</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2A</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ARMA candidate library; GARCH(1,1) joint QMLE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DGX Spark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Phase 1B state vector</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5</w:t>
            </w:r>
          </w:p>
        </w:tc>
      </w:tr>
      <w:tr>
        <w:tc>
          <w:tcPr>
            <w:tcW w:type="dxa" w:w="7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2B</w:t>
            </w:r>
          </w:p>
        </w:tc>
        <w:tc>
          <w:tcPr>
            <w:tcW w:type="dxa" w:w="3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EM initialization; particle filter E-step</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DGX Spark</w:t>
            </w:r>
          </w:p>
        </w:tc>
        <w:tc>
          <w:tcPr>
            <w:tcW w:type="dxa" w:w="25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Phase 2A</w:t>
            </w:r>
          </w:p>
        </w:tc>
        <w:tc>
          <w:tcPr>
            <w:tcW w:type="dxa" w:w="14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7</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2C</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DPM stick-breaking; concentration γ estimation (Escobar-West)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DGX Spark</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Phase 2B convergence</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9</w:t>
            </w:r>
          </w:p>
        </w:tc>
      </w:tr>
      <w:tr>
        <w:tc>
          <w:tcPr>
            <w:tcW w:type="dxa" w:w="7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3A</w:t>
            </w:r>
          </w:p>
        </w:tc>
        <w:tc>
          <w:tcPr>
            <w:tcW w:type="dxa" w:w="3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cascade_engine.py API implementation (Section 6.0); risk_engine.py base model replacement</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RTX 5090</w:t>
            </w:r>
          </w:p>
        </w:tc>
        <w:tc>
          <w:tcPr>
            <w:tcW w:type="dxa" w:w="25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Phase 2C output object</w:t>
            </w:r>
          </w:p>
        </w:tc>
        <w:tc>
          <w:tcPr>
            <w:tcW w:type="dxa" w:w="14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11</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3B</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Circuit breakers; version registry; rollback logic; PMO dashboard</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M3 Studio</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Phase 3A</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12</w:t>
            </w:r>
          </w:p>
        </w:tc>
      </w:tr>
      <w:tr>
        <w:tc>
          <w:tcPr>
            <w:tcW w:type="dxa" w:w="7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3C</w:t>
            </w:r>
          </w:p>
        </w:tc>
        <w:tc>
          <w:tcPr>
            <w:tcW w:type="dxa" w:w="3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Cold start protocol; $500 floor; IBKR execution layer; VVIX 3-min persistence monitor</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RTX 5090</w:t>
            </w:r>
          </w:p>
        </w:tc>
        <w:tc>
          <w:tcPr>
            <w:tcW w:type="dxa" w:w="25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All prior phases</w:t>
            </w:r>
          </w:p>
        </w:tc>
        <w:tc>
          <w:tcPr>
            <w:tcW w:type="dxa" w:w="14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13</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4</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Validation gates T1, T4 (US equities); paper trading cold start Day 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 fleet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Phase 3C</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 14 (Day 1)</w:t>
            </w:r>
          </w:p>
        </w:tc>
      </w:tr>
      <w:tr>
        <w:tc>
          <w:tcPr>
            <w:tcW w:type="dxa" w:w="7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w:t>
            </w:r>
          </w:p>
        </w:tc>
        <w:tc>
          <w:tcPr>
            <w:tcW w:type="dxa" w:w="3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Validation gate T2 (all-asset vol); EMEA cold start</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 fleet</w:t>
            </w:r>
          </w:p>
        </w:tc>
        <w:tc>
          <w:tcPr>
            <w:tcW w:type="dxa" w:w="25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Gate T1+T4 passed</w:t>
            </w:r>
          </w:p>
        </w:tc>
        <w:tc>
          <w:tcPr>
            <w:tcW w:type="dxa" w:w="14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After US equities Day 63</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6</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Validation gate T3 (commodities); commodity cold start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 fleet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Gate T2 passed</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After EMEA Day 63</w:t>
            </w:r>
          </w:p>
        </w:tc>
      </w:tr>
      <w:tr>
        <w:tc>
          <w:tcPr>
            <w:tcW w:type="dxa" w:w="7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7</w:t>
            </w:r>
          </w:p>
        </w:tc>
        <w:tc>
          <w:tcPr>
            <w:tcW w:type="dxa" w:w="31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Crypto cold start; Deribit feed integration; 1-2hr ARMA(0,1)</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 fleet</w:t>
            </w:r>
          </w:p>
        </w:tc>
        <w:tc>
          <w:tcPr>
            <w:tcW w:type="dxa" w:w="25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Gate T3 passed</w:t>
            </w:r>
          </w:p>
        </w:tc>
        <w:tc>
          <w:tcPr>
            <w:tcW w:type="dxa" w:w="14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Per deployment roadmap</w:t>
            </w:r>
          </w:p>
        </w:tc>
      </w:tr>
    </w:tbl>
    <w:p>
      <w:pPr>
        <w:pStyle w:val="Heading2"/>
        <w:spacing w:after="120" w:before="280"/>
      </w:pPr>
      <w:r>
        <w:rPr>
          <w:rFonts w:ascii="Arial" w:cs="Arial" w:eastAsia="Arial" w:hAnsi="Arial"/>
          <w:b/>
          <w:bCs/>
          <w:color w:val="2E75B6"/>
          <w:sz w:val="26"/>
          <w:szCs w:val="26"/>
        </w:rPr>
        <w:t xml:space="preserve">10.1 Timeline Reconciliation</w:t>
      </w:r>
    </w:p>
    <w:p>
      <w:pPr>
        <w:spacing w:after="120"/>
      </w:pPr>
      <w:r>
        <w:rPr>
          <w:rFonts w:ascii="Arial" w:cs="Arial" w:eastAsia="Arial" w:hAnsi="Arial"/>
          <w:color w:val="1A1A2E"/>
          <w:sz w:val="20"/>
          <w:szCs w:val="20"/>
        </w:rPr>
        <w:t xml:space="preserve">The implementation roadmap (build phases in calendar weeks) and the cold start protocol (trading days from live deployment) operate on different clocks. The table below reconciles them.</w:t>
      </w:r>
    </w:p>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Activity</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Calendar Time</w:t>
            </w:r>
          </w:p>
        </w:tc>
        <w:tc>
          <w:tcPr>
            <w:tcW w:type="dxa" w:w="1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Trading Days</w:t>
            </w:r>
          </w:p>
        </w:tc>
        <w:tc>
          <w:tcPr>
            <w:tcW w:type="dxa" w:w="3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Cascade Behavior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Weeks 1-13: build and validate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 calendar months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~63 trading days equivalent</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 live signals; backtest and paper trading mode only</w:t>
            </w:r>
          </w:p>
        </w:tc>
      </w:tr>
      <w:tr>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Day 1 of live deployment</w:t>
            </w:r>
          </w:p>
        </w:tc>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Start of Phase 1 cold start</w:t>
            </w:r>
          </w:p>
        </w:tc>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Trading Day 1</w:t>
            </w:r>
          </w:p>
        </w:tc>
        <w:tc>
          <w:tcPr>
            <w:tcW w:type="dxa" w:w="3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Cascade receives placeholder: p_fixed=0.50, p_growth=0.25, p_floating=0.25 (neutral prior)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Phase 1 (minimal model)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First ~3 months live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Days 1–63</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Same neutral placeholder; constant mean + rolling 60d vol governs sizing</w:t>
            </w:r>
          </w:p>
        </w:tc>
      </w:tr>
      <w:tr>
        <w:tc>
          <w:tcPr>
            <w:tcW w:type="dxa" w:w="2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Phase 2 (base ARMA)</w:t>
            </w:r>
          </w:p>
        </w:tc>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Months 4–12 live</w:t>
            </w:r>
          </w:p>
        </w:tc>
        <w:tc>
          <w:tcPr>
            <w:tcW w:type="dxa" w:w="1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Days 64–251</w:t>
            </w:r>
          </w:p>
        </w:tc>
        <w:tc>
          <w:tcPr>
            <w:tcW w:type="dxa" w:w="3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Same neutral placeholder; ARMA(1,1)+GARCH(1,1) governs sizing; regime probs still placeholder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Phase 3 (full framework)</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Month 13 onward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Day 252+</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 Gamma-ARMA regime probabilities active; cascade receives live [p_fixed, p_growth, p_floating]</w:t>
            </w:r>
          </w:p>
        </w:tc>
      </w:tr>
    </w:tbl>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none" w:color="FFFFFF" w:sz="0"/>
            </w:tcBorders>
            <w:shd w:fill="EEF3F8" w:val="clear"/>
            <w:tcMar>
              <w:top w:type="dxa" w:w="100"/>
              <w:left w:type="dxa" w:w="180"/>
              <w:bottom w:type="dxa" w:w="100"/>
              <w:right w:type="dxa" w:w="120"/>
            </w:tcMar>
          </w:tcPr>
          <w:p>
            <w:pPr>
              <w:spacing w:after="0"/>
            </w:pPr>
            <w:r>
              <w:rPr>
                <w:rFonts w:ascii="Arial" w:cs="Arial" w:eastAsia="Arial" w:hAnsi="Arial"/>
                <w:b/>
                <w:bCs/>
                <w:color w:val="2E75B6"/>
                <w:sz w:val="20"/>
                <w:szCs w:val="20"/>
              </w:rPr>
              <w:t xml:space="preserve">No backfill: </w:t>
            </w:r>
            <w:r>
              <w:rPr>
                <w:rFonts w:ascii="Arial" w:cs="Arial" w:eastAsia="Arial" w:hAnsi="Arial"/>
                <w:color w:val="1A1A2E"/>
                <w:sz w:val="20"/>
                <w:szCs w:val="20"/>
              </w:rPr>
              <w:t xml:space="preserve">Regime estimates for Days 1-251 are not computed retroactively when the DPM activates on Day 252. The system only models forward. This prevents look-ahead bias in post-deployment analysis. The neutral placeholder is not a regime estimate — it is an explicit signal that the regime framework is not yet active.</w:t>
            </w:r>
          </w:p>
        </w:tc>
      </w:tr>
    </w:tbl>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11. System Boundaries and Scope Exclusions</w:t>
      </w:r>
    </w:p>
    <w:p>
      <w:pPr>
        <w:spacing w:after="120"/>
      </w:pPr>
      <w:r>
        <w:rPr>
          <w:rFonts w:ascii="Arial" w:cs="Arial" w:eastAsia="Arial" w:hAnsi="Arial"/>
          <w:color w:val="1A1A2E"/>
          <w:sz w:val="20"/>
          <w:szCs w:val="20"/>
        </w:rPr>
        <w:t xml:space="preserve">This section explicitly states what the framework does not model, does not protect against, and cannot be expected to handle. These are deliberate boundaries, not oversights. The framework will produce false signals, failed regime detections, and losing trades within its scope. Outside its scope, no performance expectation is warranted.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03A" w:sz="1"/>
              <w:left w:val="single" w:color="C5703A" w:sz="14"/>
              <w:bottom w:val="single" w:color="C5703A" w:sz="1"/>
              <w:right w:val="none" w:color="FFFFFF" w:sz="0"/>
            </w:tcBorders>
            <w:shd w:fill="FFF3E0" w:val="clear"/>
            <w:tcMar>
              <w:top w:type="dxa" w:w="100"/>
              <w:left w:type="dxa" w:w="180"/>
              <w:bottom w:type="dxa" w:w="100"/>
              <w:right w:type="dxa" w:w="120"/>
            </w:tcMar>
          </w:tcPr>
          <w:p>
            <w:pPr>
              <w:spacing w:after="0"/>
            </w:pPr>
            <w:r>
              <w:rPr>
                <w:rFonts w:ascii="Arial" w:cs="Arial" w:eastAsia="Arial" w:hAnsi="Arial"/>
                <w:b/>
                <w:bCs/>
                <w:color w:val="7B2D00"/>
                <w:sz w:val="20"/>
                <w:szCs w:val="20"/>
              </w:rPr>
              <w:t xml:space="preserve">Non-guarantee statement: </w:t>
            </w:r>
            <w:r>
              <w:rPr>
                <w:rFonts w:ascii="Arial" w:cs="Arial" w:eastAsia="Arial" w:hAnsi="Arial"/>
                <w:color w:val="7B2D00"/>
                <w:sz w:val="20"/>
                <w:szCs w:val="20"/>
              </w:rPr>
              <w:t xml:space="preserve">This framework is a statistical model, not a deterministic engine. The design goal is positive expected value, not zero drawdown or perfect prediction. The boundaries below identify conditions under which the system is not expected to perform and for which no compensation or recovery is autonomous.</w:t>
            </w:r>
          </w:p>
        </w:tc>
      </w:tr>
    </w:tbl>
    <w:p>
      <w:pPr>
        <w:spacing w:after="120"/>
      </w:pPr>
      <w:r>
        <w:rPr>
          <w:rFonts w:ascii="Arial" w:cs="Arial" w:eastAsia="Arial" w:hAnsi="Arial"/>
          <w:color w:val="1A1A2E"/>
          <w:sz w:val="20"/>
          <w:szCs w:val="20"/>
        </w:rPr>
        <w:t xml:space="preserve"/>
      </w:r>
    </w:p>
    <w:p>
      <w:pPr>
        <w:pStyle w:val="Heading2"/>
        <w:spacing w:after="120" w:before="280"/>
      </w:pPr>
      <w:r>
        <w:rPr>
          <w:rFonts w:ascii="Arial" w:cs="Arial" w:eastAsia="Arial" w:hAnsi="Arial"/>
          <w:b/>
          <w:bCs/>
          <w:color w:val="2E75B6"/>
          <w:sz w:val="26"/>
          <w:szCs w:val="26"/>
        </w:rPr>
        <w:t xml:space="preserve">11.1 Excluded Scenarios</w:t>
      </w:r>
    </w:p>
    <w:p>
      <w:pPr>
        <w:pStyle w:val="ListParagraph"/>
        <w:numPr>
          <w:ilvl w:val="0"/>
          <w:numId w:val="2"/>
        </w:numPr>
        <w:spacing w:after="80"/>
      </w:pPr>
      <w:r>
        <w:rPr>
          <w:rFonts w:ascii="Arial" w:cs="Arial" w:eastAsia="Arial" w:hAnsi="Arial"/>
          <w:color w:val="1A1A2E"/>
          <w:sz w:val="20"/>
          <w:szCs w:val="20"/>
        </w:rPr>
        <w:t xml:space="preserve">Market impact of Blaque Baux's own trades beyond the 2% ADV reflexivity governor (Section 7.1). If volume exceeds that threshold, regime estimates become biased. The system will not detect or correct for this bias.</w:t>
      </w:r>
    </w:p>
    <w:p>
      <w:pPr>
        <w:pStyle w:val="ListParagraph"/>
        <w:numPr>
          <w:ilvl w:val="0"/>
          <w:numId w:val="2"/>
        </w:numPr>
        <w:spacing w:after="80"/>
      </w:pPr>
      <w:r>
        <w:rPr>
          <w:rFonts w:ascii="Arial" w:cs="Arial" w:eastAsia="Arial" w:hAnsi="Arial"/>
          <w:color w:val="1A1A2E"/>
          <w:sz w:val="20"/>
          <w:szCs w:val="20"/>
        </w:rPr>
        <w:t xml:space="preserve">Exchange outages, broker failures, or settlement failures. The system assumes IBKR's API, Cboe's data feeds, and all exchanges are continuously available. No fallback exists for exchange-level circuit breakers or trading halts.</w:t>
      </w:r>
    </w:p>
    <w:p>
      <w:pPr>
        <w:pStyle w:val="ListParagraph"/>
        <w:numPr>
          <w:ilvl w:val="0"/>
          <w:numId w:val="2"/>
        </w:numPr>
        <w:spacing w:after="80"/>
      </w:pPr>
      <w:r>
        <w:rPr>
          <w:rFonts w:ascii="Arial" w:cs="Arial" w:eastAsia="Arial" w:hAnsi="Arial"/>
          <w:color w:val="1A1A2E"/>
          <w:sz w:val="20"/>
          <w:szCs w:val="20"/>
        </w:rPr>
        <w:t xml:space="preserve">Geopolitical events with no historical analog. The jump process (λ(t), Section 5.4) is parameterized from historical VIX1D behavior. An event with no precedent (e.g., first-use nuclear weapon, US sovereign default) will not be anticipated because VIX1D itself will be uninformative before the event. The system reacts only after it occurs.</w:t>
      </w:r>
    </w:p>
    <w:p>
      <w:pPr>
        <w:pStyle w:val="ListParagraph"/>
        <w:numPr>
          <w:ilvl w:val="0"/>
          <w:numId w:val="2"/>
        </w:numPr>
        <w:spacing w:after="80"/>
      </w:pPr>
      <w:r>
        <w:rPr>
          <w:rFonts w:ascii="Arial" w:cs="Arial" w:eastAsia="Arial" w:hAnsi="Arial"/>
          <w:color w:val="1A1A2E"/>
          <w:sz w:val="20"/>
          <w:szCs w:val="20"/>
        </w:rPr>
        <w:t xml:space="preserve">Regulatory changes that alter market microstructure. If a regulatory change eliminates or fundamentally alters a data feed (e.g., VIX calculation methodology revision), the system continues using the old specification until manually updated. No autonomous adaptation to regulatory changes.</w:t>
      </w:r>
    </w:p>
    <w:p>
      <w:pPr>
        <w:pStyle w:val="ListParagraph"/>
        <w:numPr>
          <w:ilvl w:val="0"/>
          <w:numId w:val="2"/>
        </w:numPr>
        <w:spacing w:after="80"/>
      </w:pPr>
      <w:r>
        <w:rPr>
          <w:rFonts w:ascii="Arial" w:cs="Arial" w:eastAsia="Arial" w:hAnsi="Arial"/>
          <w:color w:val="1A1A2E"/>
          <w:sz w:val="20"/>
          <w:szCs w:val="20"/>
        </w:rPr>
        <w:t xml:space="preserve">Capital base changes. The system assumes a fixed $30,000 capital base per the initial specification. If capital is added or withdrawn mid-deployment, position sizing logic is not automatically recalibrated. Changes to capital base require a manual restart of the cold start protocol.</w:t>
      </w:r>
    </w:p>
    <w:p>
      <w:pPr>
        <w:pStyle w:val="ListParagraph"/>
        <w:numPr>
          <w:ilvl w:val="0"/>
          <w:numId w:val="2"/>
        </w:numPr>
        <w:spacing w:after="80"/>
      </w:pPr>
      <w:r>
        <w:rPr>
          <w:rFonts w:ascii="Arial" w:cs="Arial" w:eastAsia="Arial" w:hAnsi="Arial"/>
          <w:color w:val="1A1A2E"/>
          <w:sz w:val="20"/>
          <w:szCs w:val="20"/>
        </w:rPr>
        <w:t xml:space="preserve">Short-selling constraints, borrow locates, or minimum margin requirements. The system assumes unrestricted ability to short any asset in its universe. No logic exists for borrow fails, locate requirements, or margin calls.</w:t>
      </w:r>
    </w:p>
    <w:p>
      <w:pPr>
        <w:pStyle w:val="ListParagraph"/>
        <w:numPr>
          <w:ilvl w:val="0"/>
          <w:numId w:val="2"/>
        </w:numPr>
        <w:spacing w:after="80"/>
      </w:pPr>
      <w:r>
        <w:rPr>
          <w:rFonts w:ascii="Arial" w:cs="Arial" w:eastAsia="Arial" w:hAnsi="Arial"/>
          <w:color w:val="1A1A2E"/>
          <w:sz w:val="20"/>
          <w:szCs w:val="20"/>
        </w:rPr>
        <w:t xml:space="preserve">Tax implications of trading frequency. The 0DTE overlay in particular may generate short-term gains with unfavorable tax treatment. The system does not model or consider any tax consequences.</w:t>
      </w:r>
    </w:p>
    <w:p>
      <w:pPr>
        <w:pStyle w:val="Heading2"/>
        <w:spacing w:after="120" w:before="280"/>
      </w:pPr>
      <w:r>
        <w:rPr>
          <w:rFonts w:ascii="Arial" w:cs="Arial" w:eastAsia="Arial" w:hAnsi="Arial"/>
          <w:b/>
          <w:bCs/>
          <w:color w:val="2E75B6"/>
          <w:sz w:val="26"/>
          <w:szCs w:val="26"/>
        </w:rPr>
        <w:t xml:space="preserve">11.2 Operational P&amp;L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560"/>
        <w:gridCol w:w="1600"/>
      </w:tblGrid>
      <w:tr>
        <w:tc>
          <w:tcPr>
            <w:tcW w:type="dxa" w:w="2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Boundary</w:t>
            </w:r>
          </w:p>
        </w:tc>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Trigger</w:t>
            </w:r>
          </w:p>
        </w:tc>
        <w:tc>
          <w:tcPr>
            <w:tcW w:type="dxa" w:w="2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Autonomous Action</w:t>
            </w:r>
          </w:p>
        </w:tc>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Human Required?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Daily loss limit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P&amp;L &lt; −5% of capital in any single day</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Liquidate all positions; halt trading for rest of day</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PMO alert (notification only; not approval)</w:t>
            </w:r>
          </w:p>
        </w:tc>
      </w:tr>
      <w:tr>
        <w:tc>
          <w:tcPr>
            <w:tcW w:type="dxa" w:w="2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Consecutive loss limit</w:t>
            </w:r>
          </w:p>
        </w:tc>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P&amp;L &lt; −10% over 5 consecutive trading days</w:t>
            </w:r>
          </w:p>
        </w:tc>
        <w:tc>
          <w:tcPr>
            <w:tcW w:type="dxa" w:w="2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Liquidate all positions; halt all trading</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PMO review and explicit restart authorization required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Maximum drawdown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P&amp;L &lt; −20% from peak</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Full system pause</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PMO review and explicit re-authorization required</w:t>
            </w:r>
          </w:p>
        </w:tc>
      </w:tr>
      <w:tr>
        <w:tc>
          <w:tcPr>
            <w:tcW w:type="dxa" w:w="2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Data feed loss (severe)</w:t>
            </w:r>
          </w:p>
        </w:tc>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 primary feeds stale for &gt;30 minutes</w:t>
            </w:r>
          </w:p>
        </w:tc>
        <w:tc>
          <w:tcPr>
            <w:tcW w:type="dxa" w:w="2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Liquidate and halt</w:t>
            </w:r>
          </w:p>
        </w:tc>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PMO notification; not approval for restart</w:t>
            </w:r>
          </w:p>
        </w:tc>
      </w:tr>
    </w:tbl>
    <w:p>
      <w:r>
        <w:br w:type="page"/>
      </w:r>
    </w:p>
    <w:p>
      <w:pPr>
        <w:pStyle w:val="Heading1"/>
        <w:pBdr>
          <w:bottom w:val="single" w:color="2E75B6" w:sz="6" w:space="4"/>
        </w:pBdr>
        <w:spacing w:after="180" w:before="400"/>
      </w:pPr>
      <w:r>
        <w:rPr>
          <w:rFonts w:ascii="Arial" w:cs="Arial" w:eastAsia="Arial" w:hAnsi="Arial"/>
          <w:b/>
          <w:bCs/>
          <w:color w:val="1B3A5C"/>
          <w:sz w:val="36"/>
          <w:szCs w:val="36"/>
        </w:rPr>
        <w:t xml:space="preserve">Appendix A: Key Parameter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c>
          <w:tcPr>
            <w:tcW w:type="dxa" w:w="28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Parameter</w:t>
            </w:r>
          </w:p>
        </w:tc>
        <w:tc>
          <w:tcPr>
            <w:tcW w:type="dxa" w:w="20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Value</w:t>
            </w:r>
          </w:p>
        </w:tc>
        <w:tc>
          <w:tcPr>
            <w:tcW w:type="dxa" w:w="14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Section</w:t>
            </w:r>
          </w:p>
        </w:tc>
        <w:tc>
          <w:tcPr>
            <w:tcW w:type="dxa" w:w="31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Rationale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DPM concentration γ</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Gamma(shape=2, rate=0.5)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3.3</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Mean 4 expected regimes; estimated weekly</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Forgetting factor ρ (recursive update)</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0.99</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5.2</w:t>
            </w:r>
          </w:p>
        </w:tc>
        <w:tc>
          <w:tcPr>
            <w:tcW w:type="dxa" w:w="3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 weight on each new observation; slow adaptation. NOTE: ρ, not λ.</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Jump intensity base rate λ base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0.01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5.4</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~2-3 jump events per year at base rate</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Jump intensity maximum λ max</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0.50</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5.4</w:t>
            </w:r>
          </w:p>
        </w:tc>
        <w:tc>
          <w:tcPr>
            <w:tcW w:type="dxa" w:w="3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Max 50% probability of a jump on any single day</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Burn-in half-life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 days (τ = 2.16 scale)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5.5</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Exponential decay for regime transition blending</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Regime transition threshold</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0.70 (from &lt; 0.30 in 5 days)</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5.5</w:t>
            </w:r>
          </w:p>
        </w:tc>
        <w:tc>
          <w:tcPr>
            <w:tcW w:type="dxa" w:w="3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Requires meaningful move; prevents noise-crossing detection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GARCH Floating threshold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p_floating &gt; 0.50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5.1</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Above this: disable GARCH; use 10-day realized vol</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GARCH recovery burn-in</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 days</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5.1</w:t>
            </w:r>
          </w:p>
        </w:tc>
        <w:tc>
          <w:tcPr>
            <w:tcW w:type="dxa" w:w="3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GARCH parameters frozen; ARMA updates only during re-initialization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Realized vol window (Floating)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 trading days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5.1</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Short enough to respond; robust to infinite-variance innovations</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Global risk-off scaler</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0.30</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6.3</w:t>
            </w:r>
          </w:p>
        </w:tc>
        <w:tc>
          <w:tcPr>
            <w:tcW w:type="dxa" w:w="3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30% additive to Floating probability at full global stress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Intraday VIX1D weight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4.4</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Small adjustment on lagged daily regime estimate</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Bootstrap replications B</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5,000</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4.2</w:t>
            </w:r>
          </w:p>
        </w:tc>
        <w:tc>
          <w:tcPr>
            <w:tcW w:type="dxa" w:w="3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Calibrated for 2-3 min GPU runtime on DGX Spark</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Bootstrap block length 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60 days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4.2</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Preserves autocorrelation structure of correlation series</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LOESS bandwidth h</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0.35</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4.2</w:t>
            </w:r>
          </w:p>
        </w:tc>
        <w:tc>
          <w:tcPr>
            <w:tcW w:type="dxa" w:w="3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Local enough for regime-specific estimation; stable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SG window / polynomial degree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21 days / degree 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4.2</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Preserves peaks; avoids Runge phenomenon at edges</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Absolute position floor</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$500 notional</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7.2</w:t>
            </w:r>
          </w:p>
        </w:tc>
        <w:tc>
          <w:tcPr>
            <w:tcW w:type="dxa" w:w="3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12bp round-trip cost; minimum viable expected edge $5</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Cold start duration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252 trading days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8.1</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Minimum one full market cycle for DPM initialization</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Version rollback threshold</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MAE &gt; 1.2× prior version</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9.1</w:t>
            </w:r>
          </w:p>
        </w:tc>
        <w:tc>
          <w:tcPr>
            <w:tcW w:type="dxa" w:w="3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20% degradation triggers automatic rollback</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Tail index bounds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[1.5, 4.0]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5.3</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Prevents numerical instability in estimation</w:t>
            </w:r>
          </w:p>
        </w:tc>
      </w:tr>
      <w:tr>
        <w:tc>
          <w:tcPr>
            <w:tcW w:type="dxa" w:w="28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VVIX persistence for liquidation</w:t>
            </w:r>
          </w:p>
        </w:tc>
        <w:tc>
          <w:tcPr>
            <w:tcW w:type="dxa" w:w="20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3 consecutive minutes (180 samples at 1-sec)</w:t>
            </w:r>
          </w:p>
        </w:tc>
        <w:tc>
          <w:tcPr>
            <w:tcW w:type="dxa" w:w="14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7.4</w:t>
            </w:r>
          </w:p>
        </w:tc>
        <w:tc>
          <w:tcPr>
            <w:tcW w:type="dxa" w:w="31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Separates true regime fear from transient option market noise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Neutral prior (cold start placeholder)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p_fixed=0.50, p_growth=0.25, p_floating=0.25</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10.1</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Cascade receives this during Days 1-251 before DPM activation</w:t>
            </w:r>
          </w:p>
        </w:tc>
      </w:tr>
    </w:tbl>
    <w:p>
      <w:pPr>
        <w:spacing w:after="200"/>
      </w:pPr>
      <w:r>
        <w:rPr>
          <w:rFonts w:ascii="Arial" w:cs="Arial" w:eastAsia="Arial" w:hAnsi="Arial"/>
          <w:color w:val="1A1A2E"/>
          <w:sz w:val="20"/>
          <w:szCs w:val="20"/>
        </w:rPr>
        <w:t xml:space="preserve"/>
      </w:r>
    </w:p>
    <w:p>
      <w:pPr>
        <w:pStyle w:val="Heading1"/>
        <w:pBdr>
          <w:bottom w:val="single" w:color="2E75B6" w:sz="6" w:space="4"/>
        </w:pBdr>
        <w:spacing w:after="180" w:before="400"/>
      </w:pPr>
      <w:r>
        <w:rPr>
          <w:rFonts w:ascii="Arial" w:cs="Arial" w:eastAsia="Arial" w:hAnsi="Arial"/>
          <w:b/>
          <w:bCs/>
          <w:color w:val="1B3A5C"/>
          <w:sz w:val="36"/>
          <w:szCs w:val="36"/>
        </w:rPr>
        <w:t xml:space="preserve">Appendix B: Nomenclature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703A" w:sz="1"/>
              <w:left w:val="single" w:color="C5703A" w:sz="14"/>
              <w:bottom w:val="single" w:color="C5703A" w:sz="1"/>
              <w:right w:val="none" w:color="FFFFFF" w:sz="0"/>
            </w:tcBorders>
            <w:shd w:fill="FFF3E0" w:val="clear"/>
            <w:tcMar>
              <w:top w:type="dxa" w:w="100"/>
              <w:left w:type="dxa" w:w="180"/>
              <w:bottom w:type="dxa" w:w="100"/>
              <w:right w:type="dxa" w:w="120"/>
            </w:tcMar>
          </w:tcPr>
          <w:p>
            <w:pPr>
              <w:spacing w:after="0"/>
            </w:pPr>
            <w:r>
              <w:rPr>
                <w:rFonts w:ascii="Arial" w:cs="Arial" w:eastAsia="Arial" w:hAnsi="Arial"/>
                <w:b/>
                <w:bCs/>
                <w:color w:val="7B2D00"/>
                <w:sz w:val="20"/>
                <w:szCs w:val="20"/>
              </w:rPr>
              <w:t xml:space="preserve">Critical naming note: </w:t>
            </w:r>
            <w:r>
              <w:rPr>
                <w:rFonts w:ascii="Arial" w:cs="Arial" w:eastAsia="Arial" w:hAnsi="Arial"/>
                <w:color w:val="7B2D00"/>
                <w:sz w:val="20"/>
                <w:szCs w:val="20"/>
              </w:rPr>
              <w:t xml:space="preserve">ρ (rho) is the forgetting factor for recursive daily updates. λ (lambda) is reserved exclusively for jump intensity. These are different parameters and must never be interchanged in implementation code.</w:t>
            </w:r>
          </w:p>
        </w:tc>
      </w:tr>
    </w:tbl>
    <w:p>
      <w:pPr>
        <w:spacing w:after="80"/>
      </w:pPr>
      <w:r>
        <w:rPr>
          <w:rFonts w:ascii="Arial" w:cs="Arial" w:eastAsia="Arial" w:hAnsi="Arial"/>
          <w:color w:val="1A1A2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c>
          <w:tcPr>
            <w:tcW w:type="dxa" w:w="16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Symbol</w:t>
            </w:r>
          </w:p>
        </w:tc>
        <w:tc>
          <w:tcPr>
            <w:tcW w:type="dxa" w:w="520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Definition</w:t>
            </w:r>
          </w:p>
        </w:tc>
        <w:tc>
          <w:tcPr>
            <w:tcW w:type="dxa" w:w="2560"/>
            <w:tcBorders>
              <w:top w:val="single" w:color="AAAAAA" w:sz="1"/>
              <w:left w:val="single" w:color="AAAAAA" w:sz="1"/>
              <w:bottom w:val="single" w:color="AAAAAA" w:sz="1"/>
              <w:right w:val="single" w:color="AAAAAA" w:sz="1"/>
            </w:tcBorders>
            <w:shd w:fill="1B3A5C" w:val="clear"/>
            <w:tcMar>
              <w:top w:type="dxa" w:w="80"/>
              <w:left w:type="dxa" w:w="120"/>
              <w:bottom w:type="dxa" w:w="80"/>
              <w:right w:type="dxa" w:w="120"/>
            </w:tcMar>
            <w:vAlign w:val="top"/>
          </w:tcPr>
          <w:p>
            <w:pPr>
              <w:spacing w:after="0"/>
            </w:pPr>
            <w:r>
              <w:rPr>
                <w:rFonts w:ascii="Arial" w:cs="Arial" w:eastAsia="Arial" w:hAnsi="Arial"/>
                <w:b/>
                <w:bCs/>
                <w:color w:val="FFFFFF"/>
                <w:sz w:val="18"/>
                <w:szCs w:val="18"/>
              </w:rPr>
              <w:t xml:space="preserve">Do Not Confuse With</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α</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Tail index (Lévy stability index). Range [1.5, 4.0]. Higher = thinner tails. Section 5.3.</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DPM γ; GARCH α₁ parameter (different meaning)</w:t>
            </w:r>
          </w:p>
        </w:tc>
      </w:tr>
      <w:tr>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γ</w:t>
            </w:r>
          </w:p>
        </w:tc>
        <w:tc>
          <w:tcPr>
            <w:tcW w:type="dxa" w:w="5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DPM concentration parameter. Governs expected number of active regimes. Gamma(2, 0.5) prior. Section 3.3.</w:t>
            </w:r>
          </w:p>
        </w:tc>
        <w:tc>
          <w:tcPr>
            <w:tcW w:type="dxa" w:w="2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Tail index α; GARCH jump coefficient γ_j</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ρ</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Forgetting factor for recursive Bayesian update. Value: 0.99. Section 5.2. Named ρ throughout.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Jump intensity λ (common mistake in v1.0)</w:t>
            </w:r>
          </w:p>
        </w:tc>
      </w:tr>
      <w:tr>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λ</w:t>
            </w:r>
          </w:p>
        </w:tc>
        <w:tc>
          <w:tcPr>
            <w:tcW w:type="dxa" w:w="5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λ(t): Jump intensity (Poisson process rate). Sections 5.4, 7.4. Named λ exclusively.</w:t>
            </w:r>
          </w:p>
        </w:tc>
        <w:tc>
          <w:tcPr>
            <w:tcW w:type="dxa" w:w="2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Forgetting factor ρ (v1.0 called this λ; corrected in v2.0)</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φᵢ</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AR coefficient at lag i in the ARMA model. Section 5.1.</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
            </w:r>
          </w:p>
        </w:tc>
      </w:tr>
      <w:tr>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θⱼ</w:t>
            </w:r>
          </w:p>
        </w:tc>
        <w:tc>
          <w:tcPr>
            <w:tcW w:type="dxa" w:w="5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MA coefficient at lag j in the ARMA model. Section 5.1.</w:t>
            </w:r>
          </w:p>
        </w:tc>
        <w:tc>
          <w:tcPr>
            <w:tcW w:type="dxa" w:w="2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σₜ²</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Conditional variance from GARCH component (Fixed and Growth regimes). Section 5.1.</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Realized vol σ̂ₜ² used in Floating regime (different estimator)</w:t>
            </w:r>
          </w:p>
        </w:tc>
      </w:tr>
      <w:tr>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σ̂ₜ²</w:t>
            </w:r>
          </w:p>
        </w:tc>
        <w:tc>
          <w:tcPr>
            <w:tcW w:type="dxa" w:w="5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10-day rolling realized volatility. Used in Floating ARMA when p_floating &gt; 0.50. Section 5.1.</w:t>
            </w:r>
          </w:p>
        </w:tc>
        <w:tc>
          <w:tcPr>
            <w:tcW w:type="dxa" w:w="2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GARCH conditional variance σₜ²</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sₜ</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6-dimensional state vector: [Vol PC₁, Vol PC₂, Vol PC₃, Yield level, Yield slope, Yield curvature]. Section 4.3.</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
            </w:r>
          </w:p>
        </w:tc>
      </w:tr>
      <w:tr>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p_fixed, p_growth, p_floating</w:t>
            </w:r>
          </w:p>
        </w:tc>
        <w:tc>
          <w:tcPr>
            <w:tcW w:type="dxa" w:w="5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Three continuous regime probability signals. Sum = 1.0. Section 6.1.</w:t>
            </w:r>
          </w:p>
        </w:tc>
        <w:tc>
          <w:tcPr>
            <w:tcW w:type="dxa" w:w="2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global_risk_off(t)</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Normalized VIX/VXV ratio, clipped to [0,1]. Drives cross-asset linkage. Section 6.3.</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
            </w:r>
          </w:p>
        </w:tc>
      </w:tr>
      <w:tr>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t_shift</w:t>
            </w:r>
          </w:p>
        </w:tc>
        <w:tc>
          <w:tcPr>
            <w:tcW w:type="dxa" w:w="5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Timestamp when regime_prob_floating first crossed 0.70 from below 0.30 in prior 5 days. Section 5.5.</w:t>
            </w:r>
          </w:p>
        </w:tc>
        <w:tc>
          <w:tcPr>
            <w:tcW w:type="dxa" w:w="2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vix1d_available</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Boolean flag. False when VIX1D feed is unavailable. Excludes Vol PC₃; sets λ(t) to base rate only. Section 4.6.</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
            </w:r>
          </w:p>
        </w:tc>
      </w:tr>
      <w:tr>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GSW</w:t>
            </w:r>
          </w:p>
        </w:tc>
        <w:tc>
          <w:tcPr>
            <w:tcW w:type="dxa" w:w="5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Gürkaynak-Sack-Wright parametric zero-coupon yield dataset (Federal Reserve). Section 4.5.</w:t>
            </w:r>
          </w:p>
        </w:tc>
        <w:tc>
          <w:tcPr>
            <w:tcW w:type="dxa" w:w="2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LW</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Liu-Wu non-parametric kernel-smoothed yield dataset. Preferred for short and long ends. Section 4.5.</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GSW (different smoothing method; different accuracy at curve ends)</w:t>
            </w:r>
          </w:p>
        </w:tc>
      </w:tr>
      <w:tr>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DPM</w:t>
            </w:r>
          </w:p>
        </w:tc>
        <w:tc>
          <w:tcPr>
            <w:tcW w:type="dxa" w:w="5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Dirichlet Process Mixture. Allows number of regimes to be a model output. Section 3.3.</w:t>
            </w:r>
          </w:p>
        </w:tc>
        <w:tc>
          <w:tcPr>
            <w:tcW w:type="dxa" w:w="2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GCLT</w:t>
            </w:r>
          </w:p>
        </w:tc>
        <w:tc>
          <w:tcPr>
            <w:tcW w:type="dxa" w:w="5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Generalized Central Limit Theorem. Applies when α &lt; 2; limit distribution is α-stable, not normal. Section 2.2.</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CLT (which assumes finite variance; does not apply when α &lt; 2)</w:t>
            </w:r>
          </w:p>
        </w:tc>
      </w:tr>
      <w:tr>
        <w:tc>
          <w:tcPr>
            <w:tcW w:type="dxa" w:w="16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cascade_engine.py</w:t>
            </w:r>
          </w:p>
        </w:tc>
        <w:tc>
          <w:tcPr>
            <w:tcW w:type="dxa" w:w="520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TO BE IMPLEMENTED in Phase 3A (Week 11). Does not yet exist. API specified in Section 6.0.</w:t>
            </w:r>
          </w:p>
        </w:tc>
        <w:tc>
          <w:tcPr>
            <w:tcW w:type="dxa" w:w="2560"/>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top"/>
          </w:tcPr>
          <w:p>
            <w:pPr>
              <w:spacing w:after="0"/>
            </w:pPr>
            <w:r>
              <w:rPr>
                <w:rFonts w:ascii="Arial" w:cs="Arial" w:eastAsia="Arial" w:hAnsi="Arial"/>
                <w:b w:val="false"/>
                <w:bCs w:val="false"/>
                <w:color w:val="1A1A2E"/>
                <w:sz w:val="18"/>
                <w:szCs w:val="18"/>
              </w:rPr>
              <w:t xml:space="preserve">Any existing file</w:t>
            </w:r>
          </w:p>
        </w:tc>
      </w:tr>
    </w:tbl>
    <w:p>
      <w:pPr>
        <w:spacing w:after="300"/>
      </w:pPr>
      <w:r>
        <w:rPr>
          <w:rFonts w:ascii="Arial" w:cs="Arial" w:eastAsia="Arial" w:hAnsi="Arial"/>
          <w:color w:val="1A1A2E"/>
          <w:sz w:val="20"/>
          <w:szCs w:val="20"/>
        </w:rPr>
        <w:t xml:space="preserve"/>
      </w:r>
    </w:p>
    <w:p>
      <w:pPr>
        <w:spacing w:before="400"/>
        <w:jc w:val="center"/>
      </w:pPr>
      <w:r>
        <w:rPr>
          <w:rFonts w:ascii="Arial" w:cs="Arial" w:eastAsia="Arial" w:hAnsi="Arial"/>
          <w:b/>
          <w:bCs/>
          <w:color w:val="4A4A6A"/>
          <w:sz w:val="20"/>
          <w:szCs w:val="20"/>
        </w:rPr>
        <w:t xml:space="preserve">END OF DOCUMENT  —  v2.0</w:t>
      </w:r>
    </w:p>
    <w:p>
      <w:pPr>
        <w:spacing w:after="0"/>
        <w:jc w:val="center"/>
      </w:pPr>
      <w:r>
        <w:rPr>
          <w:rFonts w:ascii="Arial" w:cs="Arial" w:eastAsia="Arial" w:hAnsi="Arial"/>
          <w:color w:val="4A4A6A"/>
          <w:sz w:val="18"/>
          <w:szCs w:val="18"/>
        </w:rPr>
        <w:t xml:space="preserve">SmallClaw Consultancy  |  Blaque Baux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spacing w:before="0"/>
    </w:pPr>
    <w:r>
      <w:rPr>
        <w:rFonts w:ascii="Arial" w:cs="Arial" w:eastAsia="Arial" w:hAnsi="Arial"/>
        <w:color w:val="4A4A6A"/>
        <w:sz w:val="16"/>
        <w:szCs w:val="16"/>
      </w:rPr>
      <w:t xml:space="preserve">SmallClaw Consultancy — Internal Use Only</w:t>
    </w:r>
    <w:r>
      <w:rPr>
        <w:rFonts w:ascii="Arial" w:cs="Arial" w:eastAsia="Arial" w:hAnsi="Arial"/>
        <w:color w:val="1A1A2E"/>
        <w:sz w:val="16"/>
        <w:szCs w:val="16"/>
      </w:rPr>
      <w:t xml:space="preserve">	</w:t>
    </w:r>
    <w:r>
      <w:rPr>
        <w:rFonts w:ascii="Arial" w:cs="Arial" w:eastAsia="Arial" w:hAnsi="Arial"/>
        <w:color w:val="4A4A6A"/>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spacing w:after="0"/>
    </w:pPr>
    <w:r>
      <w:rPr>
        <w:rFonts w:ascii="Arial" w:cs="Arial" w:eastAsia="Arial" w:hAnsi="Arial"/>
        <w:color w:val="4A4A6A"/>
        <w:sz w:val="16"/>
        <w:szCs w:val="16"/>
      </w:rPr>
      <w:t xml:space="preserve">BLAQUE BAUX  |  Gamma-ARMA Regime Framework  v2.0</w:t>
    </w:r>
    <w:r>
      <w:rPr>
        <w:rFonts w:ascii="Arial" w:cs="Arial" w:eastAsia="Arial" w:hAnsi="Arial"/>
        <w:color w:val="1A1A2E"/>
        <w:sz w:val="16"/>
        <w:szCs w:val="16"/>
      </w:rPr>
      <w:t xml:space="preserve">	</w:t>
    </w:r>
    <w:r>
      <w:rPr>
        <w:rFonts w:ascii="Arial" w:cs="Arial" w:eastAsia="Arial" w:hAnsi="Arial"/>
        <w:b/>
        <w:bCs/>
        <w:color w:val="C5703A"/>
        <w:sz w:val="16"/>
        <w:szCs w:val="16"/>
      </w:rPr>
      <w:t xml:space="preserve">PROPRIETARY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2026-05-17T06:15:38.785Z</dcterms:created>
  <dcterms:modified xsi:type="dcterms:W3CDTF">2026-05-17T06:15:38.800Z</dcterms:modified>
</cp:coreProperties>
</file>

<file path=docProps/custom.xml><?xml version="1.0" encoding="utf-8"?>
<Properties xmlns="http://schemas.openxmlformats.org/officeDocument/2006/custom-properties" xmlns:vt="http://schemas.openxmlformats.org/officeDocument/2006/docPropsVTypes"/>
</file>