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800"/>
        <w:jc w:val="center"/>
      </w:pPr>
      <w:r>
        <w:rPr>
          <w:rFonts w:ascii="Arial" w:cs="Arial" w:eastAsia="Arial" w:hAnsi="Arial"/>
          <w:b/>
          <w:bCs/>
          <w:color w:val="B22222"/>
          <w:sz w:val="28"/>
          <w:szCs w:val="28"/>
        </w:rPr>
        <w:t xml:space="preserve">⚠️  INTERNAL WORKING DRAFT — NOT FOR DISTRIBUTION  ⚠️</w:t>
      </w:r>
    </w:p>
    <w:p>
      <w:pPr>
        <w:spacing w:after="120"/>
        <w:jc w:val="center"/>
      </w:pPr>
      <w:r>
        <w:rPr>
          <w:rFonts w:ascii="Arial" w:cs="Arial" w:eastAsia="Arial" w:hAnsi="Arial"/>
          <w:b/>
          <w:bCs/>
          <w:color w:val="1B3A5C"/>
          <w:sz w:val="44"/>
          <w:szCs w:val="44"/>
        </w:rPr>
        <w:t xml:space="preserve">Blaque Baux — Gamma-ARMA Regime Framework</w:t>
      </w:r>
    </w:p>
    <w:p>
      <w:pPr>
        <w:spacing w:after="120"/>
        <w:jc w:val="center"/>
      </w:pPr>
      <w:r>
        <w:rPr>
          <w:rFonts w:ascii="Arial" w:cs="Arial" w:eastAsia="Arial" w:hAnsi="Arial"/>
          <w:color w:val="2E75B6"/>
          <w:sz w:val="30"/>
          <w:szCs w:val="30"/>
        </w:rPr>
        <w:t xml:space="preserve">Appendix: Pre-Distribution Review</w:t>
      </w:r>
    </w:p>
    <w:p>
      <w:pPr>
        <w:spacing w:after="600"/>
        <w:jc w:val="center"/>
      </w:pPr>
      <w:r>
        <w:rPr>
          <w:rFonts w:ascii="Arial" w:cs="Arial" w:eastAsia="Arial" w:hAnsi="Arial"/>
          <w:color w:val="4A4A6A"/>
          <w:sz w:val="22"/>
          <w:szCs w:val="22"/>
        </w:rPr>
        <w:t xml:space="preserve">Remaining Issues • Resolution Decisions • Task Register</w:t>
      </w:r>
    </w:p>
    <w:p>
      <w:pPr>
        <w:spacing w:after="400"/>
        <w:jc w:val="center"/>
      </w:pPr>
      <w:r>
        <w:rPr>
          <w:rFonts w:ascii="Arial" w:cs="Arial" w:eastAsia="Arial" w:hAnsi="Arial"/>
          <w:i/>
          <w:iCs/>
          <w:color w:val="4A4A6A"/>
          <w:sz w:val="20"/>
          <w:szCs w:val="20"/>
        </w:rPr>
        <w:t xml:space="preserve">This appendix documents issues identified across five rounds of review of the Blaque Baux pitch preparation materials. It is appended to the v2.0 technical specification for consolidated review. No part of this appendix or the attached specification may be distributed to any prospective investor until every item in the Pre-Distribution Task Register (Section B) is marked Complete.</w:t>
      </w:r>
    </w:p>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A. Remaining Issues — Ordered by Consequence</w:t>
      </w:r>
    </w:p>
    <w:p>
      <w:pPr>
        <w:spacing w:after="120"/>
      </w:pPr>
      <w:r>
        <w:rPr>
          <w:rFonts w:ascii="Arial" w:cs="Arial" w:eastAsia="Arial" w:hAnsi="Arial"/>
          <w:color w:val="1A1A2E"/>
          <w:sz w:val="20"/>
          <w:szCs w:val="20"/>
        </w:rPr>
        <w:t xml:space="preserve">The following issues were identified in the fifth and final round of review of the investor pitch preparation materials. They are documented here for resolution before any investor conversation. Each issue includes: the finding, its consequence in a VC meeting, the specific decision required, and a note on whether the issue is a document correction or requires actual work to be done first.</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none" w:color="FFFFFF" w:sz="0"/>
            </w:tcBorders>
            <w:shd w:fill="EEF3F8" w:val="clear"/>
            <w:tcMar>
              <w:top w:type="dxa" w:w="100"/>
              <w:left w:type="dxa" w:w="200"/>
              <w:bottom w:type="dxa" w:w="100"/>
              <w:right w:type="dxa" w:w="120"/>
            </w:tcMar>
          </w:tcPr>
          <w:p>
            <w:pPr>
              <w:spacing w:after="0"/>
            </w:pPr>
            <w:r>
              <w:rPr>
                <w:rFonts w:ascii="Arial" w:cs="Arial" w:eastAsia="Arial" w:hAnsi="Arial"/>
                <w:b/>
                <w:bCs/>
                <w:color w:val="7B2D00"/>
                <w:sz w:val="20"/>
                <w:szCs w:val="20"/>
              </w:rPr>
              <w:t xml:space="preserve">Overall status: </w:t>
            </w:r>
            <w:r>
              <w:rPr>
                <w:rFonts w:ascii="Arial" w:cs="Arial" w:eastAsia="Arial" w:hAnsi="Arial"/>
                <w:color w:val="7B2D00"/>
                <w:sz w:val="20"/>
                <w:szCs w:val="20"/>
              </w:rPr>
              <w:t xml:space="preserve">Five rounds of review have identified that the evidence base has not yet been built. The documents have been written and corrected in the abstract. Before any investor meeting, the task register in Section B must be completed. The framework is strong. The pitch is not ready.</w:t>
            </w:r>
          </w:p>
        </w:tc>
      </w:tr>
    </w:tbl>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A.1 — CRITICAL: Leverage Table Proves the LP Pitch Doesn’t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16"/>
              <w:bottom w:val="single" w:color="B22222" w:sz="1"/>
              <w:right w:val="none" w:color="FFFFFF" w:sz="0"/>
            </w:tcBorders>
            <w:shd w:fill="FFE0E0" w:val="clear"/>
            <w:tcMar>
              <w:top w:type="dxa" w:w="100"/>
              <w:left w:type="dxa" w:w="200"/>
              <w:bottom w:type="dxa" w:w="100"/>
              <w:right w:type="dxa" w:w="120"/>
            </w:tcMar>
          </w:tcPr>
          <w:p>
            <w:pPr>
              <w:spacing w:after="0"/>
            </w:pPr>
            <w:r>
              <w:rPr>
                <w:rFonts w:ascii="Arial" w:cs="Arial" w:eastAsia="Arial" w:hAnsi="Arial"/>
                <w:b/>
                <w:bCs/>
                <w:color w:val="B22222"/>
                <w:sz w:val="20"/>
                <w:szCs w:val="20"/>
              </w:rPr>
              <w:t xml:space="preserve">Finding: </w:t>
            </w:r>
            <w:r>
              <w:rPr>
                <w:rFonts w:ascii="Arial" w:cs="Arial" w:eastAsia="Arial" w:hAnsi="Arial"/>
                <w:color w:val="B22222"/>
                <w:sz w:val="20"/>
                <w:szCs w:val="20"/>
              </w:rPr>
              <w:t xml:space="preserve">The ‘sweet spot’ row (1.45× leverage, 5.8% net) and the conservative row (0.91×, 5.6% net) differ by 20 basis points. At current borrowing costs, the portable alpha framework produces flat LP net returns regardless of leverage chosen. This is not a document error. It is an arithmetic consequence of current market conditions.</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The arithmetic:  </w:t>
      </w:r>
      <w:r>
        <w:rPr>
          <w:rFonts w:ascii="Arial" w:cs="Arial" w:eastAsia="Arial" w:hAnsi="Arial"/>
          <w:color w:val="1A1A2E"/>
          <w:sz w:val="20"/>
          <w:szCs w:val="20"/>
        </w:rPr>
        <w:t xml:space="preserve">At Sharpe 1.0 and borrowing rate 6%, each additional unit of leverage generates exactly (Sharpe × base vol) of gross return and costs (borrowing rate × leverage) in financing. At Sharpe 1.0, excess return per unit of vol = 1.0 × 1% = 1%. Borrowing cost per unit of leverage at 6% = 6%. Net benefit of additional leverage is negative unless Sharpe × base vol &gt; borrowing cost, i.e., unless base vol &gt; 6%. At base vol of 5.5%, each unit of leverage destroys approximately 0.5% of net return before fees.</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400"/>
        <w:gridCol w:w="1400"/>
        <w:gridCol w:w="1660"/>
        <w:gridCol w:w="1500"/>
        <w:gridCol w:w="1400"/>
      </w:tblGrid>
      <w:tr>
        <w:tc>
          <w:tcPr>
            <w:tcW w:type="dxa" w:w="1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Target Vol</w:t>
            </w:r>
          </w:p>
        </w:tc>
        <w:tc>
          <w:tcPr>
            <w:tcW w:type="dxa" w:w="1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Leverage</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Gross Return</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Borrowing Cost</w:t>
            </w:r>
          </w:p>
        </w:tc>
        <w:tc>
          <w:tcPr>
            <w:tcW w:type="dxa" w:w="16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Net Before Fees</w:t>
            </w:r>
          </w:p>
        </w:tc>
        <w:tc>
          <w:tcPr>
            <w:tcW w:type="dxa" w:w="1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Net After 2/20</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Assessment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0.91×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Viable</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 (stated sweet spot)</w:t>
            </w:r>
          </w:p>
        </w:tc>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1.45×</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12.5%</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2.7%</w:t>
            </w:r>
          </w:p>
        </w:tc>
        <w:tc>
          <w:tcPr>
            <w:tcW w:type="dxa" w:w="16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9.8%</w:t>
            </w:r>
          </w:p>
        </w:tc>
        <w:tc>
          <w:tcPr>
            <w:tcW w:type="dxa" w:w="15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5.8%</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vAlign w:val="top"/>
          </w:tcPr>
          <w:p>
            <w:pPr>
              <w:spacing w:after="0"/>
            </w:pPr>
            <w:r>
              <w:rPr>
                <w:rFonts w:ascii="Arial" w:cs="Arial" w:eastAsia="Arial" w:hAnsi="Arial"/>
                <w:b w:val="false"/>
                <w:bCs w:val="false"/>
                <w:color w:val="7B2D00"/>
                <w:sz w:val="18"/>
                <w:szCs w:val="18"/>
              </w:rPr>
              <w:t xml:space="preserve">20bps better — not a sweet spot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1.82×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14.5%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4.9%</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5.7%</w:t>
            </w:r>
          </w:p>
        </w:tc>
        <w:tc>
          <w:tcPr>
            <w:tcW w:type="dxa" w:w="14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vAlign w:val="top"/>
          </w:tcPr>
          <w:p>
            <w:pPr>
              <w:spacing w:after="0"/>
            </w:pPr>
            <w:r>
              <w:rPr>
                <w:rFonts w:ascii="Arial" w:cs="Arial" w:eastAsia="Arial" w:hAnsi="Arial"/>
                <w:b w:val="false"/>
                <w:bCs w:val="false"/>
                <w:color w:val="7B2D00"/>
                <w:sz w:val="18"/>
                <w:szCs w:val="18"/>
              </w:rPr>
              <w:t xml:space="preserve">Worse than 5% vol after borrowing</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w:t>
            </w:r>
          </w:p>
        </w:tc>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2.73×</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19.5%</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10.4%</w:t>
            </w:r>
          </w:p>
        </w:tc>
        <w:tc>
          <w:tcPr>
            <w:tcW w:type="dxa" w:w="16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9.1%</w:t>
            </w:r>
          </w:p>
        </w:tc>
        <w:tc>
          <w:tcPr>
            <w:tcW w:type="dxa" w:w="15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5.3%</w:t>
            </w:r>
          </w:p>
        </w:tc>
        <w:tc>
          <w:tcPr>
            <w:tcW w:type="dxa" w:w="14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val="false"/>
                <w:bCs w:val="false"/>
                <w:color w:val="B22222"/>
                <w:sz w:val="18"/>
                <w:szCs w:val="18"/>
              </w:rPr>
              <w:t xml:space="preserve">Worse than all others — unviable</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The consequence:  </w:t>
      </w:r>
      <w:r>
        <w:rPr>
          <w:rFonts w:ascii="Arial" w:cs="Arial" w:eastAsia="Arial" w:hAnsi="Arial"/>
          <w:color w:val="1A1A2E"/>
          <w:sz w:val="20"/>
          <w:szCs w:val="20"/>
        </w:rPr>
        <w:t xml:space="preserve">A quant VC who builds this table in Excel will see that net LP returns are flat across a fourfold increase in leverage and risk. The portable alpha argument — ‘the investor chooses their return by choosing their leverage’ — is mathematically correct but economically vacuous when the net return doesn’t change with leverage. The VC will say: ‘Why would an LP take on 0.45× of borrowing risk for 20 basis points?’ There is no good answer.</w:t>
      </w:r>
    </w:p>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The cause:  </w:t>
      </w:r>
      <w:r>
        <w:rPr>
          <w:rFonts w:ascii="Arial" w:cs="Arial" w:eastAsia="Arial" w:hAnsi="Arial"/>
          <w:color w:val="1A1A2E"/>
          <w:sz w:val="20"/>
          <w:szCs w:val="20"/>
        </w:rPr>
        <w:t xml:space="preserve">The portable alpha framework requires Sharpe &gt; (borrowing cost / base vol) for leverage to create LP value. At Sharpe 1.0 and base vol 5.5%, the breakeven borrowing cost is 5.5%. Current borrowing cost is approximately 6%. The strategy is 50 basis points below the viability threshold for leverage portability.</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000"/>
        <w:gridCol w:w="1560"/>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Condition</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Required Value</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Current Value</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Gap</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Sharpe for leverage to add LP value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Sharpe &gt; borrowing rate / base vol = 6% / 5.5% = 1.09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0.9–1.1 (provisional)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At low end (0.9), meaningfully below threshold; at high end (1.1), marginally above</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Or: Base vol for Sharpe 1.0 to work</w:t>
            </w:r>
          </w:p>
        </w:tc>
        <w:tc>
          <w:tcPr>
            <w:tcW w:type="dxa" w:w="3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Base vol &gt; 6% / 1.0 = 6.0%</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5.5% (estimated)</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0.5% below threshold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Or: Borrowing cost at which Sharpe 1.0 and 5.5% vol work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Borrowing &lt; Sharpe × base vol = 1.0 × 5.5% = 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0.5% above viability</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Decision required:  </w:t>
      </w:r>
      <w:r>
        <w:rPr>
          <w:rFonts w:ascii="Arial" w:cs="Arial" w:eastAsia="Arial" w:hAnsi="Arial"/>
          <w:color w:val="1A1A2E"/>
          <w:sz w:val="20"/>
          <w:szCs w:val="20"/>
        </w:rPr>
        <w:t xml:space="preserve">Choose one of three responses:</w:t>
      </w:r>
    </w:p>
    <w:p>
      <w:pPr>
        <w:pStyle w:val="ListParagraph"/>
        <w:numPr>
          <w:ilvl w:val="0"/>
          <w:numId w:val="2"/>
        </w:numPr>
        <w:spacing w:after="80"/>
      </w:pPr>
      <w:r>
        <w:rPr>
          <w:rFonts w:ascii="Arial" w:cs="Arial" w:eastAsia="Arial" w:hAnsi="Arial"/>
          <w:color w:val="1A1A2E"/>
          <w:sz w:val="20"/>
          <w:szCs w:val="20"/>
        </w:rPr>
        <w:t xml:space="preserve">Option A: Run the backtest and verify that the confirmed Sharpe is 1.1+ (above the viability threshold at current borrowing costs). If true, the leverage portability argument works marginally and the table can be presented honestly with the threshold calculation shown.</w:t>
      </w:r>
    </w:p>
    <w:p>
      <w:pPr>
        <w:pStyle w:val="ListParagraph"/>
        <w:numPr>
          <w:ilvl w:val="0"/>
          <w:numId w:val="2"/>
        </w:numPr>
        <w:spacing w:after="80"/>
      </w:pPr>
      <w:r>
        <w:rPr>
          <w:rFonts w:ascii="Arial" w:cs="Arial" w:eastAsia="Arial" w:hAnsi="Arial"/>
          <w:color w:val="1A1A2E"/>
          <w:sz w:val="20"/>
          <w:szCs w:val="20"/>
        </w:rPr>
        <w:t xml:space="preserve">Option B: Reduce management fee structure (e.g., 1% management + 15% carry for institutional investors) to lower the fee drag on leveraged returns, making the LP economics work at Sharpe 1.0. Renegotiate or offer a fee structure that aligns with the leverage framework.</w:t>
      </w:r>
    </w:p>
    <w:p>
      <w:pPr>
        <w:pStyle w:val="ListParagraph"/>
        <w:numPr>
          <w:ilvl w:val="0"/>
          <w:numId w:val="2"/>
        </w:numPr>
        <w:spacing w:after="80"/>
      </w:pPr>
      <w:r>
        <w:rPr>
          <w:rFonts w:ascii="Arial" w:cs="Arial" w:eastAsia="Arial" w:hAnsi="Arial"/>
          <w:color w:val="1A1A2E"/>
          <w:sz w:val="20"/>
          <w:szCs w:val="20"/>
        </w:rPr>
        <w:t xml:space="preserve">Option C: Drop the leverage portability framing entirely. Reposition the strategy as low-volatility absolute return (‘Sharpe 1.0 at 5.5% vol; you decide allocation size’) rather than as portable alpha. This is more honest and avoids the leverage arithmetic problem entirely. The Sharpe is still the selling point, but the mechanism is allocation size, not leverage.</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none" w:color="FFFFFF" w:sz="0"/>
            </w:tcBorders>
            <w:shd w:fill="EEF3F8" w:val="clear"/>
            <w:tcMar>
              <w:top w:type="dxa" w:w="100"/>
              <w:left w:type="dxa" w:w="200"/>
              <w:bottom w:type="dxa" w:w="100"/>
              <w:right w:type="dxa" w:w="120"/>
            </w:tcMar>
          </w:tcPr>
          <w:p>
            <w:pPr>
              <w:spacing w:after="0"/>
            </w:pPr>
            <w:r>
              <w:rPr>
                <w:rFonts w:ascii="Arial" w:cs="Arial" w:eastAsia="Arial" w:hAnsi="Arial"/>
                <w:b/>
                <w:bCs/>
                <w:color w:val="2E75B6"/>
                <w:sz w:val="20"/>
                <w:szCs w:val="20"/>
              </w:rPr>
              <w:t xml:space="preserve">Recommendation: </w:t>
            </w:r>
            <w:r>
              <w:rPr>
                <w:rFonts w:ascii="Arial" w:cs="Arial" w:eastAsia="Arial" w:hAnsi="Arial"/>
                <w:color w:val="1A1A2E"/>
                <w:sz w:val="20"/>
                <w:szCs w:val="20"/>
              </w:rPr>
              <w:t xml:space="preserve">Option C is the most defensible and requires no change to the evidence base. Option A requires the backtest to confirm Sharpe &gt; 1.09, which may or may not be true. Option B requires a fee renegotiation that may not be appropriate at this stage. If the backtest returns Sharpe &gt; 1.1, pursue Option A. If Sharpe is 0.9-1.0, pursue Option C. Either way, run the backtest first.</w:t>
            </w:r>
          </w:p>
        </w:tc>
      </w:tr>
    </w:tbl>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A.2 — SIGNIFICANT: Fee Base Is Unspecified but Material at Leverage</w:t>
      </w:r>
    </w:p>
    <w:p>
      <w:pPr>
        <w:spacing w:after="120"/>
      </w:pPr>
      <w:r>
        <w:rPr>
          <w:rFonts w:ascii="Arial" w:cs="Arial" w:eastAsia="Arial" w:hAnsi="Arial"/>
          <w:b/>
          <w:bCs/>
          <w:color w:val="1A1A2E"/>
          <w:sz w:val="20"/>
          <w:szCs w:val="20"/>
        </w:rPr>
        <w:t xml:space="preserve">Finding:  </w:t>
      </w:r>
      <w:r>
        <w:rPr>
          <w:rFonts w:ascii="Arial" w:cs="Arial" w:eastAsia="Arial" w:hAnsi="Arial"/>
          <w:color w:val="1A1A2E"/>
          <w:sz w:val="20"/>
          <w:szCs w:val="20"/>
        </w:rPr>
        <w:t xml:space="preserve">The 2% management fee is stated without specifying whether it is charged on AUM or on notional exposure. At 1.82× leverage on $10M AUM, the fund manages $18.2M notional. Fee on AUM = $200k/year. Fee on notional = $364k/year. The difference is 1.6% of AUM — nearly 40% of the strategy’s gross return at base leverage. This is not a minor disclosure gap.</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700"/>
        <w:gridCol w:w="1700"/>
        <w:gridCol w:w="1760"/>
        <w:gridCol w:w="2200"/>
      </w:tblGrid>
      <w:tr>
        <w:tc>
          <w:tcPr>
            <w:tcW w:type="dxa" w:w="1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AUM</w:t>
            </w:r>
          </w:p>
        </w:tc>
        <w:tc>
          <w:tcPr>
            <w:tcW w:type="dxa" w:w="1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Leverage</w:t>
            </w:r>
          </w:p>
        </w:tc>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Notional Exposure</w:t>
            </w:r>
          </w:p>
        </w:tc>
        <w:tc>
          <w:tcPr>
            <w:tcW w:type="dxa" w:w="1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Fee on AUM (2%)</w:t>
            </w:r>
          </w:p>
        </w:tc>
        <w:tc>
          <w:tcPr>
            <w:tcW w:type="dxa" w:w="1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Fee on Notional (2%)</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Difference as % of Gross Return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0.91×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$9.1M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$200k</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$182k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Negligible</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$10M</w:t>
            </w:r>
          </w:p>
        </w:tc>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1.45×</w:t>
            </w:r>
          </w:p>
        </w:tc>
        <w:tc>
          <w:tcPr>
            <w:tcW w:type="dxa" w:w="1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$14.5M</w:t>
            </w:r>
          </w:p>
        </w:tc>
        <w:tc>
          <w:tcPr>
            <w:tcW w:type="dxa" w:w="1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$200k</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$290k</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0.9% of gross return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1.82×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$18.2M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$200k</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$364k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1.6% of gross return</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$10M</w:t>
            </w:r>
          </w:p>
        </w:tc>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2.73×</w:t>
            </w:r>
          </w:p>
        </w:tc>
        <w:tc>
          <w:tcPr>
            <w:tcW w:type="dxa" w:w="1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$27.3M</w:t>
            </w:r>
          </w:p>
        </w:tc>
        <w:tc>
          <w:tcPr>
            <w:tcW w:type="dxa" w:w="1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$200k</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$546k</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3.5% of gross return (exceeds net return)</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Decision required:  </w:t>
      </w:r>
      <w:r>
        <w:rPr>
          <w:rFonts w:ascii="Arial" w:cs="Arial" w:eastAsia="Arial" w:hAnsi="Arial"/>
          <w:color w:val="1A1A2E"/>
          <w:sz w:val="20"/>
          <w:szCs w:val="20"/>
        </w:rPr>
        <w:t xml:space="preserve">State explicitly in all investor documents: management fee is charged on committed AUM, not on notional exposure. This is the standard for systematic funds. If any deviation from AUM-based fees is contemplated, legal counsel must review the fee disclosure before any offering document is circulated.</w:t>
      </w:r>
    </w:p>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A.3 — SIGNIFICANT: VC Return Table Omits Dilution and Undervalues Combined Exit</w:t>
      </w:r>
    </w:p>
    <w:p>
      <w:pPr>
        <w:spacing w:after="120"/>
      </w:pPr>
      <w:r>
        <w:rPr>
          <w:rFonts w:ascii="Arial" w:cs="Arial" w:eastAsia="Arial" w:hAnsi="Arial"/>
          <w:b/>
          <w:bCs/>
          <w:color w:val="1A1A2E"/>
          <w:sz w:val="20"/>
          <w:szCs w:val="20"/>
        </w:rPr>
        <w:t xml:space="preserve">Finding part 1 — Dilution:  </w:t>
      </w:r>
      <w:r>
        <w:rPr>
          <w:rFonts w:ascii="Arial" w:cs="Arial" w:eastAsia="Arial" w:hAnsi="Arial"/>
          <w:color w:val="1A1A2E"/>
          <w:sz w:val="20"/>
          <w:szCs w:val="20"/>
        </w:rPr>
        <w:t xml:space="preserve">The VC return table shows 12.5× to 27× ROIC at stated equity percentages (9-17%), with ‘10× conservative’ stated as a target. Typical dilution through Series A and B rounds is 30-40% of the seed investor’s original equity stake. A VC who buys 16.7% at seed may own 10-12% at exit.</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100"/>
        <w:gridCol w:w="1660"/>
        <w:gridCol w:w="1260"/>
        <w:gridCol w:w="1260"/>
        <w:gridCol w:w="900"/>
        <w:gridCol w:w="1380"/>
      </w:tblGrid>
      <w:tr>
        <w:tc>
          <w:tcPr>
            <w:tcW w:type="dxa" w:w="1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Investment</w:t>
            </w:r>
          </w:p>
        </w:tc>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Pre-money</w:t>
            </w:r>
          </w:p>
        </w:tc>
        <w:tc>
          <w:tcPr>
            <w:tcW w:type="dxa" w:w="1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Seed Equity</w:t>
            </w:r>
          </w:p>
        </w:tc>
        <w:tc>
          <w:tcPr>
            <w:tcW w:type="dxa" w:w="16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Post-dilution Equity (35% dilution)</w:t>
            </w:r>
          </w:p>
        </w:tc>
        <w:tc>
          <w:tcPr>
            <w:tcW w:type="dxa" w:w="12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Exit ($75M low)</w:t>
            </w:r>
          </w:p>
        </w:tc>
        <w:tc>
          <w:tcPr>
            <w:tcW w:type="dxa" w:w="12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Exit ($150M high)</w:t>
            </w:r>
          </w:p>
        </w:tc>
        <w:tc>
          <w:tcPr>
            <w:tcW w:type="dxa" w:w="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ROIC Low</w:t>
            </w:r>
          </w:p>
        </w:tc>
        <w:tc>
          <w:tcPr>
            <w:tcW w:type="dxa" w:w="13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ROIC High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$500k</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$5M</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9.1%</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5.9%</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$4.4M</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$8.9M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8.8×</w:t>
            </w:r>
          </w:p>
        </w:tc>
        <w:tc>
          <w:tcPr>
            <w:tcW w:type="dxa" w:w="1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17.7×</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$1M</w:t>
            </w:r>
          </w:p>
        </w:tc>
        <w:tc>
          <w:tcPr>
            <w:tcW w:type="dxa" w:w="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$5M</w:t>
            </w:r>
          </w:p>
        </w:tc>
        <w:tc>
          <w:tcPr>
            <w:tcW w:type="dxa" w:w="1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16.7%</w:t>
            </w:r>
          </w:p>
        </w:tc>
        <w:tc>
          <w:tcPr>
            <w:tcW w:type="dxa" w:w="16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10.9%</w:t>
            </w:r>
          </w:p>
        </w:tc>
        <w:tc>
          <w:tcPr>
            <w:tcW w:type="dxa" w:w="12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$8.1M</w:t>
            </w:r>
          </w:p>
        </w:tc>
        <w:tc>
          <w:tcPr>
            <w:tcW w:type="dxa" w:w="12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$16.3M</w:t>
            </w:r>
          </w:p>
        </w:tc>
        <w:tc>
          <w:tcPr>
            <w:tcW w:type="dxa" w:w="9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8.1×</w:t>
            </w:r>
          </w:p>
        </w:tc>
        <w:tc>
          <w:tcPr>
            <w:tcW w:type="dxa" w:w="138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16.3×</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$1M</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$5M (no further rounds)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16.7%</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16.7%</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$12.5M</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$25.1M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12.5×</w:t>
            </w:r>
          </w:p>
        </w:tc>
        <w:tc>
          <w:tcPr>
            <w:tcW w:type="dxa" w:w="1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25.1×</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Correction:  </w:t>
      </w:r>
      <w:r>
        <w:rPr>
          <w:rFonts w:ascii="Arial" w:cs="Arial" w:eastAsia="Arial" w:hAnsi="Arial"/>
          <w:color w:val="1A1A2E"/>
          <w:sz w:val="20"/>
          <w:szCs w:val="20"/>
        </w:rPr>
        <w:t xml:space="preserve">With one dilutive round, the ROIC range is 8-18× — not 12-27×. The ‘10× conservative’ target holds under the dilution scenario. State explicitly: ‘Assuming one dilutive round (35% dilution), seed investor’s stake at exit is approximately 6-11%. ROIC range is 8-18× depending on check size and exit value. The 10× conservative target reflects the diluted midpoint.’</w:t>
      </w:r>
    </w:p>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Finding part 2 — Combined valuation:  </w:t>
      </w:r>
      <w:r>
        <w:rPr>
          <w:rFonts w:ascii="Arial" w:cs="Arial" w:eastAsia="Arial" w:hAnsi="Arial"/>
          <w:color w:val="1A1A2E"/>
          <w:sz w:val="20"/>
          <w:szCs w:val="20"/>
        </w:rPr>
        <w:t xml:space="preserve">The VC table uses a licensing-only exit value of $7.5-15M, omitting the management company’s fund economics value. A strategic acquirer pays for both income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80"/>
              <w:bottom w:type="dxa" w:w="80"/>
              <w:right w:type="dxa" w:w="120"/>
            </w:tcMar>
          </w:tcPr>
          <w:p>
            <w:pPr>
              <w:spacing w:after="40"/>
            </w:pPr>
            <w:r>
              <w:rPr>
                <w:rFonts w:ascii="Courier New" w:cs="Courier New" w:eastAsia="Courier New" w:hAnsi="Courier New"/>
                <w:color w:val="1B3A5C"/>
                <w:sz w:val="18"/>
                <w:szCs w:val="18"/>
              </w:rPr>
              <w:t xml:space="preserve">Combined management company annual revenue at $50M AUM:</w:t>
            </w:r>
          </w:p>
          <w:p>
            <w:pPr>
              <w:spacing w:after="40"/>
            </w:pPr>
            <w:r>
              <w:rPr>
                <w:rFonts w:ascii="Courier New" w:cs="Courier New" w:eastAsia="Courier New" w:hAnsi="Courier New"/>
                <w:color w:val="1B3A5C"/>
                <w:sz w:val="18"/>
                <w:szCs w:val="18"/>
              </w:rPr>
              <w:t xml:space="preserve">  Management fee (2% of $50M AUM):              $1,000,000</w:t>
            </w:r>
          </w:p>
          <w:p>
            <w:pPr>
              <w:spacing w:after="40"/>
            </w:pPr>
            <w:r>
              <w:rPr>
                <w:rFonts w:ascii="Courier New" w:cs="Courier New" w:eastAsia="Courier New" w:hAnsi="Courier New"/>
                <w:color w:val="1B3A5C"/>
                <w:sz w:val="18"/>
                <w:szCs w:val="18"/>
              </w:rPr>
              <w:t xml:space="preserve">  Carried interest (20% of 5% gross on $50M):   $500,000</w:t>
            </w:r>
          </w:p>
          <w:p>
            <w:pPr>
              <w:spacing w:after="40"/>
            </w:pPr>
            <w:r>
              <w:rPr>
                <w:rFonts w:ascii="Courier New" w:cs="Courier New" w:eastAsia="Courier New" w:hAnsi="Courier New"/>
                <w:color w:val="1B3A5C"/>
                <w:sz w:val="18"/>
                <w:szCs w:val="18"/>
              </w:rPr>
              <w:t xml:space="preserve">  Licensing revenue (5 licensees at $250k):     $1,250,000</w:t>
            </w:r>
          </w:p>
          <w:p>
            <w:pPr>
              <w:spacing w:after="40"/>
            </w:pPr>
            <w:r>
              <w:rPr>
                <w:rFonts w:ascii="Courier New" w:cs="Courier New" w:eastAsia="Courier New" w:hAnsi="Courier New"/>
                <w:color w:val="1B3A5C"/>
                <w:sz w:val="18"/>
                <w:szCs w:val="18"/>
              </w:rPr>
              <w:t xml:space="preserve">  ────────────────────────────────────────────────────────</w:t>
            </w:r>
          </w:p>
          <w:p>
            <w:pPr>
              <w:spacing w:after="40"/>
            </w:pPr>
            <w:r>
              <w:rPr>
                <w:rFonts w:ascii="Courier New" w:cs="Courier New" w:eastAsia="Courier New" w:hAnsi="Courier New"/>
                <w:color w:val="1B3A5C"/>
                <w:sz w:val="18"/>
                <w:szCs w:val="18"/>
              </w:rPr>
              <w:t xml:space="preserve">  Total annual revenue:                         $2,750,000</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At 6× multiple: $16.5M enterprise value</w:t>
            </w:r>
          </w:p>
          <w:p>
            <w:pPr>
              <w:spacing w:after="40"/>
            </w:pPr>
            <w:r>
              <w:rPr>
                <w:rFonts w:ascii="Courier New" w:cs="Courier New" w:eastAsia="Courier New" w:hAnsi="Courier New"/>
                <w:color w:val="1B3A5C"/>
                <w:sz w:val="18"/>
                <w:szCs w:val="18"/>
              </w:rPr>
              <w:t xml:space="preserve">At 8× multiple: $22.0M enterprise value</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At $12.5M ARR (50 licensees, full scale):</w:t>
            </w:r>
          </w:p>
          <w:p>
            <w:pPr>
              <w:spacing w:after="40"/>
            </w:pPr>
            <w:r>
              <w:rPr>
                <w:rFonts w:ascii="Courier New" w:cs="Courier New" w:eastAsia="Courier New" w:hAnsi="Courier New"/>
                <w:color w:val="1B3A5C"/>
                <w:sz w:val="18"/>
                <w:szCs w:val="18"/>
              </w:rPr>
              <w:t xml:space="preserve">  Licensing: $12,500,000</w:t>
            </w:r>
          </w:p>
          <w:p>
            <w:pPr>
              <w:spacing w:after="40"/>
            </w:pPr>
            <w:r>
              <w:rPr>
                <w:rFonts w:ascii="Courier New" w:cs="Courier New" w:eastAsia="Courier New" w:hAnsi="Courier New"/>
                <w:color w:val="1B3A5C"/>
                <w:sz w:val="18"/>
                <w:szCs w:val="18"/>
              </w:rPr>
              <w:t xml:space="preserve">  Fund: $1,500,000</w:t>
            </w:r>
          </w:p>
          <w:p>
            <w:pPr>
              <w:spacing w:after="40"/>
            </w:pPr>
            <w:r>
              <w:rPr>
                <w:rFonts w:ascii="Courier New" w:cs="Courier New" w:eastAsia="Courier New" w:hAnsi="Courier New"/>
                <w:color w:val="1B3A5C"/>
                <w:sz w:val="18"/>
                <w:szCs w:val="18"/>
              </w:rPr>
              <w:t xml:space="preserve">  Total: $14,000,000 ARR</w:t>
            </w:r>
          </w:p>
          <w:p>
            <w:pPr>
              <w:spacing w:after="40"/>
            </w:pPr>
            <w:r>
              <w:rPr>
                <w:rFonts w:ascii="Courier New" w:cs="Courier New" w:eastAsia="Courier New" w:hAnsi="Courier New"/>
                <w:color w:val="1B3A5C"/>
                <w:sz w:val="18"/>
                <w:szCs w:val="18"/>
              </w:rPr>
              <w:t xml:space="preserve">  At 6×: $84M  |  At 8×: $112M</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Decision required:  </w:t>
      </w:r>
      <w:r>
        <w:rPr>
          <w:rFonts w:ascii="Arial" w:cs="Arial" w:eastAsia="Arial" w:hAnsi="Arial"/>
          <w:color w:val="1A1A2E"/>
          <w:sz w:val="20"/>
          <w:szCs w:val="20"/>
        </w:rPr>
        <w:t xml:space="preserve">Replace the licensing-only exit table with a combined revenue model. Use $16.5-22M at Phase 4 entry (5 licensees) and $84-112M at full scale (50 licensees). The VC economics are materially more compelling than the prior table showed.</w:t>
      </w:r>
    </w:p>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A.4 — NOTABLE: Legal Disclaimer Was Removed and Not Replaced</w:t>
      </w:r>
    </w:p>
    <w:p>
      <w:pPr>
        <w:spacing w:after="120"/>
      </w:pPr>
      <w:r>
        <w:rPr>
          <w:rFonts w:ascii="Arial" w:cs="Arial" w:eastAsia="Arial" w:hAnsi="Arial"/>
          <w:b/>
          <w:bCs/>
          <w:color w:val="1A1A2E"/>
          <w:sz w:val="20"/>
          <w:szCs w:val="20"/>
        </w:rPr>
        <w:t xml:space="preserve">Finding:  </w:t>
      </w:r>
      <w:r>
        <w:rPr>
          <w:rFonts w:ascii="Arial" w:cs="Arial" w:eastAsia="Arial" w:hAnsi="Arial"/>
          <w:color w:val="1A1A2E"/>
          <w:sz w:val="20"/>
          <w:szCs w:val="20"/>
        </w:rPr>
        <w:t xml:space="preserve">Version 3.0 had a proper legal disclaimer block. Version 3.1 replaced it with the ‘INTERNAL WORKING DRAFT’ header only. The legal disclaimer is required even for internal documents — it governs what happens if the document is accidentally shared. The disclaimer should appear below the draft warning in all versions.</w:t>
      </w:r>
    </w:p>
    <w:p>
      <w:pPr>
        <w:spacing w:after="80"/>
      </w:pPr>
      <w:r>
        <w:rPr>
          <w:rFonts w:ascii="Arial" w:cs="Arial" w:eastAsia="Arial" w:hAnsi="Arial"/>
          <w:color w:val="1A1A2E"/>
          <w:sz w:val="20"/>
          <w:szCs w:val="20"/>
        </w:rPr>
        <w:t xml:space="preserve"/>
      </w:r>
    </w:p>
    <w:p>
      <w:pPr>
        <w:spacing w:after="120"/>
      </w:pPr>
      <w:r>
        <w:rPr>
          <w:rFonts w:ascii="Arial" w:cs="Arial" w:eastAsia="Arial" w:hAnsi="Arial"/>
          <w:b/>
          <w:bCs/>
          <w:color w:val="1A1A2E"/>
          <w:sz w:val="20"/>
          <w:szCs w:val="20"/>
        </w:rPr>
        <w:t xml:space="preserve">Required disclaimer text (restore in all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14"/>
              <w:bottom w:val="single" w:color="B22222" w:sz="1"/>
              <w:right w:val="none" w:color="FFFFFF" w:sz="0"/>
            </w:tcBorders>
            <w:shd w:fill="FFE0E0" w:val="clear"/>
            <w:tcMar>
              <w:top w:type="dxa" w:w="120"/>
              <w:left w:type="dxa" w:w="200"/>
              <w:bottom w:type="dxa" w:w="120"/>
              <w:right w:type="dxa" w:w="120"/>
            </w:tcMar>
          </w:tcPr>
          <w:p>
            <w:pPr>
              <w:spacing w:after="120"/>
            </w:pPr>
            <w:r>
              <w:rPr>
                <w:rFonts w:ascii="Arial" w:cs="Arial" w:eastAsia="Arial" w:hAnsi="Arial"/>
                <w:b/>
                <w:bCs/>
                <w:color w:val="B22222"/>
                <w:sz w:val="20"/>
                <w:szCs w:val="20"/>
              </w:rPr>
              <w:t xml:space="preserve">LEGAL DISCLAIMER — FOR INSTITUTIONAL USE ONLY</w:t>
            </w:r>
          </w:p>
          <w:p>
            <w:pPr>
              <w:spacing w:after="120"/>
            </w:pPr>
            <w:r>
              <w:rPr>
                <w:rFonts w:ascii="Arial" w:cs="Arial" w:eastAsia="Arial" w:hAnsi="Arial"/>
                <w:color w:val="1A1A2E"/>
                <w:sz w:val="18"/>
                <w:szCs w:val="18"/>
              </w:rPr>
              <w:t xml:space="preserve">This document is a technical specification. It is not an offer to sell or solicitation of an offer to buy any security, fund interest, or financial instrument. No performance data is guaranteed or intended to represent future results. Backtested performance has inherent limitations including survivorship bias, look-ahead bias, and the fact that past results do not predict future performance. SmallClaw Consultancy is not a registered investment adviser. This document does not constitute legal, tax, or investment advice. Distribution to any person other than the intended recipient is prohibited.</w:t>
            </w:r>
          </w:p>
          <w:p>
            <w:pPr>
              <w:spacing w:after="120"/>
            </w:pPr>
            <w:r>
              <w:rPr>
                <w:rFonts w:ascii="Arial" w:cs="Arial" w:eastAsia="Arial" w:hAnsi="Arial"/>
                <w:i/>
                <w:iCs/>
                <w:color w:val="1A1A2E"/>
                <w:sz w:val="18"/>
                <w:szCs w:val="18"/>
              </w:rPr>
              <w:t xml:space="preserve">[If counsel retained: Reviewed by [Name], [Firm] for disclaimer language only. No private placement review has been conducted. That will occur prior to any capital raise.]</w:t>
            </w:r>
          </w:p>
        </w:tc>
      </w:tr>
    </w:tbl>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A.5 — NOTABLE: CAGR Formula Produces 4.6%, Not 4.7%</w:t>
      </w:r>
    </w:p>
    <w:p>
      <w:pPr>
        <w:spacing w:after="120"/>
      </w:pPr>
      <w:r>
        <w:rPr>
          <w:rFonts w:ascii="Arial" w:cs="Arial" w:eastAsia="Arial" w:hAnsi="Arial"/>
          <w:b/>
          <w:bCs/>
          <w:color w:val="1A1A2E"/>
          <w:sz w:val="20"/>
          <w:szCs w:val="20"/>
        </w:rPr>
        <w:t xml:space="preserve">Finding:  </w:t>
      </w:r>
      <w:r>
        <w:rPr>
          <w:rFonts w:ascii="Arial" w:cs="Arial" w:eastAsia="Arial" w:hAnsi="Arial"/>
          <w:color w:val="1A1A2E"/>
          <w:sz w:val="20"/>
          <w:szCs w:val="20"/>
        </w:rPr>
        <w:t xml:space="preserve">The corrected CAGR formula notation — (1.274)^(1/5.33) - 1 — was introduced to fix a prior notation error. However the arithmetic was not checked: e^(0.1876 × ln(1.274)) = e^(0.1876 × 0.2418) = e^0.04536 = 1.0464. The correct annualized result is 4.64%, which rounds to 4.6%, not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80"/>
              <w:bottom w:type="dxa" w:w="80"/>
              <w:right w:type="dxa" w:w="120"/>
            </w:tcMar>
          </w:tcPr>
          <w:p>
            <w:pPr>
              <w:spacing w:after="40"/>
            </w:pPr>
            <w:r>
              <w:rPr>
                <w:rFonts w:ascii="Courier New" w:cs="Courier New" w:eastAsia="Courier New" w:hAnsi="Courier New"/>
                <w:color w:val="1B3A5C"/>
                <w:sz w:val="18"/>
                <w:szCs w:val="18"/>
              </w:rPr>
              <w:t xml:space="preserve">Correct calculation:</w:t>
            </w:r>
          </w:p>
          <w:p>
            <w:pPr>
              <w:spacing w:after="40"/>
            </w:pPr>
            <w:r>
              <w:rPr>
                <w:rFonts w:ascii="Courier New" w:cs="Courier New" w:eastAsia="Courier New" w:hAnsi="Courier New"/>
                <w:color w:val="1B3A5C"/>
                <w:sz w:val="18"/>
                <w:szCs w:val="18"/>
              </w:rPr>
              <w:t xml:space="preserve">  Total return (Jan 2021 - Apr 2026): +27.4%</w:t>
            </w:r>
          </w:p>
          <w:p>
            <w:pPr>
              <w:spacing w:after="40"/>
            </w:pPr>
            <w:r>
              <w:rPr>
                <w:rFonts w:ascii="Courier New" w:cs="Courier New" w:eastAsia="Courier New" w:hAnsi="Courier New"/>
                <w:color w:val="1B3A5C"/>
                <w:sz w:val="18"/>
                <w:szCs w:val="18"/>
              </w:rPr>
              <w:t xml:space="preserve">  Period in years: 5.33</w:t>
            </w:r>
          </w:p>
          <w:p>
            <w:pPr>
              <w:spacing w:after="40"/>
            </w:pPr>
            <w:r>
              <w:rPr>
                <w:rFonts w:ascii="Courier New" w:cs="Courier New" w:eastAsia="Courier New" w:hAnsi="Courier New"/>
                <w:color w:val="1B3A5C"/>
                <w:sz w:val="18"/>
                <w:szCs w:val="18"/>
              </w:rPr>
              <w:t xml:space="preserve">  Formula: (1.274)^(1/5.33) - 1</w:t>
            </w:r>
          </w:p>
          <w:p>
            <w:pPr>
              <w:spacing w:after="40"/>
            </w:pPr>
            <w:r>
              <w:rPr>
                <w:rFonts w:ascii="Courier New" w:cs="Courier New" w:eastAsia="Courier New" w:hAnsi="Courier New"/>
                <w:color w:val="1B3A5C"/>
                <w:sz w:val="18"/>
                <w:szCs w:val="18"/>
              </w:rPr>
              <w:t xml:space="preserve">  Step 1: 1/5.33 = 0.18761</w:t>
            </w:r>
          </w:p>
          <w:p>
            <w:pPr>
              <w:spacing w:after="40"/>
            </w:pPr>
            <w:r>
              <w:rPr>
                <w:rFonts w:ascii="Courier New" w:cs="Courier New" w:eastAsia="Courier New" w:hAnsi="Courier New"/>
                <w:color w:val="1B3A5C"/>
                <w:sz w:val="18"/>
                <w:szCs w:val="18"/>
              </w:rPr>
              <w:t xml:space="preserve">  Step 2: ln(1.274) = 0.24180</w:t>
            </w:r>
          </w:p>
          <w:p>
            <w:pPr>
              <w:spacing w:after="40"/>
            </w:pPr>
            <w:r>
              <w:rPr>
                <w:rFonts w:ascii="Courier New" w:cs="Courier New" w:eastAsia="Courier New" w:hAnsi="Courier New"/>
                <w:color w:val="1B3A5C"/>
                <w:sz w:val="18"/>
                <w:szCs w:val="18"/>
              </w:rPr>
              <w:t xml:space="preserve">  Step 3: 0.18761 × 0.24180 = 0.04537</w:t>
            </w:r>
          </w:p>
          <w:p>
            <w:pPr>
              <w:spacing w:after="40"/>
            </w:pPr>
            <w:r>
              <w:rPr>
                <w:rFonts w:ascii="Courier New" w:cs="Courier New" w:eastAsia="Courier New" w:hAnsi="Courier New"/>
                <w:color w:val="1B3A5C"/>
                <w:sz w:val="18"/>
                <w:szCs w:val="18"/>
              </w:rPr>
              <w:t xml:space="preserve">  Step 4: e^0.04537 = 1.04642</w:t>
            </w:r>
          </w:p>
          <w:p>
            <w:pPr>
              <w:spacing w:after="40"/>
            </w:pPr>
            <w:r>
              <w:rPr>
                <w:rFonts w:ascii="Courier New" w:cs="Courier New" w:eastAsia="Courier New" w:hAnsi="Courier New"/>
                <w:color w:val="1B3A5C"/>
                <w:sz w:val="18"/>
                <w:szCs w:val="18"/>
              </w:rPr>
              <w:t xml:space="preserve">  Step 5: 1.04642 - 1 = 0.04642 = 4.64% ≈ 4.6% (not 4.7%)</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Full period (Jan 2020 - Apr 2026, 6.33 years):</w:t>
            </w:r>
          </w:p>
          <w:p>
            <w:pPr>
              <w:spacing w:after="40"/>
            </w:pPr>
            <w:r>
              <w:rPr>
                <w:rFonts w:ascii="Courier New" w:cs="Courier New" w:eastAsia="Courier New" w:hAnsi="Courier New"/>
                <w:color w:val="1B3A5C"/>
                <w:sz w:val="18"/>
                <w:szCs w:val="18"/>
              </w:rPr>
              <w:t xml:space="preserve">  Total return: +37.8%</w:t>
            </w:r>
          </w:p>
          <w:p>
            <w:pPr>
              <w:spacing w:after="40"/>
            </w:pPr>
            <w:r>
              <w:rPr>
                <w:rFonts w:ascii="Courier New" w:cs="Courier New" w:eastAsia="Courier New" w:hAnsi="Courier New"/>
                <w:color w:val="1B3A5C"/>
                <w:sz w:val="18"/>
                <w:szCs w:val="18"/>
              </w:rPr>
              <w:t xml:space="preserve">  (1.378)^(1/6.33) - 1 = e^(0.15800 × 0.32039) = e^0.05062 = 1.05191 - 1 = 5.19% ≈ 5.2%</w:t>
            </w:r>
          </w:p>
          <w:p>
            <w:pPr>
              <w:spacing w:after="40"/>
            </w:pPr>
            <w:r>
              <w:rPr>
                <w:rFonts w:ascii="Courier New" w:cs="Courier New" w:eastAsia="Courier New" w:hAnsi="Courier New"/>
                <w:color w:val="1B3A5C"/>
                <w:sz w:val="18"/>
                <w:szCs w:val="18"/>
              </w:rPr>
              <w:t xml:space="preserve">  (Note: prior versions stated 5.1%; correct value is 5.2%)</w:t>
            </w:r>
          </w:p>
        </w:tc>
      </w:tr>
    </w:tbl>
    <w:p>
      <w:pPr>
        <w:spacing w:after="120"/>
      </w:pPr>
      <w:r>
        <w:rPr>
          <w:rFonts w:ascii="Arial" w:cs="Arial" w:eastAsia="Arial" w:hAnsi="Arial"/>
          <w:b/>
          <w:bCs/>
          <w:color w:val="1A1A2E"/>
          <w:sz w:val="20"/>
          <w:szCs w:val="20"/>
        </w:rPr>
        <w:t xml:space="preserve">Decision required:  </w:t>
      </w:r>
      <w:r>
        <w:rPr>
          <w:rFonts w:ascii="Arial" w:cs="Arial" w:eastAsia="Arial" w:hAnsi="Arial"/>
          <w:color w:val="1A1A2E"/>
          <w:sz w:val="20"/>
          <w:szCs w:val="20"/>
        </w:rPr>
        <w:t xml:space="preserve">Replace all instances of 4.7% with 4.6% and 5.1% with 5.2% in all investor materials. Minor error but any arithmetic error in a document repeatedly corrected for arithmetic errors is disproportionately damaging to credibility.</w:t>
      </w:r>
    </w:p>
    <w:p>
      <w:pPr>
        <w:spacing w:after="160"/>
      </w:pPr>
      <w:r>
        <w:rPr>
          <w:rFonts w:ascii="Arial" w:cs="Arial" w:eastAsia="Arial" w:hAnsi="Arial"/>
          <w:color w:val="1A1A2E"/>
          <w:sz w:val="20"/>
          <w:szCs w:val="20"/>
        </w:rPr>
        <w:t xml:space="preserve"/>
      </w:r>
    </w:p>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B. Pre-Distribution Task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16"/>
              <w:bottom w:val="single" w:color="B22222" w:sz="1"/>
              <w:right w:val="none" w:color="FFFFFF" w:sz="0"/>
            </w:tcBorders>
            <w:shd w:fill="FFE0E0" w:val="clear"/>
            <w:tcMar>
              <w:top w:type="dxa" w:w="100"/>
              <w:left w:type="dxa" w:w="200"/>
              <w:bottom w:type="dxa" w:w="100"/>
              <w:right w:type="dxa" w:w="120"/>
            </w:tcMar>
          </w:tcPr>
          <w:p>
            <w:pPr>
              <w:spacing w:after="0"/>
            </w:pPr>
            <w:r>
              <w:rPr>
                <w:rFonts w:ascii="Arial" w:cs="Arial" w:eastAsia="Arial" w:hAnsi="Arial"/>
                <w:b/>
                <w:bCs/>
                <w:color w:val="B22222"/>
                <w:sz w:val="20"/>
                <w:szCs w:val="20"/>
              </w:rPr>
              <w:t xml:space="preserve">Mandatory gate: </w:t>
            </w:r>
            <w:r>
              <w:rPr>
                <w:rFonts w:ascii="Arial" w:cs="Arial" w:eastAsia="Arial" w:hAnsi="Arial"/>
                <w:color w:val="B22222"/>
                <w:sz w:val="20"/>
                <w:szCs w:val="20"/>
              </w:rPr>
              <w:t xml:space="preserve">No version of any investor document — technical specification, leave-behind, or pitch deck — may be distributed to any prospective investor until every task below is marked Complete. The current status of all tasks is Not Started.</w:t>
            </w:r>
          </w:p>
        </w:tc>
      </w:tr>
    </w:tbl>
    <w:p>
      <w:pPr>
        <w:spacing w:after="120"/>
      </w:pPr>
      <w:r>
        <w:rPr>
          <w:rFonts w:ascii="Arial" w:cs="Arial" w:eastAsia="Arial" w:hAnsi="Arial"/>
          <w:color w:val="1A1A2E"/>
          <w:sz w:val="20"/>
          <w:szCs w:val="20"/>
        </w:rPr>
        <w:t xml:space="preserve"/>
      </w:r>
    </w:p>
    <w:p>
      <w:pPr>
        <w:spacing w:after="120"/>
      </w:pPr>
      <w:r>
        <w:rPr>
          <w:rFonts w:ascii="Arial" w:cs="Arial" w:eastAsia="Arial" w:hAnsi="Arial"/>
          <w:color w:val="1A1A2E"/>
          <w:sz w:val="20"/>
          <w:szCs w:val="20"/>
        </w:rPr>
        <w:t xml:space="preserve">The task register is organized into four workstreams: (1) Evidence Base — work that must be done before any numbers are confirmed; (2) Legal — work that must be done before any capital is accepted; (3) Document Corrections — edits that can be made once the evidence base is confirmed; and (4) Pitch Preparation — materials required for the investor meeting itself. Tasks are ordered within each workstream by dependency: earlier tasks must complete before later tasks begin.</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03A" w:sz="1"/>
              <w:left w:val="single" w:color="C5703A" w:sz="16"/>
              <w:bottom w:val="single" w:color="C5703A" w:sz="1"/>
              <w:right w:val="none" w:color="FFFFFF" w:sz="0"/>
            </w:tcBorders>
            <w:shd w:fill="FFF3E0" w:val="clear"/>
            <w:tcMar>
              <w:top w:type="dxa" w:w="100"/>
              <w:left w:type="dxa" w:w="200"/>
              <w:bottom w:type="dxa" w:w="100"/>
              <w:right w:type="dxa" w:w="120"/>
            </w:tcMar>
          </w:tcPr>
          <w:p>
            <w:pPr>
              <w:spacing w:after="0"/>
            </w:pPr>
            <w:r>
              <w:rPr>
                <w:rFonts w:ascii="Arial" w:cs="Arial" w:eastAsia="Arial" w:hAnsi="Arial"/>
                <w:b/>
                <w:bCs/>
                <w:color w:val="7B2D00"/>
                <w:sz w:val="20"/>
                <w:szCs w:val="20"/>
              </w:rPr>
              <w:t xml:space="preserve">Time estimate: </w:t>
            </w:r>
            <w:r>
              <w:rPr>
                <w:rFonts w:ascii="Arial" w:cs="Arial" w:eastAsia="Arial" w:hAnsi="Arial"/>
                <w:color w:val="7B2D00"/>
                <w:sz w:val="20"/>
                <w:szCs w:val="20"/>
              </w:rPr>
              <w:t xml:space="preserve">Evidence base: 6-10 hours of computation. Legal: 1-2 weeks minimum. Document corrections: 2-3 hours once numbers are confirmed. Pitch preparation: 1-2 days once evidence base and corrections are complete. Total elapsed time before any investor meeting: approximately 3-4 weeks.</w:t>
            </w:r>
          </w:p>
        </w:tc>
      </w:tr>
    </w:tbl>
    <w:p>
      <w:pPr>
        <w:spacing w:after="12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B.1 — Evidence Base (Do First)</w:t>
      </w:r>
    </w:p>
    <w:p>
      <w:pPr>
        <w:spacing w:after="120"/>
      </w:pPr>
      <w:r>
        <w:rPr>
          <w:rFonts w:ascii="Arial" w:cs="Arial" w:eastAsia="Arial" w:hAnsi="Arial"/>
          <w:color w:val="1A1A2E"/>
          <w:sz w:val="20"/>
          <w:szCs w:val="20"/>
        </w:rPr>
        <w:t xml:space="preserve">These tasks must be completed before any document can be finalized. All provisional numbers in the current document derive from analysis that has not been run. The backtest is the foundation; everything else depends on its output.</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1400"/>
        <w:gridCol w:w="1160"/>
        <w:gridCol w:w="800"/>
      </w:tblGrid>
      <w:tr>
        <w:tc>
          <w:tcPr>
            <w:tcW w:type="dxa" w:w="3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Task</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Why It Matters</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Effort</w:t>
            </w:r>
          </w:p>
        </w:tc>
        <w:tc>
          <w:tcPr>
            <w:tcW w:type="dxa" w:w="1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Dependency</w:t>
            </w:r>
          </w:p>
        </w:tc>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Run corrected backtest: compute total return, CAGR, Sharpe, max drawdown, annualized vol for Jan 2021–Apr 2026 (Gamma-ARMA framework only, no fallback period)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Every number in the leave-behind is provisional. Sharpe of 0.9-1.1 determines whether the portable alpha pitch works or must be reframed (Issue A.1)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2-3 hours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Compute regime breakdown for the full Gamma-ARMA period (Jan 2021–Apr 2026): % days in Fixed, Growth, Floating, Crisis</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Required to disclose out-of-sample regime distribution and validate conditional Sharpe figures</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 hour</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Backtest complete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Compute out-of-sample performance: Jan 2025–Apr 2026. Regime breakdown, conditional Sharpe per strategy, portfolio-level statistics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The 15-month out-of-sample period is the only externally verifiable result. Must include regime breakdown or a VC will ask (Issue E from prior round)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 hours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Backtest complete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Compute portfolio-level annualized volatility from the backtest. Verify consistency with the leverage table (base vol must be &gt; 6% for leverage portability to work, or the pitch framing must change per Issue A.1)</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Current base vol estimate of 5.5% is below the 6% threshold for Sharpe 1.0 leverage portability. If confirmed below 6%, the pitch must be reframed before any investor meeting</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 min</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Backtest complete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Compute Gamma-ARMA-specific Sharpe (Jan 2021–Apr 2026 only, excluding 2020 fallback period). This is the only Sharpe figure that is attributable to the framework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The 1.42 Sharpe from prior versions included 2020. The framework-only Sharpe is the defensible number and will be challenged immediately if it differs from 1.42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 min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Backtest complete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Determine pitch framing based on confirmed Sharpe: if Sharpe &gt; 1.09, pursue portable alpha framing (leverage portability works at current borrowing costs). If Sharpe ≤ 1.09, pivot to absolute return / allocation size framing</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The entire LP pitch structure depends on this decision. Building pitch materials before this is confirmed means building the wrong pitch</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 hours</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Backtest + vol computed</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Verify or replace M&amp;A comparable transactions. Find publicly documented transactions with disclosed multiples. Or remove the table entirely and use methodology-only language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Prior comparables (Neudata, BattleFin) were either undisclosed or unverifiable. Any comparable a VC cannot look up within 60 seconds destroys credibility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 hours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Compute combined management company revenue model: fund economics (management fee + carry) + licensing revenue at Phase 4 entry (5 licensees) and full scale (50 licensees). Derive enterprise value at 6× multiple</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Prior exit tables used licensing-only revenue, understating VC return by approximately 2-3×. Combined model is more compelling and more accurate (Issue A.3)</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 hour</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Backtest complete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bl>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B.2 — Legal (Do Before Accepting Any Capital)</w:t>
      </w:r>
    </w:p>
    <w:p>
      <w:pPr>
        <w:spacing w:after="120"/>
      </w:pPr>
      <w:r>
        <w:rPr>
          <w:rFonts w:ascii="Arial" w:cs="Arial" w:eastAsia="Arial" w:hAnsi="Arial"/>
          <w:color w:val="1A1A2E"/>
          <w:sz w:val="20"/>
          <w:szCs w:val="20"/>
        </w:rPr>
        <w:t xml:space="preserve">These tasks are required before any third-party capital is accepted. They are not required before investor conversations, but counsel should be retained before any NDA or term sheet is signed. Some tasks (Form D, fund formation) are triggered by the capital raise, not by the conversation.</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1400"/>
        <w:gridCol w:w="1160"/>
        <w:gridCol w:w="800"/>
      </w:tblGrid>
      <w:tr>
        <w:tc>
          <w:tcPr>
            <w:tcW w:type="dxa" w:w="3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Task</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Why It Matters</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Effort</w:t>
            </w:r>
          </w:p>
        </w:tc>
        <w:tc>
          <w:tcPr>
            <w:tcW w:type="dxa" w:w="1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Dependency</w:t>
            </w:r>
          </w:p>
        </w:tc>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Retain securities counsel. Obtain name and firm. Have counsel review the legal disclaimer language in all investor documents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The document currently has [Name, Firm] as a placeholder. Any investor who asks for counsel contact details and receives a placeholder will not proceed. Counsel must be retained before any document is distributed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 week</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Have counsel confirm the regulatory conversion path: Delaware LLC as GP of 3(c)(1) fund, filing Form ADV as ERA at $10M, no equity conversion required at any stage</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The conversion mechanics are stated as fact in the document. Counsel must confirm they are accurate for the specific jurisdiction and structure contemplated. Incorrect mechanics create liability</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 hours (counsel)</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Counsel retained</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Confirm fee structure with counsel: 2% management fee on AUM (not notional). Ensure fee basis is stated consistently in all documents and complies with applicable standards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Fee base must be specified and reviewed. Management fee on notional vs AUM is a material disclosure difference. Inconsistency between offering documents and verbal representations is a securities law risk</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 min (counsel)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Counsel retained</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Form 3(c)(1) fund entity (Delaware LP). Establish GP entity (existing Delaware LLC). Execute operating agreement and limited partnership agreement</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Required before any third-party capital is accepted. Cannot accept investor funds into a personal account or proprietary LLC without securities law violations</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2-4 weeks (counsel)</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Counsel retained; backtest complete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Prepare Private Placement Memorandum (PPM) for 3(c)(1) fund. Includes risk disclosures, fee structure, redemption terms, strategy description, and performance history with required disclaimers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The PPM is the legally required disclosure document for a Reg D offering. Distributing the technical specification as a substitute for a PPM is a securities law violation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3-4 weeks (counsel)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Fund formed; backtest confirmed</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File Form D with SEC within 15 days of first sale of securities in the Regulation D offering</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Statutory requirement under Regulation D Rule 503. Failure to file is a securities violation. Must be filed within 15 days of the first investor commitment, not at the close of the round</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 day (counsel files)</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First investor commitment</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bl>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B.3 — Document Corrections (Do After Evidence Base Is Confirmed)</w:t>
      </w:r>
    </w:p>
    <w:p>
      <w:pPr>
        <w:spacing w:after="120"/>
      </w:pPr>
      <w:r>
        <w:rPr>
          <w:rFonts w:ascii="Arial" w:cs="Arial" w:eastAsia="Arial" w:hAnsi="Arial"/>
          <w:color w:val="1A1A2E"/>
          <w:sz w:val="20"/>
          <w:szCs w:val="20"/>
        </w:rPr>
        <w:t xml:space="preserve">These are specific document edits required once the backtest is run and the pitch framing decision is made. They cannot be completed until the evidence base workstream is finished.</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360"/>
        <w:gridCol w:w="1200"/>
        <w:gridCol w:w="1100"/>
        <w:gridCol w:w="1100"/>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Document Change</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Section</w:t>
            </w:r>
          </w:p>
        </w:tc>
        <w:tc>
          <w:tcPr>
            <w:tcW w:type="dxa" w:w="1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Current Value</w:t>
            </w:r>
          </w:p>
        </w:tc>
        <w:tc>
          <w:tcPr>
            <w:tcW w:type="dxa" w:w="1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Required Value</w:t>
            </w:r>
          </w:p>
        </w:tc>
        <w:tc>
          <w:tcPr>
            <w:tcW w:type="dxa" w:w="1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Effort</w:t>
            </w:r>
          </w:p>
        </w:tc>
        <w:tc>
          <w:tcPr>
            <w:tcW w:type="dxa" w:w="1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Correct CAGR from 4.7% to 4.6% (framework period) and from 5.1% to 5.2% (full period)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All investor documents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4.7% / 5.1%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4.6% / 5.2%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provisional Sharpe (0.9-1.1) with confirmed backtest Sharpe. Single authoritative number or narrow confirmed range</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All investor documents, leave-behind table</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0.9-1.1 (provisional)</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Confirmed backtest output</w:t>
            </w:r>
          </w:p>
        </w:tc>
        <w:tc>
          <w:tcPr>
            <w:tcW w:type="dxa" w:w="1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or remove leverage portability table based on confirmed base vol and Sharpe. If Sharpe &gt; 1.09: retain with borrowing cost disclosure. If Sharpe ≤ 1.09: replace with allocation-size framing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Leave-behind, plain-language summary, pitch script</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Portable alpha framing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TBD based on Sharpe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 hours</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Add fee basis specification: 2% management fee charged on committed AUM (not notional)</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Fund economics table in leave-behind and PPM</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 specified</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Explicitly stated: on AUM</w:t>
            </w:r>
          </w:p>
        </w:tc>
        <w:tc>
          <w:tcPr>
            <w:tcW w:type="dxa" w:w="1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licensing-only VC exit table with combined management company revenue model (fund + licensing)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VC return table in leave-behind</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$7.5-15M exit (licensing only)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$16.5-112M exit (combined)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Update VC ROIC table with dilution assumption (35% dilution through subsequent rounds). State conservatively as 10× target with diluted midpoint derivation</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VC return table</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12-27× (no dilution)</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8-18× (35% dilution)</w:t>
            </w:r>
          </w:p>
        </w:tc>
        <w:tc>
          <w:tcPr>
            <w:tcW w:type="dxa" w:w="1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Restore legal disclaimer block to all investor documents. Place above all performance data. Insert counsel name and firm once retained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All investor documents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Omitted in v3.1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Restore per Issue A.4 text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Reduce licensing licensee target from 50 to 5-10 for solo founder Phase 4. Update revenue and exit math accordingly</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Business model table, Phase 4 row</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50 licensees</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5-10 licensees near-term</w:t>
            </w:r>
          </w:p>
        </w:tc>
        <w:tc>
          <w:tcPr>
            <w:tcW w:type="dxa" w:w="1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M&amp;A comparable table with methodology-only text (if no verified public comparables found) or insert verified public transactions with disclosed multiples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Valuation section of leave-behind</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Neudata / BattleFin (unverifiable)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Verified public or methodology text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 hours research</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Add pre-money valuation anchor statement: explicitly state that $5M is a negotiating anchor, not a derived figure</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VC return table</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Stated as given</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Explicit: anchor, not derived</w:t>
            </w:r>
          </w:p>
        </w:tc>
        <w:tc>
          <w:tcPr>
            <w:tcW w:type="dxa" w:w="1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Remove INTERNAL DRAFT header and restore as distribution-ready once all other tasks complete. Restore contact block with actual name, email, phone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Cover page of all documents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INTERNAL DRAFT header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Distribution-ready header + contact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 min</w:t>
            </w:r>
          </w:p>
        </w:tc>
        <w:tc>
          <w:tcPr>
            <w:tcW w:type="dxa" w:w="12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bl>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B.4 — Pitch Preparation (Do Last)</w:t>
      </w:r>
    </w:p>
    <w:p>
      <w:pPr>
        <w:spacing w:after="120"/>
      </w:pPr>
      <w:r>
        <w:rPr>
          <w:rFonts w:ascii="Arial" w:cs="Arial" w:eastAsia="Arial" w:hAnsi="Arial"/>
          <w:color w:val="1A1A2E"/>
          <w:sz w:val="20"/>
          <w:szCs w:val="20"/>
        </w:rPr>
        <w:t xml:space="preserve">These materials do not exist yet and cannot be created until the evidence base is confirmed and documents are corrected. They are required for the investor meeting itself.</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400"/>
        <w:gridCol w:w="1160"/>
        <w:gridCol w:w="800"/>
      </w:tblGrid>
      <w:tr>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Deliverable</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Contents</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Effort</w:t>
            </w:r>
          </w:p>
        </w:tc>
        <w:tc>
          <w:tcPr>
            <w:tcW w:type="dxa" w:w="1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Dependency</w:t>
            </w:r>
          </w:p>
        </w:tc>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Data room: shared folder with controlled access (Google Drive, Notion, or Datasite)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Backtest code (documented); confirmed performance statistics; regime breakdown tables; framework specification (v2.0); fund term sheet template; counsel contact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2-3 hours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Evidence base complete; counsel retained</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12-slide pitch deck (not the technical spec; a separate investor deck)</w:t>
            </w:r>
          </w:p>
        </w:tc>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Slide 1: Problem. Slide 2: Solution. Slide 3: Strategy overview. Slide 4: Performance. Slide 5: Sharpe framing. Slide 6: Capacity. Slide 7: Business model. Slide 8: Team + hiring plan. Slide 9: Legal structure. Slide 10: VC return model. Slide 11: Risk disclosures. Slide 12: Next steps</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 days</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All document corrections complete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Meeting script: prepared answers to all five VC questions and follow-up challenges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Answers A.1-A.5 issues built into script. Leverage table with borrowing costs. Sharpe framing decision (portable alpha vs allocation size). Combined exit model. Dilution disclosure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2-3 hours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Pitch deck complete</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r>
        <w:tc>
          <w:tcPr>
            <w:tcW w:type="dxa" w:w="3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Subscription documents and NDA template</w:t>
            </w:r>
          </w:p>
        </w:tc>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NDA for pre-investment information sharing; subscription agreement for fund LP interest; accredited investor questionnaire; wire instructions (post-fund formation)</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2-3 weeks (counsel)</w:t>
            </w:r>
          </w:p>
        </w:tc>
        <w:tc>
          <w:tcPr>
            <w:tcW w:type="dxa" w:w="1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PPM complete; fund formed</w:t>
            </w:r>
          </w:p>
        </w:tc>
        <w:tc>
          <w:tcPr>
            <w:tcW w:type="dxa" w:w="800"/>
            <w:tcBorders>
              <w:top w:val="single" w:color="AAAAAA" w:sz="1"/>
              <w:left w:val="single" w:color="AAAAAA" w:sz="1"/>
              <w:bottom w:val="single" w:color="AAAAAA" w:sz="1"/>
              <w:right w:val="single" w:color="AAAAAA" w:sz="1"/>
            </w:tcBorders>
            <w:shd w:fill="FFE0E0" w:val="clear"/>
            <w:tcMar>
              <w:top w:type="dxa" w:w="80"/>
              <w:left w:type="dxa" w:w="120"/>
              <w:bottom w:type="dxa" w:w="80"/>
              <w:right w:type="dxa" w:w="120"/>
            </w:tcMar>
            <w:vAlign w:val="top"/>
          </w:tcPr>
          <w:p>
            <w:pPr>
              <w:spacing w:after="0"/>
            </w:pPr>
            <w:r>
              <w:rPr>
                <w:rFonts w:ascii="Arial" w:cs="Arial" w:eastAsia="Arial" w:hAnsi="Arial"/>
                <w:b/>
                <w:bCs/>
                <w:color w:val="7B2D00"/>
                <w:sz w:val="18"/>
                <w:szCs w:val="18"/>
              </w:rPr>
              <w:t xml:space="preserve">Not started</w:t>
            </w:r>
          </w:p>
        </w:tc>
      </w:tr>
    </w:tbl>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B.5 — Critical Path to First Investor Meeting</w:t>
      </w:r>
    </w:p>
    <w:p>
      <w:pPr>
        <w:spacing w:after="120"/>
      </w:pPr>
      <w:r>
        <w:rPr>
          <w:rFonts w:ascii="Arial" w:cs="Arial" w:eastAsia="Arial" w:hAnsi="Arial"/>
          <w:color w:val="1A1A2E"/>
          <w:sz w:val="20"/>
          <w:szCs w:val="20"/>
        </w:rPr>
        <w:t xml:space="preserve">The following sequence must be completed in order. Parallel work is possible where dependencies allow (e.g., counsel can be retained while the backtest runs), but no step can be skipped.</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760"/>
        <w:gridCol w:w="3400"/>
      </w:tblGrid>
      <w:tr>
        <w:tc>
          <w:tcPr>
            <w:tcW w:type="dxa" w:w="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Step</w:t>
            </w:r>
          </w:p>
        </w:tc>
        <w:tc>
          <w:tcPr>
            <w:tcW w:type="dxa" w:w="3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Task</w:t>
            </w:r>
          </w:p>
        </w:tc>
        <w:tc>
          <w:tcPr>
            <w:tcW w:type="dxa" w:w="1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Elapsed Time</w:t>
            </w:r>
          </w:p>
        </w:tc>
        <w:tc>
          <w:tcPr>
            <w:tcW w:type="dxa" w:w="3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Gate to Next Step</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Run backtest (Evidence Base tasks 1-5). Compute all confirmed performance statistics.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1 (6-10 hours)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Confirmed Sharpe and base vol determine pitch framing</w:t>
            </w:r>
          </w:p>
        </w:tc>
      </w:tr>
      <w:tr>
        <w:tc>
          <w:tcPr>
            <w:tcW w:type="dxa" w:w="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w:t>
            </w:r>
          </w:p>
        </w:tc>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Pitch framing decision (Evidence Base task 6). If Sharpe &gt; 1.09: portable alpha. If Sharpe ≤ 1.09: allocation-size framing.</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1 (2 hours)</w:t>
            </w:r>
          </w:p>
        </w:tc>
        <w:tc>
          <w:tcPr>
            <w:tcW w:type="dxa" w:w="3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Framing decision drives all subsequent documents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Verify M&amp;A comparables and compute combined exit model (Evidence Base tasks 7-8).</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1-2 (2-3 hours)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Confirmed exit model required before VC return table is finalized</w:t>
            </w:r>
          </w:p>
        </w:tc>
      </w:tr>
      <w:tr>
        <w:tc>
          <w:tcPr>
            <w:tcW w:type="dxa" w:w="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w:t>
            </w:r>
          </w:p>
        </w:tc>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Retain securities counsel (Legal task 1). Have counsel review disclaimer and conversion mechanics.</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Weeks 1-2 (1 week elapsed)</w:t>
            </w:r>
          </w:p>
        </w:tc>
        <w:tc>
          <w:tcPr>
            <w:tcW w:type="dxa" w:w="3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Counsel must confirm regulatory path before any capital discussions</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Complete all document corrections (Workstream 3). All provisional numbers replaced with confirmed figures.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2 (3-4 hours)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document distributed until all corrections complete</w:t>
            </w:r>
          </w:p>
        </w:tc>
      </w:tr>
      <w:tr>
        <w:tc>
          <w:tcPr>
            <w:tcW w:type="dxa" w:w="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w:t>
            </w:r>
          </w:p>
        </w:tc>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Build data room (Pitch Preparation task 1).</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2 (2-3 hours)</w:t>
            </w:r>
          </w:p>
        </w:tc>
        <w:tc>
          <w:tcPr>
            <w:tcW w:type="dxa" w:w="3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Data room must exist before referencing it to any investor</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7</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Prepare 12-slide pitch deck and meeting script (Pitch Preparation tasks 2-3).</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3 (1-2 days)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Pitch deck is the first-contact document for any investor</w:t>
            </w:r>
          </w:p>
        </w:tc>
      </w:tr>
      <w:tr>
        <w:tc>
          <w:tcPr>
            <w:tcW w:type="dxa" w:w="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w:t>
            </w:r>
          </w:p>
        </w:tc>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FIRST INVESTOR CONVERSATION (introductory meeting only; no documents distributed without NDA).</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3-4</w:t>
            </w:r>
          </w:p>
        </w:tc>
        <w:tc>
          <w:tcPr>
            <w:tcW w:type="dxa" w:w="3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Confirmed interest gates document distribution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Distribute leave-behind under NDA. Provide data room access. Answer diligence questions.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4+</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Investor diligence</w:t>
            </w:r>
          </w:p>
        </w:tc>
      </w:tr>
      <w:tr>
        <w:tc>
          <w:tcPr>
            <w:tcW w:type="dxa" w:w="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w:t>
            </w:r>
          </w:p>
        </w:tc>
        <w:tc>
          <w:tcPr>
            <w:tcW w:type="dxa" w:w="3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Form fund entity and prepare PPM (Legal tasks 4-5). File Form D at first commitment.</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Weeks 4-8 (parallel with diligence)</w:t>
            </w:r>
          </w:p>
        </w:tc>
        <w:tc>
          <w:tcPr>
            <w:tcW w:type="dxa" w:w="3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Fund formation required before capital acceptance</w:t>
            </w:r>
          </w:p>
        </w:tc>
      </w:tr>
    </w:tbl>
    <w:p>
      <w:pPr>
        <w:spacing w:after="160"/>
      </w:pPr>
      <w:r>
        <w:rPr>
          <w:rFonts w:ascii="Arial" w:cs="Arial" w:eastAsia="Arial" w:hAnsi="Arial"/>
          <w:color w:val="1A1A2E"/>
          <w:sz w:val="20"/>
          <w:szCs w:val="20"/>
        </w:rPr>
        <w:t xml:space="preserve"/>
      </w:r>
    </w:p>
    <w:p>
      <w:pPr>
        <w:pStyle w:val="Heading1"/>
        <w:pBdr>
          <w:bottom w:val="single" w:color="2E75B6" w:sz="6" w:space="4"/>
        </w:pBdr>
        <w:spacing w:after="180" w:before="400"/>
      </w:pPr>
      <w:r>
        <w:rPr>
          <w:rFonts w:ascii="Arial" w:cs="Arial" w:eastAsia="Arial" w:hAnsi="Arial"/>
          <w:b/>
          <w:bCs/>
          <w:color w:val="1B3A5C"/>
          <w:sz w:val="36"/>
          <w:szCs w:val="36"/>
        </w:rPr>
        <w:t xml:space="preserve">C. Final Assessment</w:t>
      </w:r>
    </w:p>
    <w:p>
      <w:pPr>
        <w:spacing w:after="120"/>
      </w:pPr>
      <w:r>
        <w:rPr>
          <w:rFonts w:ascii="Arial" w:cs="Arial" w:eastAsia="Arial" w:hAnsi="Arial"/>
          <w:color w:val="1A1A2E"/>
          <w:sz w:val="20"/>
          <w:szCs w:val="20"/>
        </w:rPr>
        <w:t xml:space="preserve">After five rounds of review across the technical specification (v2.0, 32 sections, 1,157 paragraphs), the investor pitch frameworks, and the leave-behind documents, the following is an honest summary of where the project stands.</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Dimension</w:t>
            </w:r>
          </w:p>
        </w:tc>
        <w:tc>
          <w:tcPr>
            <w:tcW w:type="dxa" w:w="4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Assessment</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Technical framework (Gamma-ARMA v2.0)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Internally consistent, mathematically sound, implementation-ready. All critical and significant gaps from specification review have been resolved.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Strong — no further revision needed before building</w:t>
            </w:r>
          </w:p>
        </w:tc>
      </w:tr>
      <w:tr>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Investor pitch logic</w:t>
            </w:r>
          </w:p>
        </w:tc>
        <w:tc>
          <w:tcPr>
            <w:tcW w:type="dxa" w:w="4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The core argument (sell Sharpe portability, not absolute returns) is correct but depends on confirmed Sharpe being above the borrowing-cost threshold. Pitch framing cannot be finalized until the backtest is run.</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Conditional on backtest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Numerical accuracy</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Multiple arithmetic errors corrected across five rounds. All remaining numbers are provisional. No investor-ready number exists until the backtest is complete.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 ready</w:t>
            </w:r>
          </w:p>
        </w:tc>
      </w:tr>
      <w:tr>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Legal structure</w:t>
            </w:r>
          </w:p>
        </w:tc>
        <w:tc>
          <w:tcPr>
            <w:tcW w:type="dxa" w:w="4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Conceptually correct path identified (LLC as GP, 3(c)(1), ERA, RIA). Counsel not retained. No fund formed. No offering documents exist.</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 ready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Evidence base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backtest results exist. No data room exists. No verified M&amp;A comparables exist. The evidence base is the missing foundation for everything else.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 started</w:t>
            </w:r>
          </w:p>
        </w:tc>
      </w:tr>
      <w:tr>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Pitch materials</w:t>
            </w:r>
          </w:p>
        </w:tc>
        <w:tc>
          <w:tcPr>
            <w:tcW w:type="dxa" w:w="4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pitch deck. No meeting script. No subscription documents. No NDA template.</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 started</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none" w:color="FFFFFF" w:sz="0"/>
            </w:tcBorders>
            <w:shd w:fill="EEF3F8" w:val="clear"/>
            <w:tcMar>
              <w:top w:type="dxa" w:w="100"/>
              <w:left w:type="dxa" w:w="200"/>
              <w:bottom w:type="dxa" w:w="100"/>
              <w:right w:type="dxa" w:w="120"/>
            </w:tcMar>
          </w:tcPr>
          <w:p>
            <w:pPr>
              <w:spacing w:after="0"/>
            </w:pPr>
            <w:r>
              <w:rPr>
                <w:rFonts w:ascii="Arial" w:cs="Arial" w:eastAsia="Arial" w:hAnsi="Arial"/>
                <w:b/>
                <w:bCs/>
                <w:color w:val="2E75B6"/>
                <w:sz w:val="20"/>
                <w:szCs w:val="20"/>
              </w:rPr>
              <w:t xml:space="preserve">The framework is strong. The pitch is not ready. </w:t>
            </w:r>
            <w:r>
              <w:rPr>
                <w:rFonts w:ascii="Arial" w:cs="Arial" w:eastAsia="Arial" w:hAnsi="Arial"/>
                <w:color w:val="1A1A2E"/>
                <w:sz w:val="20"/>
                <w:szCs w:val="20"/>
              </w:rPr>
              <w:t xml:space="preserve">All remaining work is execution, not architecture. The task register above is complete and accurate. The estimated elapsed time from today to a first investor meeting is 3-4 weeks with focused effort. Every day spent revising documents without running the backtest is a day not spent on the work that actually gates the first investor meeting. Stop revising. Start computing.</w:t>
            </w:r>
          </w:p>
        </w:tc>
      </w:tr>
    </w:tbl>
    <w:p>
      <w:pPr>
        <w:spacing w:after="200"/>
      </w:pPr>
      <w:r>
        <w:rPr>
          <w:rFonts w:ascii="Arial" w:cs="Arial" w:eastAsia="Arial" w:hAnsi="Arial"/>
          <w:color w:val="1A1A2E"/>
          <w:sz w:val="20"/>
          <w:szCs w:val="20"/>
        </w:rPr>
        <w:t xml:space="preserve"/>
      </w:r>
    </w:p>
    <w:p>
      <w:pPr>
        <w:spacing w:before="400"/>
        <w:jc w:val="center"/>
      </w:pPr>
      <w:r>
        <w:rPr>
          <w:rFonts w:ascii="Arial" w:cs="Arial" w:eastAsia="Arial" w:hAnsi="Arial"/>
          <w:b/>
          <w:bCs/>
          <w:color w:val="4A4A6A"/>
          <w:sz w:val="20"/>
          <w:szCs w:val="20"/>
        </w:rPr>
        <w:t xml:space="preserve">END OF PRE-DISTRIBUTION REVIEW APPENDIX</w:t>
      </w:r>
    </w:p>
    <w:p>
      <w:pPr>
        <w:jc w:val="center"/>
      </w:pPr>
      <w:r>
        <w:rPr>
          <w:rFonts w:ascii="Arial" w:cs="Arial" w:eastAsia="Arial" w:hAnsi="Arial"/>
          <w:color w:val="4A4A6A"/>
          <w:sz w:val="18"/>
          <w:szCs w:val="18"/>
        </w:rPr>
        <w:t xml:space="preserve">Gamma-ARMA v2.1  |  SmallClaw Consultancy  |  May 2026  |  INTERNAL DRAFT — NOT FOR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before="0"/>
    </w:pPr>
    <w:r>
      <w:rPr>
        <w:rFonts w:ascii="Arial" w:cs="Arial" w:eastAsia="Arial" w:hAnsi="Arial"/>
        <w:color w:val="4A4A6A"/>
        <w:sz w:val="16"/>
        <w:szCs w:val="16"/>
      </w:rPr>
      <w:t xml:space="preserve">SmallClaw Consultancy — Internal Use Only</w:t>
    </w:r>
    <w:r>
      <w:rPr>
        <w:rFonts w:ascii="Arial" w:cs="Arial" w:eastAsia="Arial" w:hAnsi="Arial"/>
        <w:color w:val="1A1A2E"/>
        <w:sz w:val="16"/>
        <w:szCs w:val="16"/>
      </w:rPr>
      <w:t xml:space="preserve">	</w:t>
    </w:r>
    <w:r>
      <w:rPr>
        <w:rFonts w:ascii="Arial" w:cs="Arial" w:eastAsia="Arial" w:hAnsi="Arial"/>
        <w:color w:val="4A4A6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after="0"/>
    </w:pPr>
    <w:r>
      <w:rPr>
        <w:rFonts w:ascii="Arial" w:cs="Arial" w:eastAsia="Arial" w:hAnsi="Arial"/>
        <w:color w:val="4A4A6A"/>
        <w:sz w:val="16"/>
        <w:szCs w:val="16"/>
      </w:rPr>
      <w:t xml:space="preserve">BLAQUE BAUX  |  Gamma-ARMA Framework  v2.1  |  PRE-DISTRIBUTION REVIEW</w:t>
    </w:r>
    <w:r>
      <w:rPr>
        <w:rFonts w:ascii="Arial" w:cs="Arial" w:eastAsia="Arial" w:hAnsi="Arial"/>
        <w:color w:val="1A1A2E"/>
        <w:sz w:val="16"/>
        <w:szCs w:val="16"/>
      </w:rPr>
      <w:t xml:space="preserve">	</w:t>
    </w:r>
    <w:r>
      <w:rPr>
        <w:rFonts w:ascii="Arial" w:cs="Arial" w:eastAsia="Arial" w:hAnsi="Arial"/>
        <w:b/>
        <w:bCs/>
        <w:color w:val="B22222"/>
        <w:sz w:val="16"/>
        <w:szCs w:val="16"/>
      </w:rPr>
      <w:t xml:space="preserve">INTERNAL DRAFT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2026-05-17T06:15:40.004Z</dcterms:created>
  <dcterms:modified xsi:type="dcterms:W3CDTF">2026-05-17T06:15:40.004Z</dcterms:modified>
</cp:coreProperties>
</file>

<file path=docProps/custom.xml><?xml version="1.0" encoding="utf-8"?>
<Properties xmlns="http://schemas.openxmlformats.org/officeDocument/2006/custom-properties" xmlns:vt="http://schemas.openxmlformats.org/officeDocument/2006/docPropsVTypes"/>
</file>