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Multifamily Market Screening</w:t>
      </w:r>
    </w:p>
    <w:p>
      <w:pPr>
        <w:spacing w:after="60"/>
      </w:pPr>
      <w:r>
        <w:rPr>
          <w:b/>
          <w:bCs/>
          <w:color w:val="1F3B57"/>
          <w:sz w:val="26"/>
          <w:szCs w:val="26"/>
        </w:rPr>
        <w:t xml:space="preserve">Decision Log</w:t>
      </w:r>
    </w:p>
    <w:p>
      <w:pPr>
        <w:spacing w:after="160"/>
      </w:pPr>
      <w:r>
        <w:rPr>
          <w:i/>
          <w:iCs/>
          <w:color w:val="555555"/>
        </w:rPr>
        <w:t xml:space="preserve">Purpose: a running record of the decisions we make and why, so we can retrace our reasoning as the project grows. Add new entries at the top of the log as they happen. Keep it light — one decision, one short rationale.</w:t>
      </w:r>
    </w:p>
    <w:p>
      <w:pPr>
        <w:pBdr>
          <w:bottom w:val="single" w:color="2E6DA4" w:sz="6" w:space="1"/>
        </w:pBdr>
        <w:spacing w:after="160" w:before="60"/>
      </w:pPr>
    </w:p>
    <w:p>
      <w:pPr>
        <w:pStyle w:val="Heading1"/>
      </w:pPr>
      <w:r>
        <w:t xml:space="preserve">Living snapshot: current v1 indicator weights</w:t>
      </w:r>
    </w:p>
    <w:p>
      <w:pPr>
        <w:spacing w:after="120"/>
      </w:pPr>
      <w:r>
        <w:rPr>
          <w:i/>
          <w:iCs/>
          <w:color w:val="555555"/>
        </w:rPr>
        <w:t xml:space="preserve">Each indicator is normalized across all metros (percentile / z-score) before its weight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000"/>
        <w:gridCol w:w="1860"/>
        <w:gridCol w:w="1900"/>
      </w:tblGrid>
      <w:tr>
        <w:trPr>
          <w:tblHeader/>
        </w:trPr>
        <w:tc>
          <w:tcPr>
            <w:tcW w:type="dxa" w:w="1700"/>
            <w:tcBorders>
              <w:top w:val="single" w:color="CCCCCC" w:sz="1"/>
              <w:left w:val="single" w:color="CCCCCC" w:sz="1"/>
              <w:bottom w:val="single" w:color="CCCCCC" w:sz="1"/>
              <w:right w:val="single" w:color="CCCCCC" w:sz="1"/>
            </w:tcBorders>
            <w:shd w:fill="D5E2F0" w:val="clear"/>
            <w:tcMar>
              <w:top w:type="dxa" w:w="80"/>
              <w:left w:type="dxa" w:w="120"/>
              <w:bottom w:type="dxa" w:w="80"/>
              <w:right w:type="dxa" w:w="120"/>
            </w:tcMar>
            <w:vAlign w:val="center"/>
          </w:tcPr>
          <w:p>
            <w:r>
              <w:rPr>
                <w:b/>
                <w:bCs/>
                <w:sz w:val="19"/>
                <w:szCs w:val="19"/>
              </w:rPr>
              <w:t xml:space="preserve">Category</w:t>
            </w:r>
          </w:p>
        </w:tc>
        <w:tc>
          <w:tcPr>
            <w:tcW w:type="dxa" w:w="2900"/>
            <w:tcBorders>
              <w:top w:val="single" w:color="CCCCCC" w:sz="1"/>
              <w:left w:val="single" w:color="CCCCCC" w:sz="1"/>
              <w:bottom w:val="single" w:color="CCCCCC" w:sz="1"/>
              <w:right w:val="single" w:color="CCCCCC" w:sz="1"/>
            </w:tcBorders>
            <w:shd w:fill="D5E2F0" w:val="clear"/>
            <w:tcMar>
              <w:top w:type="dxa" w:w="80"/>
              <w:left w:type="dxa" w:w="120"/>
              <w:bottom w:type="dxa" w:w="80"/>
              <w:right w:type="dxa" w:w="120"/>
            </w:tcMar>
            <w:vAlign w:val="center"/>
          </w:tcPr>
          <w:p>
            <w:r>
              <w:rPr>
                <w:b/>
                <w:bCs/>
                <w:sz w:val="19"/>
                <w:szCs w:val="19"/>
              </w:rPr>
              <w:t xml:space="preserve">Indicator</w:t>
            </w:r>
          </w:p>
        </w:tc>
        <w:tc>
          <w:tcPr>
            <w:tcW w:type="dxa" w:w="1000"/>
            <w:tcBorders>
              <w:top w:val="single" w:color="CCCCCC" w:sz="1"/>
              <w:left w:val="single" w:color="CCCCCC" w:sz="1"/>
              <w:bottom w:val="single" w:color="CCCCCC" w:sz="1"/>
              <w:right w:val="single" w:color="CCCCCC" w:sz="1"/>
            </w:tcBorders>
            <w:shd w:fill="D5E2F0" w:val="clear"/>
            <w:tcMar>
              <w:top w:type="dxa" w:w="80"/>
              <w:left w:type="dxa" w:w="120"/>
              <w:bottom w:type="dxa" w:w="80"/>
              <w:right w:type="dxa" w:w="120"/>
            </w:tcMar>
            <w:vAlign w:val="center"/>
          </w:tcPr>
          <w:p>
            <w:r>
              <w:rPr>
                <w:b/>
                <w:bCs/>
                <w:sz w:val="19"/>
                <w:szCs w:val="19"/>
              </w:rPr>
              <w:t xml:space="preserve">Weight</w:t>
            </w:r>
          </w:p>
        </w:tc>
        <w:tc>
          <w:tcPr>
            <w:tcW w:type="dxa" w:w="1860"/>
            <w:tcBorders>
              <w:top w:val="single" w:color="CCCCCC" w:sz="1"/>
              <w:left w:val="single" w:color="CCCCCC" w:sz="1"/>
              <w:bottom w:val="single" w:color="CCCCCC" w:sz="1"/>
              <w:right w:val="single" w:color="CCCCCC" w:sz="1"/>
            </w:tcBorders>
            <w:shd w:fill="D5E2F0" w:val="clear"/>
            <w:tcMar>
              <w:top w:type="dxa" w:w="80"/>
              <w:left w:type="dxa" w:w="120"/>
              <w:bottom w:type="dxa" w:w="80"/>
              <w:right w:type="dxa" w:w="120"/>
            </w:tcMar>
            <w:vAlign w:val="center"/>
          </w:tcPr>
          <w:p>
            <w:r>
              <w:rPr>
                <w:b/>
                <w:bCs/>
                <w:sz w:val="19"/>
                <w:szCs w:val="19"/>
              </w:rPr>
              <w:t xml:space="preserve">Direction</w:t>
            </w:r>
          </w:p>
        </w:tc>
        <w:tc>
          <w:tcPr>
            <w:tcW w:type="dxa" w:w="1900"/>
            <w:tcBorders>
              <w:top w:val="single" w:color="CCCCCC" w:sz="1"/>
              <w:left w:val="single" w:color="CCCCCC" w:sz="1"/>
              <w:bottom w:val="single" w:color="CCCCCC" w:sz="1"/>
              <w:right w:val="single" w:color="CCCCCC" w:sz="1"/>
            </w:tcBorders>
            <w:shd w:fill="D5E2F0" w:val="clear"/>
            <w:tcMar>
              <w:top w:type="dxa" w:w="80"/>
              <w:left w:type="dxa" w:w="120"/>
              <w:bottom w:type="dxa" w:w="80"/>
              <w:right w:type="dxa" w:w="120"/>
            </w:tcMar>
            <w:vAlign w:val="center"/>
          </w:tcPr>
          <w:p>
            <w:r>
              <w:rPr>
                <w:b/>
                <w:bCs/>
                <w:sz w:val="19"/>
                <w:szCs w:val="19"/>
              </w:rPr>
              <w:t xml:space="preserve">Source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Demand (40%)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Net domestic migration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higher = better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IRS flows + Census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Job growth (YoY, total nonfarm)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higher = better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BLS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Income / wage growth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higher = better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BEA / BLS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Population growth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higher = better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Census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Supply (25%)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Permits / existing housing stock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0306A"/>
                <w:sz w:val="19"/>
                <w:szCs w:val="19"/>
              </w:rPr>
              <w:t xml:space="preserve">higher = worse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Census BPS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Multifamily pipeline intensity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0306A"/>
                <w:sz w:val="19"/>
                <w:szCs w:val="19"/>
              </w:rPr>
              <w:t xml:space="preserve">higher = worse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Census BPS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Affordability (20%)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Rent-to-income ratio (level)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B0306A"/>
                <w:sz w:val="19"/>
                <w:szCs w:val="19"/>
              </w:rPr>
              <w:t xml:space="preserve">higher = worse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Zillow + BEA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9"/>
                <w:szCs w:val="19"/>
              </w:rPr>
              <w:t xml:space="preserve"/>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Cost-to-own vs. rent gap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higher = better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Zillow</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Momentum (10%)</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Trailing rent growth (YoY)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better (confirmation)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Zillow / Apt List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9"/>
                <w:szCs w:val="19"/>
              </w:rPr>
              <w:t xml:space="preserve">Resilience (5%)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Employment diversification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19"/>
                <w:szCs w:val="19"/>
              </w:rPr>
              <w:t xml:space="preserve">higher = better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19"/>
                <w:szCs w:val="19"/>
              </w:rPr>
              <w:t xml:space="preserve">BLS</w:t>
            </w:r>
          </w:p>
        </w:tc>
      </w:tr>
    </w:tbl>
    <w:p>
      <w:pPr>
        <w:spacing w:after="80"/>
      </w:pPr>
    </w:p>
    <w:p>
      <w:pPr>
        <w:pStyle w:val="Heading1"/>
      </w:pPr>
      <w:r>
        <w:t xml:space="preserve">Decision log</w:t>
      </w:r>
    </w:p>
    <w:p>
      <w:pPr>
        <w:pStyle w:val="Heading2"/>
      </w:pPr>
      <w:r>
        <w:t xml:space="preserve">2026-06-28 — Metro universe: 500k population floor</w:t>
      </w:r>
    </w:p>
    <w:p>
      <w:pPr>
        <w:spacing w:after="140" w:before="140"/>
      </w:pPr>
      <w:r>
        <w:rPr>
          <w:b/>
          <w:bCs/>
        </w:rPr>
        <w:t xml:space="preserve">Metro universe — MSAs with 500k+ population (~110 metros), gated by rent-data coverage.  </w:t>
      </w:r>
      <w:r>
        <w:t xml:space="preserve">Include Metropolitan Statistical Areas (not Micropolitan) with population ≥ 500,000, which yields roughly 110 metros. Reasons: a 1M floor (~55 metros) would exclude the mid-size emerging markets the tool exists to find (Boise, Huntsville, Chattanooga, Knoxville, Provo, Greenville); a 250k floor (~185 metros) pulls in markets where multifamily is not a liquid institutional asset and where free rent-index coverage gets patchy. 500k balances cross-section size (a healthy N for weighted Kendall’s tau), genuine multifamily liquidity, and reliable data coverage.</w:t>
      </w:r>
    </w:p>
    <w:p>
      <w:pPr>
        <w:spacing w:after="160"/>
      </w:pPr>
      <w:r>
        <w:rPr>
          <w:b/>
          <w:bCs/>
          <w:i/>
          <w:iCs/>
          <w:color w:val="555555"/>
        </w:rPr>
        <w:t xml:space="preserve">Effective rule: </w:t>
      </w:r>
      <w:r>
        <w:rPr>
          <w:i/>
          <w:iCs/>
          <w:color w:val="555555"/>
        </w:rPr>
        <w:t xml:space="preserve">500k+ population and continuous rent-index coverage back to the baseline (ZORI reaches ~2015; Apartment List ~2017). Metros lacking clean history are dropped — and we log which metros were dropped and why, since that transparency is itself part of the methodology. Fix the universe once for v1 rather than redefining it annually (population moves slowly enough that this won’t bias the backtest and it keeps the panel clean).</w:t>
      </w:r>
    </w:p>
    <w:p>
      <w:pPr>
        <w:pStyle w:val="Heading2"/>
      </w:pPr>
      <w:r>
        <w:t xml:space="preserve">2026-06-28 — Validation: accuracy tracking, retraining approach &amp; evaluation metric</w:t>
      </w:r>
    </w:p>
    <w:p>
      <w:pPr>
        <w:spacing w:after="140" w:before="140"/>
      </w:pPr>
      <w:r>
        <w:rPr>
          <w:b/>
          <w:bCs/>
        </w:rPr>
        <w:t xml:space="preserve">Prediction registry — freeze and timestamp every model run.  </w:t>
      </w:r>
      <w:r>
        <w:t xml:space="preserve">Each time the model runs, freeze and timestamp the full output (scores, rankings, the input-data snapshot, and the model version) and never edit it. As outcomes mature, score the frozen predictions against what actually happened. This is de facto pre-registration: it prevents hindsight self-deception and builds a credible, checkable public track record — a real differentiator for the LinkedIn write-up, since almost nobody lets their old market calls be audited.</w:t>
      </w:r>
    </w:p>
    <w:p>
      <w:pPr>
        <w:spacing w:after="140" w:before="140"/>
      </w:pPr>
      <w:r>
        <w:rPr>
          <w:b/>
          <w:bCs/>
        </w:rPr>
        <w:t xml:space="preserve">Training &amp; refinement via walk-forward validation, not a live retrain loop.  </w:t>
      </w:r>
      <w:r>
        <w:t xml:space="preserve">The binding feedback lag is not the few-month data-publication lag — it is the 3-year horizon itself, so a “retrain on live realized accuracy” loop has a ~3-year cycle and would be retraining on noise for years. Instead use walk-forward: train on data up to year T, predict T→T+3, roll forward one year, retrain including the newly-resolved data, repeat across the whole history. This simulates the live retraining loop on historical data where outcomes already exist, so we learn now whether retraining actually helps. It is also the honest validation method — the model never sees the future.</w:t>
      </w:r>
    </w:p>
    <w:p>
      <w:pPr>
        <w:spacing w:after="140" w:before="140"/>
      </w:pPr>
      <w:r>
        <w:rPr>
          <w:b/>
          <w:bCs/>
        </w:rPr>
        <w:t xml:space="preserve">Retrain on a deliberate cadence (e.g., annual), not continuously.  </w:t>
      </w:r>
      <w:r>
        <w:t xml:space="preserve">Continuous retraining on a handful of new metro-years chases recent noise and amplifies the regime/recency overfitting we flagged in the COVID entry. But a frozen model also goes stale (rates, supply cycles, AI-labor shifts). So: retrain on a set cadence, always against a held-out test, and always benchmarked head-to-head against the frozen original so we can prove the retrain helped rather than assume it. Defer the actual cadence until real resolved outcomes accumulate. Live accuracy is treated as calibration and narrative, not an automatic retrain trigger.</w:t>
      </w:r>
    </w:p>
    <w:p>
      <w:pPr>
        <w:spacing w:after="140" w:before="140"/>
      </w:pPr>
      <w:r>
        <w:rPr>
          <w:b/>
          <w:bCs/>
        </w:rPr>
        <w:t xml:space="preserve">Evaluation metric — top-weighted Kendall’s tau (scientific primary); top-quartile hit-rate (headline).  </w:t>
      </w:r>
      <w:r>
        <w:t xml:space="preserve">Primary, the thing we validate and train against: top-weighted Kendall’s tau. It concentrates the reward at the top of the ranking (getting the best markets right) while keeping the statistical efficiency of a continuous, whole-ranking metric — which matters given how few independent outcome cohorts we have. Implementation: scipy.stats.weightedtau (hyperbolic rank weighting by default). Parameter to settle in code: weight by predicted rank, realized rank, or the symmetric average (scipy’s default) — leaning toward realized rank. Headline, for communication: top-quartile hit-rate / precision@10 — visceral and checkable (“7 of my top 10 markets landed in the top quartile of realized rent growth”). Report both, segmented per regime. Lock the metric before the prediction registry goes live, or the pre-registration is meaningless. Note: “accuracy” means accuracy against rent growth — our measurable proxy for “profitable” — and excludes cap-rate movement and price appreciation, which sit behind paid data.</w:t>
      </w:r>
    </w:p>
    <w:p>
      <w:pPr>
        <w:pStyle w:val="Heading2"/>
      </w:pPr>
      <w:r>
        <w:t xml:space="preserve">2026-06-28 — Backtest design: forecast horizon &amp; COVID-era handling</w:t>
      </w:r>
    </w:p>
    <w:p>
      <w:pPr>
        <w:spacing w:after="140" w:before="140"/>
      </w:pPr>
      <w:r>
        <w:rPr>
          <w:b/>
          <w:bCs/>
        </w:rPr>
        <w:t xml:space="preserve">Forecast horizon — 3-year primary target, 1-year reported as a contrast.  </w:t>
      </w:r>
      <w:r>
        <w:t xml:space="preserve">Primary prediction target is 3-year forward rent growth, ranked cross-sectionally against other metros. The 1-year result is computed and reported too, but as a foil, not the target. Why 3-year: it is the horizon where fundamentals (migration, supply pipeline, affordability) express themselves and where momentum mean-reverts, so it actually tests the model’s thesis; a 1-year target would mostly reward momentum and contradict our decision to down-weight it. It also matches the asset — multifamily is illiquid and underwritten over multi-year holds — and is the only horizon where supply mean-reversion is visible. Reporting 1-year alongside is itself useful: if the model does better at 3-year than 1-year, that gap is evidence the fundamentals are real and not just momentum.</w:t>
      </w:r>
    </w:p>
    <w:p>
      <w:pPr>
        <w:spacing w:after="140"/>
      </w:pPr>
      <w:r>
        <w:rPr>
          <w:b/>
          <w:bCs/>
          <w:i/>
          <w:iCs/>
          <w:color w:val="555555"/>
        </w:rPr>
        <w:t xml:space="preserve">Binding constraint: </w:t>
      </w:r>
      <w:r>
        <w:rPr>
          <w:i/>
          <w:iCs/>
          <w:color w:val="555555"/>
        </w:rPr>
        <w:t xml:space="preserve">usable free rent-index history only goes back to ~2014–2015, so there are few independent 3-year windows. We use rolling, overlapping 3-year windows and treat results as directional evidence — explicitly NOT as independent observations, so we do not overstate statistical significance.</w:t>
      </w:r>
    </w:p>
    <w:p>
      <w:pPr>
        <w:spacing w:after="140" w:before="140"/>
      </w:pPr>
      <w:r>
        <w:rPr>
          <w:b/>
          <w:bCs/>
        </w:rPr>
        <w:t xml:space="preserve">COVID era — keep all of it; split conceptually, segment by regime, never exclude.  </w:t>
      </w:r>
      <w:r>
        <w:t xml:space="preserve">Do not delete the COVID years. Split them: 2021–2022 (the rent spike) is genuinely anomalous (stimulus, one-time household formation, remote-work migration) and its magnitudes should not be “learned” from. But 2023–2024 (the normalization) is the supply thesis playing out in real time — overbuilt Sunbelt metros got crushed while supply-constrained markets held up — which is the best evidence the model works. Excluding it would be cherry-picking and would throw away the most valuable test. What we do instead:</w:t>
      </w:r>
    </w:p>
    <w:p>
      <w:pPr>
        <w:pStyle w:val="ListParagraph"/>
        <w:numPr>
          <w:ilvl w:val="0"/>
          <w:numId w:val="2"/>
        </w:numPr>
      </w:pPr>
      <w:r>
        <w:t xml:space="preserve">Rank cross-sectionally within each period, so a national common shock (everyone’s rent jumps together) largely cancels and only the metro-to-metro spread survives.</w:t>
      </w:r>
    </w:p>
    <w:p>
      <w:pPr>
        <w:pStyle w:val="ListParagraph"/>
        <w:numPr>
          <w:ilvl w:val="0"/>
          <w:numId w:val="2"/>
        </w:numPr>
      </w:pPr>
      <w:r>
        <w:t xml:space="preserve">Winsorize extreme rent-growth values (cap at ~1st/99th percentile) and disclose it, so a few 2021 blowouts do not dominate.</w:t>
      </w:r>
    </w:p>
    <w:p>
      <w:pPr>
        <w:pStyle w:val="ListParagraph"/>
        <w:numPr>
          <w:ilvl w:val="0"/>
          <w:numId w:val="2"/>
        </w:numPr>
      </w:pPr>
      <w:r>
        <w:t xml:space="preserve">Segment the backtest into regimes — pre-COVID baseline (~2015–2019), shock (2020–2022), normalization (2023–present) — and report each separately alongside a pooled result. “Does the framework hold across regimes?” becomes a headline finding, not a buried caveat.</w:t>
      </w:r>
    </w:p>
    <w:p>
      <w:pPr>
        <w:pStyle w:val="ListParagraph"/>
        <w:numPr>
          <w:ilvl w:val="0"/>
          <w:numId w:val="2"/>
        </w:numPr>
      </w:pPr>
      <w:r>
        <w:t xml:space="preserve">Tag every rolling window by the regime(s) it spans. Point-to-point growth means a window starting at the 2022 peak looks catastrophic and one ending at the peak looks miraculous — that reflects timing, not the model — so windows must be interpreted by regime.</w:t>
      </w:r>
    </w:p>
    <w:p>
      <w:pPr>
        <w:spacing w:after="160" w:before="60"/>
      </w:pPr>
      <w:r>
        <w:rPr>
          <w:b/>
          <w:bCs/>
          <w:i/>
          <w:iCs/>
          <w:color w:val="555555"/>
        </w:rPr>
        <w:t xml:space="preserve">Forward caution (for when/if we move from hand-set to fitted weights): </w:t>
      </w:r>
      <w:r>
        <w:rPr>
          <w:i/>
          <w:iCs/>
          <w:color w:val="555555"/>
        </w:rPr>
        <w:t xml:space="preserve">never fit weights on the shock period. The 2020 urban-flight divergence reversed by 2022–2023, so a model trained on it would “learn” a pattern that was about to invert — a textbook overfitting trap. Fit on calm regimes, test on others, never the reverse.</w:t>
      </w:r>
    </w:p>
    <w:p>
      <w:pPr>
        <w:pStyle w:val="Heading2"/>
      </w:pPr>
      <w:r>
        <w:t xml:space="preserve">2026-06-28 — Project setup &amp; v1 framework</w:t>
      </w:r>
    </w:p>
    <w:p>
      <w:pPr>
        <w:spacing w:after="140" w:before="140"/>
      </w:pPr>
      <w:r>
        <w:rPr>
          <w:b/>
          <w:bCs/>
        </w:rPr>
        <w:t xml:space="preserve">Framing — “screening framework,” not “prediction engine.”  </w:t>
      </w:r>
      <w:r>
        <w:t xml:space="preserve">We position the project as a transparent, systematic framework that screens markets on fundamentals that historically precede outperformance, validated by backtesting. More defensible and more credible for the paper and for LinkedIn than claiming to predict the future.</w:t>
      </w:r>
    </w:p>
    <w:p>
      <w:pPr>
        <w:spacing w:after="140" w:before="140"/>
      </w:pPr>
      <w:r>
        <w:rPr>
          <w:b/>
          <w:bCs/>
        </w:rPr>
        <w:t xml:space="preserve">Data — free / public sources only for v1.  </w:t>
      </w:r>
      <w:r>
        <w:t xml:space="preserve">Census, IRS county-to-county migration, BLS, BEA, FRED, Zillow Research, Apartment List. Reasons: zero cost; full reproducibility is itself a credibility strength (anyone can verify the work); free data covers most demand and supply drivers. Paid data (CoStar, Yardi, RealPage) is deferred unless the concept proves out. Known limitation to state in the paper: no capital-markets data — cap rates, cap-rate spreads, transaction volume — because those live behind paid sources.</w:t>
      </w:r>
    </w:p>
    <w:p>
      <w:pPr>
        <w:spacing w:after="140" w:before="140"/>
      </w:pPr>
      <w:r>
        <w:rPr>
          <w:b/>
          <w:bCs/>
        </w:rPr>
        <w:t xml:space="preserve">Tech stack — Python + pandas for the model, Streamlit for the website.  </w:t>
      </w:r>
      <w:r>
        <w:t xml:space="preserve">One language for both the analysis and the site (instead of learning three), free and low-friction deployment, and the gentlest path for a new coder. A React/JavaScript build would look marginally slicker but roughly triples the learning curve for no real gain at v1.</w:t>
      </w:r>
    </w:p>
    <w:p>
      <w:pPr>
        <w:spacing w:after="140" w:before="140"/>
      </w:pPr>
      <w:r>
        <w:rPr>
          <w:b/>
          <w:bCs/>
        </w:rPr>
        <w:t xml:space="preserve">Build tools — Claude Code for engineering; chat / Cowork for methodology and writing.  </w:t>
      </w:r>
      <w:r>
        <w:t xml:space="preserve">Use each tool where it is strongest: Claude Code for the data pipeline, model, and site; conversation for designing the methodology and drafting the paper.</w:t>
      </w:r>
    </w:p>
    <w:p>
      <w:pPr>
        <w:spacing w:after="140" w:before="140"/>
      </w:pPr>
      <w:r>
        <w:rPr>
          <w:b/>
          <w:bCs/>
        </w:rPr>
        <w:t xml:space="preserve">Scope — start narrow, prove it, then widen.  </w:t>
      </w:r>
      <w:r>
        <w:t xml:space="preserve">~Top 100 metros and a focused indicator set for v1. Cheap to learn on; easy to expand if it works, and cheap to have learned the lesson if it does not.</w:t>
      </w:r>
    </w:p>
    <w:p>
      <w:pPr>
        <w:spacing w:after="140" w:before="140"/>
      </w:pPr>
      <w:r>
        <w:rPr>
          <w:b/>
          <w:bCs/>
        </w:rPr>
        <w:t xml:space="preserve">Methodology — transparent weighted scoring model (not black-box ML) for v1.  </w:t>
      </w:r>
      <w:r>
        <w:t xml:space="preserve">Interpretable and defensible: we can explain every market’s score. Regression / ML can be layered in later once the baseline is validated.</w:t>
      </w:r>
    </w:p>
    <w:p>
      <w:pPr>
        <w:spacing w:after="140" w:before="140"/>
      </w:pPr>
      <w:r>
        <w:rPr>
          <w:b/>
          <w:bCs/>
        </w:rPr>
        <w:t xml:space="preserve">Normalization — normalize each indicator across metros before weighting.  </w:t>
      </w:r>
      <w:r>
        <w:t xml:space="preserve">Raw indicators sit on wildly different scales, so weights only mean what they appear to mean after each indicator is converted to a cross-metro percentile or z-score.</w:t>
      </w:r>
    </w:p>
    <w:p>
      <w:pPr>
        <w:spacing w:after="140" w:before="140"/>
      </w:pPr>
      <w:r>
        <w:rPr>
          <w:b/>
          <w:bCs/>
        </w:rPr>
        <w:t xml:space="preserve">Migration (14%) ranked above job growth (12%).  </w:t>
      </w:r>
      <w:r>
        <w:t xml:space="preserve">Migration is more of a leading indicator, less prone to the heavy revisions that affect BLS employment data, and captures cost-of-living, tax, and lifestyle drivers that job numbers miss. Important nuance: this was decided on migration’s own merits, NOT primarily on the AI-job-displacement thesis. Because the model is relative (every indicator normalized across metros), a national across-the-board drop in hiring largely washes out in the cross-section; AI would only undermine job growth as a signal if it hit metros unevenly — and where it does, that unevenness is itself a signal we want to capture, not discard.</w:t>
      </w:r>
    </w:p>
    <w:p>
      <w:pPr>
        <w:spacing w:after="140" w:before="140"/>
      </w:pPr>
      <w:r>
        <w:rPr>
          <w:b/>
          <w:bCs/>
        </w:rPr>
        <w:t xml:space="preserve">Supply held at 25% for v1.  </w:t>
      </w:r>
      <w:r>
        <w:t xml:space="preserve">Already weighted more heavily than amateurs typically would, and the recent Sunbelt oversupply cycle supports a high weight. Held (not raised) pending the backtest, because supply is mean-reverting — a strong negative near-term but potentially a positive on a 2–3 year horizon. The backtest may argue for raising it.</w:t>
      </w:r>
    </w:p>
    <w:p>
      <w:pPr>
        <w:spacing w:after="140" w:before="140"/>
      </w:pPr>
      <w:r>
        <w:rPr>
          <w:b/>
          <w:bCs/>
        </w:rPr>
        <w:t xml:space="preserve">Momentum kept low at 10%, as confirmation only.  </w:t>
      </w:r>
      <w:r>
        <w:t xml:space="preserve">Trailing rent growth is double-edged: it mean-reverts over the 1–3 year window we care about, and it is partly already captured by the supply and affordability buckets (high momentum pulls in new supply and burns affordability runway).</w:t>
      </w:r>
    </w:p>
    <w:p>
      <w:pPr>
        <w:pBdr>
          <w:bottom w:val="single" w:color="2E6DA4" w:sz="6" w:space="1"/>
        </w:pBdr>
        <w:spacing w:after="160" w:before="60"/>
      </w:pPr>
    </w:p>
    <w:p>
      <w:pPr>
        <w:pStyle w:val="Heading1"/>
      </w:pPr>
      <w:r>
        <w:t xml:space="preserve">Parked for v2 (named extensions for the paper)</w:t>
      </w:r>
    </w:p>
    <w:p>
      <w:pPr>
        <w:pStyle w:val="ListParagraph"/>
        <w:numPr>
          <w:ilvl w:val="0"/>
          <w:numId w:val="2"/>
        </w:numPr>
      </w:pPr>
      <w:r>
        <w:t xml:space="preserve">AI / automation exposure indicator — score each metro by its occupational mix’s exposure to AI displacement. Models the AI thesis directly (rather than proxying it through migration weights), and is a novel, timely paper angle.</w:t>
      </w:r>
    </w:p>
    <w:p>
      <w:pPr>
        <w:pStyle w:val="ListParagraph"/>
        <w:numPr>
          <w:ilvl w:val="0"/>
          <w:numId w:val="2"/>
        </w:numPr>
      </w:pPr>
      <w:r>
        <w:t xml:space="preserve">Momentum × supply interaction — high recent rent growth combined with a heavy incoming supply pipeline should score sharply negative (the classic setup for a market about to roll over).</w:t>
      </w:r>
    </w:p>
    <w:p>
      <w:pPr>
        <w:pStyle w:val="Heading1"/>
      </w:pPr>
      <w:r>
        <w:t xml:space="preserve">Open questions still to decide</w:t>
      </w:r>
    </w:p>
    <w:p>
      <w:pPr>
        <w:spacing w:after="120"/>
      </w:pPr>
      <w:r>
        <w:rPr>
          <w:i/>
          <w:iCs/>
          <w:color w:val="555555"/>
        </w:rPr>
        <w:t xml:space="preserve">All v1 framework questions resolved as of 2026-06-28. The build spec (v1-build-spec.md) is the current working document. New questions that arise during the build go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F3B57"/>
      <w:sz w:val="40"/>
      <w:szCs w:val="40"/>
    </w:rPr>
  </w:style>
  <w:style w:type="paragraph" w:styleId="Heading1">
    <w:name w:val="Heading 1"/>
    <w:basedOn w:val="Normal"/>
    <w:next w:val="Normal"/>
    <w:qFormat/>
    <w:pPr>
      <w:spacing w:after="140" w:before="260"/>
      <w:outlineLvl w:val="0"/>
    </w:pPr>
    <w:rPr>
      <w:rFonts w:ascii="Arial" w:cs="Arial" w:eastAsia="Arial" w:hAnsi="Arial"/>
      <w:b/>
      <w:bCs/>
      <w:color w:val="2E6DA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3B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2026-06-28T00:07:45.171Z</dcterms:created>
  <dcterms:modified xsi:type="dcterms:W3CDTF">2026-06-28T00:07:45.171Z</dcterms:modified>
</cp:coreProperties>
</file>

<file path=docProps/custom.xml><?xml version="1.0" encoding="utf-8"?>
<Properties xmlns="http://schemas.openxmlformats.org/officeDocument/2006/custom-properties" xmlns:vt="http://schemas.openxmlformats.org/officeDocument/2006/docPropsVTypes"/>
</file>