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170A WOAC Advanced PowerShell</w:t>
      </w:r>
    </w:p>
    <w:p>
      <w:pPr>
        <w:spacing w:after="240"/>
      </w:pPr>
      <w:r>
        <w:rPr>
          <w:b/>
          <w:bCs/>
          <w:color w:val="595959"/>
          <w:sz w:val="28"/>
          <w:szCs w:val="28"/>
        </w:rPr>
        <w:t xml:space="preserve">Chapter Learning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5D5" w:sz="4"/>
              <w:left w:val="single" w:color="D5D5D5" w:sz="4"/>
              <w:bottom w:val="single" w:color="D5D5D5" w:sz="4"/>
              <w:right w:val="single" w:color="D5D5D5" w:sz="4"/>
            </w:tcBorders>
            <w:shd w:fill="F2F2F2" w:val="clear"/>
            <w:tcMar>
              <w:top w:type="dxa" w:w="120"/>
              <w:left w:type="dxa" w:w="180"/>
              <w:bottom w:type="dxa" w:w="120"/>
              <w:right w:type="dxa" w:w="180"/>
            </w:tcMar>
          </w:tcPr>
          <w:p>
            <w:pPr>
              <w:spacing w:after="60"/>
            </w:pPr>
            <w:r>
              <w:rPr>
                <w:b/>
                <w:bCs/>
              </w:rPr>
              <w:t xml:space="preserve">Purpose</w:t>
            </w:r>
          </w:p>
          <w:p>
            <w:r>
              <w:t xml:space="preserve">This document contains the rewritten chapter-level learning objectives for the 170A WOAC Advanced PowerShell course book on the CVTE LMS. Each chapter's objectives map directly to the CTSSB Knowledge (K) and Skill (S) statements from the 170A CTSSB Output, 16 February 2024, Module 1, Topic: Advanced PowerShell.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5D5" w:sz="4"/>
              <w:left w:val="single" w:color="D5D5D5" w:sz="4"/>
              <w:bottom w:val="single" w:color="D5D5D5" w:sz="4"/>
              <w:right w:val="single" w:color="D5D5D5" w:sz="4"/>
            </w:tcBorders>
            <w:shd w:fill="F2F2F2" w:val="clear"/>
            <w:tcMar>
              <w:top w:type="dxa" w:w="120"/>
              <w:left w:type="dxa" w:w="180"/>
              <w:bottom w:type="dxa" w:w="120"/>
              <w:right w:type="dxa" w:w="180"/>
            </w:tcMar>
          </w:tcPr>
          <w:p>
            <w:pPr>
              <w:spacing w:after="60"/>
            </w:pPr>
            <w:r>
              <w:rPr>
                <w:b/>
                <w:bCs/>
              </w:rPr>
              <w:t xml:space="preserve">CTSSB Authority</w:t>
            </w:r>
          </w:p>
          <w:p>
            <w:r>
              <w:t xml:space="preserve">The K-numbers in this document refer to the eleven verbatim CTSSB knowledge items (K1–K11). The S-numbers refer to the four verbatim CTSSB skill items (S1–S4). These are the same numbers used in the Written Assessment Scope Contract and the Capstone Assessment Scope Contract.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5D5" w:sz="4"/>
              <w:left w:val="single" w:color="D5D5D5" w:sz="4"/>
              <w:bottom w:val="single" w:color="D5D5D5" w:sz="4"/>
              <w:right w:val="single" w:color="D5D5D5" w:sz="4"/>
            </w:tcBorders>
            <w:shd w:fill="F2F2F2" w:val="clear"/>
            <w:tcMar>
              <w:top w:type="dxa" w:w="120"/>
              <w:left w:type="dxa" w:w="180"/>
              <w:bottom w:type="dxa" w:w="120"/>
              <w:right w:type="dxa" w:w="180"/>
            </w:tcMar>
          </w:tcPr>
          <w:p>
            <w:pPr>
              <w:spacing w:after="60"/>
            </w:pPr>
            <w:r>
              <w:rPr>
                <w:b/>
                <w:bCs/>
              </w:rPr>
              <w:t xml:space="preserve">How to Use</w:t>
            </w:r>
          </w:p>
          <w:p>
            <w:r>
              <w:t xml:space="preserve">Each section below is a drop-in replacement for the existing Learning Objectives block on the corresponding chapter intro page. Copy the content for one chapter at a time and paste it into the Moodle Book chapter editor.</w:t>
            </w:r>
          </w:p>
        </w:tc>
      </w:tr>
    </w:tbl>
    <w:p>
      <w:pPr>
        <w:pStyle w:val="Heading2"/>
      </w:pPr>
      <w:r>
        <w:t xml:space="preserve">CTSSB Reference (paste into Chapter 0 if you want a course-wide map)</w:t>
      </w:r>
    </w:p>
    <w:p>
      <w:pPr>
        <w:spacing w:after="100" w:before="100"/>
      </w:pPr>
      <w:r>
        <w:t xml:space="preserve">The course assesses the following CTSSB items. Every chapter's learning objectives in this document trace back to one or more of these.</w:t>
      </w:r>
    </w:p>
    <w:p>
      <w:pPr>
        <w:pStyle w:val="Heading3"/>
      </w:pPr>
      <w:r>
        <w:t xml:space="preserve">Knowledge items (assessed on the final exam)</w:t>
      </w:r>
    </w:p>
    <w:p>
      <w:pPr>
        <w:pStyle w:val="ListParagraph"/>
        <w:numPr>
          <w:ilvl w:val="0"/>
          <w:numId w:val="2"/>
        </w:numPr>
        <w:spacing w:after="80" w:before="80"/>
      </w:pPr>
      <w:r>
        <w:rPr>
          <w:b/>
          <w:bCs/>
        </w:rPr>
        <w:t xml:space="preserve">K1</w:t>
      </w:r>
      <w:r>
        <w:t xml:space="preserve"> — .NET usage within PowerShell</w:t>
      </w:r>
    </w:p>
    <w:p>
      <w:pPr>
        <w:pStyle w:val="ListParagraph"/>
        <w:numPr>
          <w:ilvl w:val="0"/>
          <w:numId w:val="2"/>
        </w:numPr>
        <w:spacing w:after="80" w:before="80"/>
      </w:pPr>
      <w:r>
        <w:rPr>
          <w:b/>
          <w:bCs/>
        </w:rPr>
        <w:t xml:space="preserve">K2</w:t>
      </w:r>
      <w:r>
        <w:t xml:space="preserve"> — Advanced debugging techniques available for PowerShell</w:t>
      </w:r>
    </w:p>
    <w:p>
      <w:pPr>
        <w:pStyle w:val="ListParagraph"/>
        <w:numPr>
          <w:ilvl w:val="0"/>
          <w:numId w:val="2"/>
        </w:numPr>
        <w:spacing w:after="80" w:before="80"/>
      </w:pPr>
      <w:r>
        <w:rPr>
          <w:b/>
          <w:bCs/>
        </w:rPr>
        <w:t xml:space="preserve">K3</w:t>
      </w:r>
      <w:r>
        <w:t xml:space="preserve"> — The double-hop problem as it pertains to Windows Remote Management</w:t>
      </w:r>
    </w:p>
    <w:p>
      <w:pPr>
        <w:pStyle w:val="ListParagraph"/>
        <w:numPr>
          <w:ilvl w:val="0"/>
          <w:numId w:val="2"/>
        </w:numPr>
        <w:spacing w:after="80" w:before="80"/>
      </w:pPr>
      <w:r>
        <w:rPr>
          <w:b/>
          <w:bCs/>
        </w:rPr>
        <w:t xml:space="preserve">K4</w:t>
      </w:r>
      <w:r>
        <w:t xml:space="preserve"> — Different language modes in PowerShell</w:t>
      </w:r>
    </w:p>
    <w:p>
      <w:pPr>
        <w:pStyle w:val="ListParagraph"/>
        <w:numPr>
          <w:ilvl w:val="0"/>
          <w:numId w:val="2"/>
        </w:numPr>
        <w:spacing w:after="80" w:before="80"/>
      </w:pPr>
      <w:r>
        <w:rPr>
          <w:b/>
          <w:bCs/>
        </w:rPr>
        <w:t xml:space="preserve">K5</w:t>
      </w:r>
      <w:r>
        <w:t xml:space="preserve"> — PowerShell performance techniques (e.g., parallel jobs)</w:t>
      </w:r>
    </w:p>
    <w:p>
      <w:pPr>
        <w:pStyle w:val="ListParagraph"/>
        <w:numPr>
          <w:ilvl w:val="0"/>
          <w:numId w:val="2"/>
        </w:numPr>
        <w:spacing w:after="80" w:before="80"/>
      </w:pPr>
      <w:r>
        <w:rPr>
          <w:b/>
          <w:bCs/>
        </w:rPr>
        <w:t xml:space="preserve">K6</w:t>
      </w:r>
      <w:r>
        <w:t xml:space="preserve"> — Common attacker techniques using PowerShell, and defenses</w:t>
      </w:r>
    </w:p>
    <w:p>
      <w:pPr>
        <w:pStyle w:val="ListParagraph"/>
        <w:numPr>
          <w:ilvl w:val="0"/>
          <w:numId w:val="2"/>
        </w:numPr>
        <w:spacing w:after="80" w:before="80"/>
      </w:pPr>
      <w:r>
        <w:rPr>
          <w:b/>
          <w:bCs/>
        </w:rPr>
        <w:t xml:space="preserve">K7</w:t>
      </w:r>
      <w:r>
        <w:t xml:space="preserve"> — PowerShell Desired State Configuration (Configuration as Code)</w:t>
      </w:r>
    </w:p>
    <w:p>
      <w:pPr>
        <w:pStyle w:val="ListParagraph"/>
        <w:numPr>
          <w:ilvl w:val="0"/>
          <w:numId w:val="2"/>
        </w:numPr>
        <w:spacing w:after="80" w:before="80"/>
      </w:pPr>
      <w:r>
        <w:rPr>
          <w:b/>
          <w:bCs/>
        </w:rPr>
        <w:t xml:space="preserve">K8</w:t>
      </w:r>
      <w:r>
        <w:t xml:space="preserve"> — Common problems encountered when executing remote PowerShell scripts on many remote systems</w:t>
      </w:r>
    </w:p>
    <w:p>
      <w:pPr>
        <w:pStyle w:val="ListParagraph"/>
        <w:numPr>
          <w:ilvl w:val="0"/>
          <w:numId w:val="2"/>
        </w:numPr>
        <w:spacing w:after="80" w:before="80"/>
      </w:pPr>
      <w:r>
        <w:rPr>
          <w:b/>
          <w:bCs/>
        </w:rPr>
        <w:t xml:space="preserve">K9</w:t>
      </w:r>
      <w:r>
        <w:t xml:space="preserve"> — Script repurposing</w:t>
      </w:r>
    </w:p>
    <w:p>
      <w:pPr>
        <w:pStyle w:val="ListParagraph"/>
        <w:numPr>
          <w:ilvl w:val="0"/>
          <w:numId w:val="2"/>
        </w:numPr>
        <w:spacing w:after="80" w:before="80"/>
      </w:pPr>
      <w:r>
        <w:rPr>
          <w:b/>
          <w:bCs/>
        </w:rPr>
        <w:t xml:space="preserve">K10</w:t>
      </w:r>
      <w:r>
        <w:t xml:space="preserve"> — API interactions utilizing PowerShell</w:t>
      </w:r>
    </w:p>
    <w:p>
      <w:pPr>
        <w:pStyle w:val="ListParagraph"/>
        <w:numPr>
          <w:ilvl w:val="0"/>
          <w:numId w:val="2"/>
        </w:numPr>
        <w:spacing w:after="80" w:before="80"/>
      </w:pPr>
      <w:r>
        <w:rPr>
          <w:b/>
          <w:bCs/>
        </w:rPr>
        <w:t xml:space="preserve">K11</w:t>
      </w:r>
      <w:r>
        <w:t xml:space="preserve"> — PowerShell integration with Microsoft Azure</w:t>
      </w:r>
    </w:p>
    <w:p>
      <w:pPr>
        <w:pStyle w:val="Heading3"/>
      </w:pPr>
      <w:r>
        <w:t xml:space="preserve">Skill items (assessed on the capstone)</w:t>
      </w:r>
    </w:p>
    <w:p>
      <w:pPr>
        <w:pStyle w:val="ListParagraph"/>
        <w:numPr>
          <w:ilvl w:val="0"/>
          <w:numId w:val="2"/>
        </w:numPr>
        <w:spacing w:after="80" w:before="80"/>
      </w:pPr>
      <w:r>
        <w:rPr>
          <w:b/>
          <w:bCs/>
        </w:rPr>
        <w:t xml:space="preserve">S1</w:t>
      </w:r>
      <w:r>
        <w:t xml:space="preserve"> — Develop a PowerShell script to gather specified information from multiple remote systems</w:t>
      </w:r>
    </w:p>
    <w:p>
      <w:pPr>
        <w:pStyle w:val="ListParagraph"/>
        <w:numPr>
          <w:ilvl w:val="0"/>
          <w:numId w:val="2"/>
        </w:numPr>
        <w:spacing w:after="80" w:before="80"/>
      </w:pPr>
      <w:r>
        <w:rPr>
          <w:b/>
          <w:bCs/>
        </w:rPr>
        <w:t xml:space="preserve">S2</w:t>
      </w:r>
      <w:r>
        <w:t xml:space="preserve"> — Create a PowerShell script that can run multiple jobs in parallel</w:t>
      </w:r>
    </w:p>
    <w:p>
      <w:pPr>
        <w:pStyle w:val="ListParagraph"/>
        <w:numPr>
          <w:ilvl w:val="0"/>
          <w:numId w:val="2"/>
        </w:numPr>
        <w:spacing w:after="80" w:before="80"/>
      </w:pPr>
      <w:r>
        <w:rPr>
          <w:b/>
          <w:bCs/>
        </w:rPr>
        <w:t xml:space="preserve">S3</w:t>
      </w:r>
      <w:r>
        <w:t xml:space="preserve"> — Develop a PowerShell script to deploy an application to a remote system</w:t>
      </w:r>
    </w:p>
    <w:p>
      <w:pPr>
        <w:pStyle w:val="ListParagraph"/>
        <w:numPr>
          <w:ilvl w:val="0"/>
          <w:numId w:val="2"/>
        </w:numPr>
        <w:spacing w:after="80" w:before="80"/>
      </w:pPr>
      <w:r>
        <w:rPr>
          <w:b/>
          <w:bCs/>
        </w:rPr>
        <w:t xml:space="preserve">S4</w:t>
      </w:r>
      <w:r>
        <w:t xml:space="preserve"> — Integrate advanced debugging techniques to analyze PowerShell scripts</w:t>
      </w:r>
    </w:p>
    <w:p>
      <w:r>
        <w:t xml:space="preserve"/>
      </w:r>
    </w:p>
    <w:p>
      <w:pPr>
        <w:pBdr>
          <w:bottom w:val="single" w:color="999999" w:sz="6" w:space="1"/>
        </w:pBdr>
      </w:pPr>
      <w:r>
        <w:t xml:space="preserve"/>
      </w:r>
    </w:p>
    <w:p>
      <w:pPr>
        <w:pStyle w:val="Heading2"/>
      </w:pPr>
      <w:r>
        <w:t xml:space="preserve">Chapter 1 — PowerShell Scripting Foundations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5D5" w:sz="4"/>
              <w:left w:val="single" w:color="D5D5D5" w:sz="4"/>
              <w:bottom w:val="single" w:color="D5D5D5" w:sz="4"/>
              <w:right w:val="single" w:color="D5D5D5" w:sz="4"/>
            </w:tcBorders>
            <w:shd w:fill="F2F2F2" w:val="clear"/>
            <w:tcMar>
              <w:top w:type="dxa" w:w="120"/>
              <w:left w:type="dxa" w:w="180"/>
              <w:bottom w:type="dxa" w:w="120"/>
              <w:right w:type="dxa" w:w="180"/>
            </w:tcMar>
          </w:tcPr>
          <w:p>
            <w:pPr>
              <w:spacing w:after="60"/>
            </w:pPr>
            <w:r>
              <w:rPr>
                <w:b/>
                <w:bCs/>
              </w:rPr>
              <w:t xml:space="preserve">Note on chapter scope</w:t>
            </w:r>
          </w:p>
          <w:p>
            <w:r>
              <w:t xml:space="preserve">Chapter 1 is a deliberate refresh of prerequisite material rather than direct CTSSB-assessed content. The objectives below are scoped to what becomes load-bearing in later chapters and what scaffolds the K-items and S-items the rest of the course assesses.</w:t>
            </w:r>
          </w:p>
        </w:tc>
      </w:tr>
    </w:tbl>
    <w:p>
      <w:pPr>
        <w:pStyle w:val="Heading3"/>
      </w:pPr>
      <w:r>
        <w:t xml:space="preserve">Learning Objectives</w:t>
      </w:r>
    </w:p>
    <w:p>
      <w:pPr>
        <w:spacing w:after="100" w:before="100"/>
      </w:pPr>
      <w:r>
        <w:t xml:space="preserve">By the end of this chapter, you will be able to:</w:t>
      </w:r>
    </w:p>
    <w:p>
      <w:pPr>
        <w:pStyle w:val="ListParagraph"/>
        <w:numPr>
          <w:ilvl w:val="0"/>
          <w:numId w:val="2"/>
        </w:numPr>
        <w:spacing w:after="80" w:before="80"/>
      </w:pPr>
      <w:r>
        <w:t xml:space="preserve">Read PowerShell command output as structured objects rather than text, and inspect those objects with </w:t>
      </w:r>
      <w:r>
        <w:rPr>
          <w:rFonts w:ascii="Consolas" w:cs="Consolas" w:eastAsia="Consolas" w:hAnsi="Consolas"/>
        </w:rPr>
        <w:t xml:space="preserve">Get-Member</w:t>
      </w:r>
      <w:r>
        <w:t xml:space="preserve">. </w:t>
      </w:r>
      <w:r>
        <w:rPr>
          <w:i/>
          <w:iCs/>
        </w:rPr>
        <w:t xml:space="preserve">(prerequisite for </w:t>
      </w:r>
      <w:r>
        <w:rPr>
          <w:b/>
          <w:bCs/>
        </w:rPr>
        <w:t xml:space="preserve">K1</w:t>
      </w:r>
      <w:r>
        <w:rPr>
          <w:i/>
          <w:iCs/>
        </w:rPr>
        <w:t xml:space="preserve">)</w:t>
      </w:r>
    </w:p>
    <w:p>
      <w:pPr>
        <w:pStyle w:val="ListParagraph"/>
        <w:numPr>
          <w:ilvl w:val="0"/>
          <w:numId w:val="2"/>
        </w:numPr>
        <w:spacing w:after="80" w:before="80"/>
      </w:pPr>
      <w:r>
        <w:t xml:space="preserve">Use variables, strings, arrays, hashtables, and type casting to build the inputs and intermediate values that scripts depend on. </w:t>
      </w:r>
      <w:r>
        <w:rPr>
          <w:i/>
          <w:iCs/>
        </w:rPr>
        <w:t xml:space="preserve">(prerequisite for </w:t>
      </w:r>
      <w:r>
        <w:rPr>
          <w:b/>
          <w:bCs/>
        </w:rPr>
        <w:t xml:space="preserve">K1</w:t>
      </w:r>
      <w:r>
        <w:rPr>
          <w:i/>
          <w:iCs/>
        </w:rPr>
        <w:t xml:space="preserve">)</w:t>
      </w:r>
    </w:p>
    <w:p>
      <w:pPr>
        <w:pStyle w:val="ListParagraph"/>
        <w:numPr>
          <w:ilvl w:val="0"/>
          <w:numId w:val="2"/>
        </w:numPr>
        <w:spacing w:after="80" w:before="80"/>
      </w:pPr>
      <w:r>
        <w:t xml:space="preserve">Query Windows information with CIM and select only the properties needed for downstream work. </w:t>
      </w:r>
      <w:r>
        <w:rPr>
          <w:i/>
          <w:iCs/>
        </w:rPr>
        <w:t xml:space="preserve">(scaffolds </w:t>
      </w:r>
      <w:r>
        <w:rPr>
          <w:b/>
          <w:bCs/>
        </w:rPr>
        <w:t xml:space="preserve">S1</w:t>
      </w:r>
      <w:r>
        <w:rPr>
          <w:i/>
          <w:iCs/>
        </w:rPr>
        <w:t xml:space="preserve">)</w:t>
      </w:r>
    </w:p>
    <w:p>
      <w:pPr>
        <w:pStyle w:val="ListParagraph"/>
        <w:numPr>
          <w:ilvl w:val="0"/>
          <w:numId w:val="2"/>
        </w:numPr>
        <w:spacing w:after="80" w:before="80"/>
      </w:pPr>
      <w:r>
        <w:t xml:space="preserve">Write small functions that accept parameters and return </w:t>
      </w:r>
      <w:r>
        <w:rPr>
          <w:rFonts w:ascii="Consolas" w:cs="Consolas" w:eastAsia="Consolas" w:hAnsi="Consolas"/>
        </w:rPr>
        <w:t xml:space="preserve">[pscustomobject]</w:t>
      </w:r>
      <w:r>
        <w:t xml:space="preserve"> results with a consistent shape. </w:t>
      </w:r>
      <w:r>
        <w:rPr>
          <w:i/>
          <w:iCs/>
        </w:rPr>
        <w:t xml:space="preserve">(scaffolds </w:t>
      </w:r>
      <w:r>
        <w:rPr>
          <w:b/>
          <w:bCs/>
        </w:rPr>
        <w:t xml:space="preserve">S1</w:t>
      </w:r>
      <w:r>
        <w:rPr>
          <w:i/>
          <w:iCs/>
        </w:rPr>
        <w:t xml:space="preserve">)</w:t>
      </w:r>
    </w:p>
    <w:p>
      <w:pPr>
        <w:pStyle w:val="ListParagraph"/>
        <w:numPr>
          <w:ilvl w:val="0"/>
          <w:numId w:val="2"/>
        </w:numPr>
        <w:spacing w:after="80" w:before="80"/>
      </w:pPr>
      <w:r>
        <w:t xml:space="preserve">Apply </w:t>
      </w:r>
      <w:r>
        <w:rPr>
          <w:rFonts w:ascii="Consolas" w:cs="Consolas" w:eastAsia="Consolas" w:hAnsi="Consolas"/>
        </w:rPr>
        <w:t xml:space="preserve">try/catch</w:t>
      </w:r>
      <w:r>
        <w:t xml:space="preserve"> with </w:t>
      </w:r>
      <w:r>
        <w:rPr>
          <w:rFonts w:ascii="Consolas" w:cs="Consolas" w:eastAsia="Consolas" w:hAnsi="Consolas"/>
        </w:rPr>
        <w:t xml:space="preserve">-ErrorAction Stop</w:t>
      </w:r>
      <w:r>
        <w:t xml:space="preserve"> to convert non-terminating errors into recoverable failure objects. </w:t>
      </w:r>
      <w:r>
        <w:rPr>
          <w:i/>
          <w:iCs/>
        </w:rPr>
        <w:t xml:space="preserve">(introduces </w:t>
      </w:r>
      <w:r>
        <w:rPr>
          <w:b/>
          <w:bCs/>
        </w:rPr>
        <w:t xml:space="preserve">K2</w:t>
      </w:r>
      <w:r>
        <w:rPr>
          <w:i/>
          <w:iCs/>
        </w:rPr>
        <w:t xml:space="preserve">)</w:t>
      </w:r>
    </w:p>
    <w:p>
      <w:pPr>
        <w:pStyle w:val="ListParagraph"/>
        <w:numPr>
          <w:ilvl w:val="0"/>
          <w:numId w:val="2"/>
        </w:numPr>
        <w:spacing w:after="80" w:before="80"/>
      </w:pPr>
      <w:r>
        <w:t xml:space="preserve">Diagnose script failures using the four-check habit — actual parameter values, object types, execution context, and exact error message — before rewriting code. </w:t>
      </w:r>
      <w:r>
        <w:rPr>
          <w:i/>
          <w:iCs/>
        </w:rPr>
        <w:t xml:space="preserve">(introduces </w:t>
      </w:r>
      <w:r>
        <w:rPr>
          <w:b/>
          <w:bCs/>
        </w:rPr>
        <w:t xml:space="preserve">K2</w:t>
      </w:r>
      <w:r>
        <w:rPr>
          <w:i/>
          <w:iCs/>
        </w:rPr>
        <w:t xml:space="preserve">)</w:t>
      </w:r>
    </w:p>
    <w:p>
      <w:r>
        <w:t xml:space="preserve"/>
      </w:r>
    </w:p>
    <w:p>
      <w:pPr>
        <w:pBdr>
          <w:bottom w:val="single" w:color="999999" w:sz="6" w:space="1"/>
        </w:pBdr>
      </w:pPr>
      <w:r>
        <w:t xml:space="preserve"/>
      </w:r>
    </w:p>
    <w:p>
      <w:pPr>
        <w:pStyle w:val="Heading2"/>
      </w:pPr>
      <w:r>
        <w:t xml:space="preserve">Chapter 2 — .NET for PowerShell Practitioners</w:t>
      </w:r>
    </w:p>
    <w:p>
      <w:pPr>
        <w:pStyle w:val="Heading3"/>
      </w:pPr>
      <w:r>
        <w:t xml:space="preserve">Learning Objectives</w:t>
      </w:r>
    </w:p>
    <w:p>
      <w:pPr>
        <w:spacing w:after="100" w:before="100"/>
      </w:pPr>
      <w:r>
        <w:t xml:space="preserve">By the end of this chapter, you will be able to:</w:t>
      </w:r>
    </w:p>
    <w:p>
      <w:pPr>
        <w:pStyle w:val="ListParagraph"/>
        <w:numPr>
          <w:ilvl w:val="0"/>
          <w:numId w:val="2"/>
        </w:numPr>
        <w:spacing w:after="80" w:before="80"/>
      </w:pPr>
      <w:r>
        <w:t xml:space="preserve">Explain how every PowerShell object is a .NET object with a type name, properties, and methods, and identify the .NET type behind any object using </w:t>
      </w:r>
      <w:r>
        <w:rPr>
          <w:rFonts w:ascii="Consolas" w:cs="Consolas" w:eastAsia="Consolas" w:hAnsi="Consolas"/>
        </w:rPr>
        <w:t xml:space="preserve">GetType().FullName</w:t>
      </w:r>
      <w:r>
        <w:t xml:space="preserve">. </w:t>
      </w:r>
      <w:r>
        <w:rPr>
          <w:i/>
          <w:iCs/>
        </w:rPr>
        <w:t xml:space="preserve">(</w:t>
      </w:r>
      <w:r>
        <w:rPr>
          <w:b/>
          <w:bCs/>
        </w:rPr>
        <w:t xml:space="preserve">K1</w:t>
      </w:r>
      <w:r>
        <w:rPr>
          <w:i/>
          <w:iCs/>
        </w:rPr>
        <w:t xml:space="preserve">)</w:t>
      </w:r>
    </w:p>
    <w:p>
      <w:pPr>
        <w:pStyle w:val="ListParagraph"/>
        <w:numPr>
          <w:ilvl w:val="0"/>
          <w:numId w:val="2"/>
        </w:numPr>
        <w:spacing w:after="80" w:before="80"/>
      </w:pPr>
      <w:r>
        <w:t xml:space="preserve">Distinguish between static member calls — the </w:t>
      </w:r>
      <w:r>
        <w:rPr>
          <w:rFonts w:ascii="Consolas" w:cs="Consolas" w:eastAsia="Consolas" w:hAnsi="Consolas"/>
        </w:rPr>
        <w:t xml:space="preserve">[type]::member</w:t>
      </w:r>
      <w:r>
        <w:t xml:space="preserve"> syntax with the </w:t>
      </w:r>
      <w:r>
        <w:rPr>
          <w:rFonts w:ascii="Consolas" w:cs="Consolas" w:eastAsia="Consolas" w:hAnsi="Consolas"/>
        </w:rPr>
        <w:t xml:space="preserve">::</w:t>
      </w:r>
      <w:r>
        <w:t xml:space="preserve"> operator — and instance member calls on a variable, and recognize each in scripts you read in the field. </w:t>
      </w:r>
      <w:r>
        <w:rPr>
          <w:i/>
          <w:iCs/>
        </w:rPr>
        <w:t xml:space="preserve">(</w:t>
      </w:r>
      <w:r>
        <w:rPr>
          <w:b/>
          <w:bCs/>
        </w:rPr>
        <w:t xml:space="preserve">K1</w:t>
      </w:r>
      <w:r>
        <w:rPr>
          <w:i/>
          <w:iCs/>
        </w:rPr>
        <w:t xml:space="preserve">)</w:t>
      </w:r>
    </w:p>
    <w:p>
      <w:pPr>
        <w:pStyle w:val="ListParagraph"/>
        <w:numPr>
          <w:ilvl w:val="0"/>
          <w:numId w:val="2"/>
        </w:numPr>
        <w:spacing w:after="80" w:before="80"/>
      </w:pPr>
      <w:r>
        <w:t xml:space="preserve">Apply a small, high-leverage set of .NET types — </w:t>
      </w:r>
      <w:r>
        <w:rPr>
          <w:rFonts w:ascii="Consolas" w:cs="Consolas" w:eastAsia="Consolas" w:hAnsi="Consolas"/>
        </w:rPr>
        <w:t xml:space="preserve">[datetime]</w:t>
      </w:r>
      <w:r>
        <w:t xml:space="preserve">, </w:t>
      </w:r>
      <w:r>
        <w:rPr>
          <w:rFonts w:ascii="Consolas" w:cs="Consolas" w:eastAsia="Consolas" w:hAnsi="Consolas"/>
        </w:rPr>
        <w:t xml:space="preserve">[environment]</w:t>
      </w:r>
      <w:r>
        <w:t xml:space="preserve">, </w:t>
      </w:r>
      <w:r>
        <w:rPr>
          <w:rFonts w:ascii="Consolas" w:cs="Consolas" w:eastAsia="Consolas" w:hAnsi="Consolas"/>
        </w:rPr>
        <w:t xml:space="preserve">[System.IO.Path]</w:t>
      </w:r>
      <w:r>
        <w:t xml:space="preserve">, </w:t>
      </w:r>
      <w:r>
        <w:rPr>
          <w:rFonts w:ascii="Consolas" w:cs="Consolas" w:eastAsia="Consolas" w:hAnsi="Consolas"/>
        </w:rPr>
        <w:t xml:space="preserve">[math]</w:t>
      </w:r>
      <w:r>
        <w:t xml:space="preserve">, </w:t>
      </w:r>
      <w:r>
        <w:rPr>
          <w:rFonts w:ascii="Consolas" w:cs="Consolas" w:eastAsia="Consolas" w:hAnsi="Consolas"/>
        </w:rPr>
        <w:t xml:space="preserve">[System.Net.Dns]</w:t>
      </w:r>
      <w:r>
        <w:t xml:space="preserve"> — to fill gaps where a cmdlet does not exist or is more awkward than the .NET equivalent. </w:t>
      </w:r>
      <w:r>
        <w:rPr>
          <w:i/>
          <w:iCs/>
        </w:rPr>
        <w:t xml:space="preserve">(</w:t>
      </w:r>
      <w:r>
        <w:rPr>
          <w:b/>
          <w:bCs/>
        </w:rPr>
        <w:t xml:space="preserve">K1</w:t>
      </w:r>
      <w:r>
        <w:rPr>
          <w:i/>
          <w:iCs/>
        </w:rPr>
        <w:t xml:space="preserve">)</w:t>
      </w:r>
    </w:p>
    <w:p>
      <w:pPr>
        <w:pStyle w:val="ListParagraph"/>
        <w:numPr>
          <w:ilvl w:val="0"/>
          <w:numId w:val="2"/>
        </w:numPr>
        <w:spacing w:after="80" w:before="80"/>
      </w:pPr>
      <w:r>
        <w:t xml:space="preserve">Compose .NET static calls with </w:t>
      </w:r>
      <w:r>
        <w:rPr>
          <w:rFonts w:ascii="Consolas" w:cs="Consolas" w:eastAsia="Consolas" w:hAnsi="Consolas"/>
        </w:rPr>
        <w:t xml:space="preserve">[pscustomobject]</w:t>
      </w:r>
      <w:r>
        <w:t xml:space="preserve"> to produce structured output, the pattern every capstone Get-* function uses. </w:t>
      </w:r>
      <w:r>
        <w:rPr>
          <w:i/>
          <w:iCs/>
        </w:rPr>
        <w:t xml:space="preserve">(</w:t>
      </w:r>
      <w:r>
        <w:rPr>
          <w:b/>
          <w:bCs/>
        </w:rPr>
        <w:t xml:space="preserve">K1</w:t>
      </w:r>
      <w:r>
        <w:t xml:space="preserve">, scaffolds </w:t>
      </w:r>
      <w:r>
        <w:rPr>
          <w:b/>
          <w:bCs/>
        </w:rPr>
        <w:t xml:space="preserve">S1</w:t>
      </w:r>
      <w:r>
        <w:rPr>
          <w:i/>
          <w:iCs/>
        </w:rPr>
        <w:t xml:space="preserve">)</w:t>
      </w:r>
    </w:p>
    <w:p>
      <w:pPr>
        <w:pStyle w:val="ListParagraph"/>
        <w:numPr>
          <w:ilvl w:val="0"/>
          <w:numId w:val="2"/>
        </w:numPr>
        <w:spacing w:after="80" w:before="80"/>
      </w:pPr>
      <w:r>
        <w:t xml:space="preserve">Recognize when </w:t>
      </w:r>
      <w:r>
        <w:rPr>
          <w:i/>
          <w:iCs/>
        </w:rPr>
        <w:t xml:space="preserve">not</w:t>
      </w:r>
      <w:r>
        <w:t xml:space="preserve"> to reach for .NET — when a cmdlet already does the job more readably — and apply the readability test before adding .NET syntax to a script. </w:t>
      </w:r>
      <w:r>
        <w:rPr>
          <w:i/>
          <w:iCs/>
        </w:rPr>
        <w:t xml:space="preserve">(</w:t>
      </w:r>
      <w:r>
        <w:rPr>
          <w:b/>
          <w:bCs/>
        </w:rPr>
        <w:t xml:space="preserve">K1</w:t>
      </w:r>
      <w:r>
        <w:rPr>
          <w:i/>
          <w:iCs/>
        </w:rPr>
        <w:t xml:space="preserve">)</w:t>
      </w:r>
    </w:p>
    <w:p>
      <w:r>
        <w:t xml:space="preserve"/>
      </w:r>
    </w:p>
    <w:p>
      <w:pPr>
        <w:pBdr>
          <w:bottom w:val="single" w:color="999999" w:sz="6" w:space="1"/>
        </w:pBdr>
      </w:pPr>
      <w:r>
        <w:t xml:space="preserve"/>
      </w:r>
    </w:p>
    <w:p>
      <w:pPr>
        <w:pStyle w:val="Heading2"/>
      </w:pPr>
      <w:r>
        <w:t xml:space="preserve">Chapter 3 — PowerShell Remoting and Operational Context</w:t>
      </w:r>
    </w:p>
    <w:p>
      <w:pPr>
        <w:pStyle w:val="Heading3"/>
      </w:pPr>
      <w:r>
        <w:t xml:space="preserve">Learning Objectives</w:t>
      </w:r>
    </w:p>
    <w:p>
      <w:pPr>
        <w:spacing w:after="100" w:before="100"/>
      </w:pPr>
      <w:r>
        <w:t xml:space="preserve">By the end of this chapter, you will be able to:</w:t>
      </w:r>
    </w:p>
    <w:p>
      <w:pPr>
        <w:pStyle w:val="ListParagraph"/>
        <w:numPr>
          <w:ilvl w:val="0"/>
          <w:numId w:val="2"/>
        </w:numPr>
        <w:spacing w:after="80" w:before="80"/>
      </w:pPr>
      <w:r>
        <w:t xml:space="preserve">Configure and use WinRM-based remoting against the four CVTE targets, using </w:t>
      </w:r>
      <w:r>
        <w:rPr>
          <w:rFonts w:ascii="Consolas" w:cs="Consolas" w:eastAsia="Consolas" w:hAnsi="Consolas"/>
        </w:rPr>
        <w:t xml:space="preserve">Test-WSMan</w:t>
      </w:r>
      <w:r>
        <w:t xml:space="preserve">, </w:t>
      </w:r>
      <w:r>
        <w:rPr>
          <w:rFonts w:ascii="Consolas" w:cs="Consolas" w:eastAsia="Consolas" w:hAnsi="Consolas"/>
        </w:rPr>
        <w:t xml:space="preserve">Invoke-Command</w:t>
      </w:r>
      <w:r>
        <w:t xml:space="preserve">, and </w:t>
      </w:r>
      <w:r>
        <w:rPr>
          <w:rFonts w:ascii="Consolas" w:cs="Consolas" w:eastAsia="Consolas" w:hAnsi="Consolas"/>
        </w:rPr>
        <w:t xml:space="preserve">New-PSSession</w:t>
      </w:r>
      <w:r>
        <w:t xml:space="preserve"> correctly. </w:t>
      </w:r>
      <w:r>
        <w:rPr>
          <w:i/>
          <w:iCs/>
        </w:rPr>
        <w:t xml:space="preserve">(scaffolds </w:t>
      </w:r>
      <w:r>
        <w:rPr>
          <w:b/>
          <w:bCs/>
        </w:rPr>
        <w:t xml:space="preserve">S1</w:t>
      </w:r>
      <w:r>
        <w:t xml:space="preserve">, </w:t>
      </w:r>
      <w:r>
        <w:rPr>
          <w:b/>
          <w:bCs/>
        </w:rPr>
        <w:t xml:space="preserve">S3</w:t>
      </w:r>
      <w:r>
        <w:rPr>
          <w:i/>
          <w:iCs/>
        </w:rPr>
        <w:t xml:space="preserve">)</w:t>
      </w:r>
    </w:p>
    <w:p>
      <w:pPr>
        <w:pStyle w:val="ListParagraph"/>
        <w:numPr>
          <w:ilvl w:val="0"/>
          <w:numId w:val="2"/>
        </w:numPr>
        <w:spacing w:after="80" w:before="80"/>
      </w:pPr>
      <w:r>
        <w:t xml:space="preserve">Pass local values into remote script blocks using the </w:t>
      </w:r>
      <w:r>
        <w:rPr>
          <w:rFonts w:ascii="Consolas" w:cs="Consolas" w:eastAsia="Consolas" w:hAnsi="Consolas"/>
        </w:rPr>
        <w:t xml:space="preserve">$using:</w:t>
      </w:r>
      <w:r>
        <w:t xml:space="preserve"> scope modifier, and explain why variables do not cross the local-to-remote boundary automatically. </w:t>
      </w:r>
      <w:r>
        <w:rPr>
          <w:i/>
          <w:iCs/>
        </w:rPr>
        <w:t xml:space="preserve">(scaffolds </w:t>
      </w:r>
      <w:r>
        <w:rPr>
          <w:b/>
          <w:bCs/>
        </w:rPr>
        <w:t xml:space="preserve">S1</w:t>
      </w:r>
      <w:r>
        <w:rPr>
          <w:i/>
          <w:iCs/>
        </w:rPr>
        <w:t xml:space="preserve">)</w:t>
      </w:r>
    </w:p>
    <w:p>
      <w:pPr>
        <w:pStyle w:val="ListParagraph"/>
        <w:numPr>
          <w:ilvl w:val="0"/>
          <w:numId w:val="2"/>
        </w:numPr>
        <w:spacing w:after="80" w:before="80"/>
      </w:pPr>
      <w:r>
        <w:t xml:space="preserve">Recognize the double-hop problem as a credential-delegation failure rather than a permissions problem, and select between CredSSP (course-work option) and Resource-Based Kerberos Constrained Delegation (production option) based on environment and risk. </w:t>
      </w:r>
      <w:r>
        <w:rPr>
          <w:i/>
          <w:iCs/>
        </w:rPr>
        <w:t xml:space="preserve">(</w:t>
      </w:r>
      <w:r>
        <w:rPr>
          <w:b/>
          <w:bCs/>
        </w:rPr>
        <w:t xml:space="preserve">K3</w:t>
      </w:r>
      <w:r>
        <w:rPr>
          <w:i/>
          <w:iCs/>
        </w:rPr>
        <w:t xml:space="preserve">)</w:t>
      </w:r>
    </w:p>
    <w:p>
      <w:pPr>
        <w:pStyle w:val="ListParagraph"/>
        <w:numPr>
          <w:ilvl w:val="0"/>
          <w:numId w:val="2"/>
        </w:numPr>
        <w:spacing w:after="80" w:before="80"/>
      </w:pPr>
      <w:r>
        <w:t xml:space="preserve">Diagnose the most common remote execution failures — WinRM unavailability, credential format errors, missing modules on targets, path-not-found, scope failures inside jobs — using the symptom-to-cause table from Section 3.4. </w:t>
      </w:r>
      <w:r>
        <w:rPr>
          <w:i/>
          <w:iCs/>
        </w:rPr>
        <w:t xml:space="preserve">(</w:t>
      </w:r>
      <w:r>
        <w:rPr>
          <w:b/>
          <w:bCs/>
        </w:rPr>
        <w:t xml:space="preserve">K8</w:t>
      </w:r>
      <w:r>
        <w:rPr>
          <w:i/>
          <w:iCs/>
        </w:rPr>
        <w:t xml:space="preserve">)</w:t>
      </w:r>
    </w:p>
    <w:p>
      <w:pPr>
        <w:pStyle w:val="ListParagraph"/>
        <w:numPr>
          <w:ilvl w:val="0"/>
          <w:numId w:val="2"/>
        </w:numPr>
        <w:spacing w:after="80" w:before="80"/>
      </w:pPr>
      <w:r>
        <w:t xml:space="preserve">Identify the four PowerShell language modes, check the current session's mode with </w:t>
      </w:r>
      <w:r>
        <w:rPr>
          <w:rFonts w:ascii="Consolas" w:cs="Consolas" w:eastAsia="Consolas" w:hAnsi="Consolas"/>
        </w:rPr>
        <w:t xml:space="preserve">$ExecutionContext.SessionState.LanguageMode</w:t>
      </w:r>
      <w:r>
        <w:t xml:space="preserve">, and recognize ConstrainedLanguage failures by their distinctive error message. </w:t>
      </w:r>
      <w:r>
        <w:rPr>
          <w:i/>
          <w:iCs/>
        </w:rPr>
        <w:t xml:space="preserve">(</w:t>
      </w:r>
      <w:r>
        <w:rPr>
          <w:b/>
          <w:bCs/>
        </w:rPr>
        <w:t xml:space="preserve">K4</w:t>
      </w:r>
      <w:r>
        <w:rPr>
          <w:i/>
          <w:iCs/>
        </w:rPr>
        <w:t xml:space="preserve">)</w:t>
      </w:r>
    </w:p>
    <w:p>
      <w:pPr>
        <w:pStyle w:val="ListParagraph"/>
        <w:numPr>
          <w:ilvl w:val="0"/>
          <w:numId w:val="2"/>
        </w:numPr>
        <w:spacing w:after="80" w:before="80"/>
      </w:pPr>
      <w:r>
        <w:t xml:space="preserve">Describe how PowerShell is abused by adversaries — encoded commands, download cradles, living-off-the-land, ConstrainedLanguage bypass — and identify the defensive primitives that detect that abuse, including Script Block Logging (Event ID 4104) and the MITRE ATT&amp;CK techniques T1059.001 and T1027. </w:t>
      </w:r>
      <w:r>
        <w:rPr>
          <w:i/>
          <w:iCs/>
        </w:rPr>
        <w:t xml:space="preserve">(</w:t>
      </w:r>
      <w:r>
        <w:rPr>
          <w:b/>
          <w:bCs/>
        </w:rPr>
        <w:t xml:space="preserve">K6</w:t>
      </w:r>
      <w:r>
        <w:rPr>
          <w:i/>
          <w:iCs/>
        </w:rPr>
        <w:t xml:space="preserve">)</w:t>
      </w:r>
    </w:p>
    <w:p>
      <w:pPr>
        <w:pStyle w:val="ListParagraph"/>
        <w:numPr>
          <w:ilvl w:val="0"/>
          <w:numId w:val="2"/>
        </w:numPr>
        <w:spacing w:after="80" w:before="80"/>
      </w:pPr>
      <w:r>
        <w:t xml:space="preserve">Recognize at a survey level where DSC, REST APIs (</w:t>
      </w:r>
      <w:r>
        <w:rPr>
          <w:rFonts w:ascii="Consolas" w:cs="Consolas" w:eastAsia="Consolas" w:hAnsi="Consolas"/>
        </w:rPr>
        <w:t xml:space="preserve">Invoke-RestMethod</w:t>
      </w:r>
      <w:r>
        <w:t xml:space="preserve">), and cloud-provider modules (</w:t>
      </w:r>
      <w:r>
        <w:rPr>
          <w:rFonts w:ascii="Consolas" w:cs="Consolas" w:eastAsia="Consolas" w:hAnsi="Consolas"/>
        </w:rPr>
        <w:t xml:space="preserve">Az.*</w:t>
      </w:r>
      <w:r>
        <w:t xml:space="preserve">, </w:t>
      </w:r>
      <w:r>
        <w:rPr>
          <w:rFonts w:ascii="Consolas" w:cs="Consolas" w:eastAsia="Consolas" w:hAnsi="Consolas"/>
        </w:rPr>
        <w:t xml:space="preserve">AWS.Tools.*</w:t>
      </w:r>
      <w:r>
        <w:t xml:space="preserve">) fit in the broader operational landscape, even though the capstone uses none of them. </w:t>
      </w:r>
      <w:r>
        <w:rPr>
          <w:i/>
          <w:iCs/>
        </w:rPr>
        <w:t xml:space="preserve">(</w:t>
      </w:r>
      <w:r>
        <w:rPr>
          <w:b/>
          <w:bCs/>
        </w:rPr>
        <w:t xml:space="preserve">K7</w:t>
      </w:r>
      <w:r>
        <w:t xml:space="preserve">, </w:t>
      </w:r>
      <w:r>
        <w:rPr>
          <w:b/>
          <w:bCs/>
        </w:rPr>
        <w:t xml:space="preserve">K10</w:t>
      </w:r>
      <w:r>
        <w:t xml:space="preserve">, </w:t>
      </w:r>
      <w:r>
        <w:rPr>
          <w:b/>
          <w:bCs/>
        </w:rPr>
        <w:t xml:space="preserve">K11</w:t>
      </w:r>
      <w:r>
        <w:rPr>
          <w:i/>
          <w:iCs/>
        </w:rPr>
        <w:t xml:space="preserve">)</w:t>
      </w:r>
    </w:p>
    <w:p>
      <w:pPr>
        <w:pStyle w:val="ListParagraph"/>
        <w:numPr>
          <w:ilvl w:val="0"/>
          <w:numId w:val="2"/>
        </w:numPr>
        <w:spacing w:after="80" w:before="80"/>
      </w:pPr>
      <w:r>
        <w:t xml:space="preserve">Apply the four-check debugging habit — parameter values, object type, execution context, exact error message — to remote-execution failures specifically. </w:t>
      </w:r>
      <w:r>
        <w:rPr>
          <w:i/>
          <w:iCs/>
        </w:rPr>
        <w:t xml:space="preserve">(</w:t>
      </w:r>
      <w:r>
        <w:rPr>
          <w:b/>
          <w:bCs/>
        </w:rPr>
        <w:t xml:space="preserve">K2</w:t>
      </w:r>
      <w:r>
        <w:rPr>
          <w:i/>
          <w:iCs/>
        </w:rPr>
        <w:t xml:space="preserve">)</w:t>
      </w:r>
    </w:p>
    <w:p>
      <w:r>
        <w:t xml:space="preserve"/>
      </w:r>
    </w:p>
    <w:p>
      <w:pPr>
        <w:pBdr>
          <w:bottom w:val="single" w:color="999999" w:sz="6" w:space="1"/>
        </w:pBdr>
      </w:pPr>
      <w:r>
        <w:t xml:space="preserve"/>
      </w:r>
    </w:p>
    <w:p>
      <w:pPr>
        <w:pStyle w:val="Heading2"/>
      </w:pPr>
      <w:r>
        <w:t xml:space="preserve">Chapter 4 — Performance and Parallel Execution</w:t>
      </w:r>
    </w:p>
    <w:p>
      <w:pPr>
        <w:pStyle w:val="Heading3"/>
      </w:pPr>
      <w:r>
        <w:t xml:space="preserve">Learning Objectives</w:t>
      </w:r>
    </w:p>
    <w:p>
      <w:pPr>
        <w:spacing w:after="100" w:before="100"/>
      </w:pPr>
      <w:r>
        <w:t xml:space="preserve">By the end of this chapter, you will be able to:</w:t>
      </w:r>
    </w:p>
    <w:p>
      <w:pPr>
        <w:pStyle w:val="ListParagraph"/>
        <w:numPr>
          <w:ilvl w:val="0"/>
          <w:numId w:val="2"/>
        </w:numPr>
        <w:spacing w:after="80" w:before="80"/>
      </w:pPr>
      <w:r>
        <w:t xml:space="preserve">Establish performance baselines using </w:t>
      </w:r>
      <w:r>
        <w:rPr>
          <w:rFonts w:ascii="Consolas" w:cs="Consolas" w:eastAsia="Consolas" w:hAnsi="Consolas"/>
        </w:rPr>
        <w:t xml:space="preserve">Measure-Command</w:t>
      </w:r>
      <w:r>
        <w:t xml:space="preserve"> and read the returned </w:t>
      </w:r>
      <w:r>
        <w:rPr>
          <w:rFonts w:ascii="Consolas" w:cs="Consolas" w:eastAsia="Consolas" w:hAnsi="Consolas"/>
        </w:rPr>
        <w:t xml:space="preserve">TimeSpan</w:t>
      </w:r>
      <w:r>
        <w:t xml:space="preserve"> object to compare runs honestly across changing conditions. </w:t>
      </w:r>
      <w:r>
        <w:rPr>
          <w:i/>
          <w:iCs/>
        </w:rPr>
        <w:t xml:space="preserve">(</w:t>
      </w:r>
      <w:r>
        <w:rPr>
          <w:b/>
          <w:bCs/>
        </w:rPr>
        <w:t xml:space="preserve">K5</w:t>
      </w:r>
      <w:r>
        <w:rPr>
          <w:i/>
          <w:iCs/>
        </w:rPr>
        <w:t xml:space="preserve">)</w:t>
      </w:r>
    </w:p>
    <w:p>
      <w:pPr>
        <w:pStyle w:val="ListParagraph"/>
        <w:numPr>
          <w:ilvl w:val="0"/>
          <w:numId w:val="2"/>
        </w:numPr>
        <w:spacing w:after="80" w:before="80"/>
      </w:pPr>
      <w:r>
        <w:t xml:space="preserve">Identify and remove unnecessary work — repeated setup, late filtering, screen-only output — </w:t>
      </w:r>
      <w:r>
        <w:rPr>
          <w:i/>
          <w:iCs/>
        </w:rPr>
        <w:t xml:space="preserve">before</w:t>
      </w:r>
      <w:r>
        <w:t xml:space="preserve"> introducing concurrency, and recognize that parallelizing waste is still waste. </w:t>
      </w:r>
      <w:r>
        <w:rPr>
          <w:i/>
          <w:iCs/>
        </w:rPr>
        <w:t xml:space="preserve">(</w:t>
      </w:r>
      <w:r>
        <w:rPr>
          <w:b/>
          <w:bCs/>
        </w:rPr>
        <w:t xml:space="preserve">K5</w:t>
      </w:r>
      <w:r>
        <w:rPr>
          <w:i/>
          <w:iCs/>
        </w:rPr>
        <w:t xml:space="preserve">)</w:t>
      </w:r>
    </w:p>
    <w:p>
      <w:pPr>
        <w:pStyle w:val="ListParagraph"/>
        <w:numPr>
          <w:ilvl w:val="0"/>
          <w:numId w:val="2"/>
        </w:numPr>
        <w:spacing w:after="80" w:before="80"/>
      </w:pPr>
      <w:r>
        <w:t xml:space="preserve">Use the full background-job lifecycle — </w:t>
      </w:r>
      <w:r>
        <w:rPr>
          <w:rFonts w:ascii="Consolas" w:cs="Consolas" w:eastAsia="Consolas" w:hAnsi="Consolas"/>
        </w:rPr>
        <w:t xml:space="preserve">Start-Job</w:t>
      </w:r>
      <w:r>
        <w:t xml:space="preserve">, </w:t>
      </w:r>
      <w:r>
        <w:rPr>
          <w:rFonts w:ascii="Consolas" w:cs="Consolas" w:eastAsia="Consolas" w:hAnsi="Consolas"/>
        </w:rPr>
        <w:t xml:space="preserve">Wait-Job</w:t>
      </w:r>
      <w:r>
        <w:t xml:space="preserve">, </w:t>
      </w:r>
      <w:r>
        <w:rPr>
          <w:rFonts w:ascii="Consolas" w:cs="Consolas" w:eastAsia="Consolas" w:hAnsi="Consolas"/>
        </w:rPr>
        <w:t xml:space="preserve">Receive-Job</w:t>
      </w:r>
      <w:r>
        <w:t xml:space="preserve">, </w:t>
      </w:r>
      <w:r>
        <w:rPr>
          <w:rFonts w:ascii="Consolas" w:cs="Consolas" w:eastAsia="Consolas" w:hAnsi="Consolas"/>
        </w:rPr>
        <w:t xml:space="preserve">Remove-Job</w:t>
      </w:r>
      <w:r>
        <w:t xml:space="preserve"> — to run independent units of work in parallel and clean up afterward. </w:t>
      </w:r>
      <w:r>
        <w:rPr>
          <w:i/>
          <w:iCs/>
        </w:rPr>
        <w:t xml:space="preserve">(</w:t>
      </w:r>
      <w:r>
        <w:rPr>
          <w:b/>
          <w:bCs/>
        </w:rPr>
        <w:t xml:space="preserve">K5</w:t>
      </w:r>
      <w:r>
        <w:t xml:space="preserve">, scaffolds </w:t>
      </w:r>
      <w:r>
        <w:rPr>
          <w:b/>
          <w:bCs/>
        </w:rPr>
        <w:t xml:space="preserve">S2</w:t>
      </w:r>
      <w:r>
        <w:rPr>
          <w:i/>
          <w:iCs/>
        </w:rPr>
        <w:t xml:space="preserve">)</w:t>
      </w:r>
    </w:p>
    <w:p>
      <w:pPr>
        <w:pStyle w:val="ListParagraph"/>
        <w:numPr>
          <w:ilvl w:val="0"/>
          <w:numId w:val="2"/>
        </w:numPr>
        <w:spacing w:after="80" w:before="80"/>
      </w:pPr>
      <w:r>
        <w:t xml:space="preserve">Pass values, module imports, and inputs deliberately into job script blocks using </w:t>
      </w:r>
      <w:r>
        <w:rPr>
          <w:rFonts w:ascii="Consolas" w:cs="Consolas" w:eastAsia="Consolas" w:hAnsi="Consolas"/>
        </w:rPr>
        <w:t xml:space="preserve">-ArgumentList</w:t>
      </w:r>
      <w:r>
        <w:t xml:space="preserve"> and </w:t>
      </w:r>
      <w:r>
        <w:rPr>
          <w:rFonts w:ascii="Consolas" w:cs="Consolas" w:eastAsia="Consolas" w:hAnsi="Consolas"/>
        </w:rPr>
        <w:t xml:space="preserve">param()</w:t>
      </w:r>
      <w:r>
        <w:t xml:space="preserve"> blocks, and explain why jobs do not inherit functions or variables from the parent session. </w:t>
      </w:r>
      <w:r>
        <w:rPr>
          <w:i/>
          <w:iCs/>
        </w:rPr>
        <w:t xml:space="preserve">(</w:t>
      </w:r>
      <w:r>
        <w:rPr>
          <w:b/>
          <w:bCs/>
        </w:rPr>
        <w:t xml:space="preserve">K5</w:t>
      </w:r>
      <w:r>
        <w:t xml:space="preserve">, </w:t>
      </w:r>
      <w:r>
        <w:rPr>
          <w:b/>
          <w:bCs/>
        </w:rPr>
        <w:t xml:space="preserve">K8</w:t>
      </w:r>
      <w:r>
        <w:t xml:space="preserve">, scaffolds </w:t>
      </w:r>
      <w:r>
        <w:rPr>
          <w:b/>
          <w:bCs/>
        </w:rPr>
        <w:t xml:space="preserve">S2</w:t>
      </w:r>
      <w:r>
        <w:rPr>
          <w:i/>
          <w:iCs/>
        </w:rPr>
        <w:t xml:space="preserve">)</w:t>
      </w:r>
    </w:p>
    <w:p>
      <w:pPr>
        <w:pStyle w:val="ListParagraph"/>
        <w:numPr>
          <w:ilvl w:val="0"/>
          <w:numId w:val="2"/>
        </w:numPr>
        <w:spacing w:after="80" w:before="80"/>
      </w:pPr>
      <w:r>
        <w:t xml:space="preserve">Apply the canonical course pattern — one job per target, dispatched from Ops, results gathered into a single collection — to coordinate work across multiple remote systems. </w:t>
      </w:r>
      <w:r>
        <w:rPr>
          <w:i/>
          <w:iCs/>
        </w:rPr>
        <w:t xml:space="preserve">(</w:t>
      </w:r>
      <w:r>
        <w:rPr>
          <w:b/>
          <w:bCs/>
        </w:rPr>
        <w:t xml:space="preserve">K5</w:t>
      </w:r>
      <w:r>
        <w:t xml:space="preserve">, scaffolds </w:t>
      </w:r>
      <w:r>
        <w:rPr>
          <w:b/>
          <w:bCs/>
        </w:rPr>
        <w:t xml:space="preserve">S2</w:t>
      </w:r>
      <w:r>
        <w:rPr>
          <w:i/>
          <w:iCs/>
        </w:rPr>
        <w:t xml:space="preserve">)</w:t>
      </w:r>
    </w:p>
    <w:p>
      <w:pPr>
        <w:pStyle w:val="ListParagraph"/>
        <w:numPr>
          <w:ilvl w:val="0"/>
          <w:numId w:val="2"/>
        </w:numPr>
        <w:spacing w:after="80" w:before="80"/>
      </w:pPr>
      <w:r>
        <w:t xml:space="preserve">Distinguish good and bad candidates for parallelization, recognizing that very small or dependent tasks may run slower with jobs than without. </w:t>
      </w:r>
      <w:r>
        <w:rPr>
          <w:i/>
          <w:iCs/>
        </w:rPr>
        <w:t xml:space="preserve">(</w:t>
      </w:r>
      <w:r>
        <w:rPr>
          <w:b/>
          <w:bCs/>
        </w:rPr>
        <w:t xml:space="preserve">K5</w:t>
      </w:r>
      <w:r>
        <w:rPr>
          <w:i/>
          <w:iCs/>
        </w:rPr>
        <w:t xml:space="preserve">)</w:t>
      </w:r>
    </w:p>
    <w:p>
      <w:r>
        <w:t xml:space="preserve"/>
      </w:r>
    </w:p>
    <w:p>
      <w:pPr>
        <w:pBdr>
          <w:bottom w:val="single" w:color="999999" w:sz="6" w:space="1"/>
        </w:pBdr>
      </w:pPr>
      <w:r>
        <w:t xml:space="preserve"/>
      </w:r>
    </w:p>
    <w:p>
      <w:pPr>
        <w:pStyle w:val="Heading2"/>
      </w:pPr>
      <w:r>
        <w:t xml:space="preserve">Chapter 5 — Building Reusable Tools and Orchestration</w:t>
      </w:r>
    </w:p>
    <w:p>
      <w:pPr>
        <w:pStyle w:val="Heading3"/>
      </w:pPr>
      <w:r>
        <w:t xml:space="preserve">Learning Objectives</w:t>
      </w:r>
    </w:p>
    <w:p>
      <w:pPr>
        <w:spacing w:after="100" w:before="100"/>
      </w:pPr>
      <w:r>
        <w:t xml:space="preserve">By the end of this chapter, you will be able to:</w:t>
      </w:r>
    </w:p>
    <w:p>
      <w:pPr>
        <w:pStyle w:val="ListParagraph"/>
        <w:numPr>
          <w:ilvl w:val="0"/>
          <w:numId w:val="2"/>
        </w:numPr>
        <w:spacing w:after="80" w:before="80"/>
      </w:pPr>
      <w:r>
        <w:t xml:space="preserve">Build remote query functions that follow the course's standard pattern: </w:t>
      </w:r>
      <w:r>
        <w:rPr>
          <w:rFonts w:ascii="Consolas" w:cs="Consolas" w:eastAsia="Consolas" w:hAnsi="Consolas"/>
        </w:rPr>
        <w:t xml:space="preserve">-ComputerName</w:t>
      </w:r>
      <w:r>
        <w:t xml:space="preserve"> and </w:t>
      </w:r>
      <w:r>
        <w:rPr>
          <w:rFonts w:ascii="Consolas" w:cs="Consolas" w:eastAsia="Consolas" w:hAnsi="Consolas"/>
        </w:rPr>
        <w:t xml:space="preserve">-Credential</w:t>
      </w:r>
      <w:r>
        <w:t xml:space="preserve"> parameters, </w:t>
      </w:r>
      <w:r>
        <w:rPr>
          <w:rFonts w:ascii="Consolas" w:cs="Consolas" w:eastAsia="Consolas" w:hAnsi="Consolas"/>
        </w:rPr>
        <w:t xml:space="preserve">Invoke-Command</w:t>
      </w:r>
      <w:r>
        <w:t xml:space="preserve"> with </w:t>
      </w:r>
      <w:r>
        <w:rPr>
          <w:rFonts w:ascii="Consolas" w:cs="Consolas" w:eastAsia="Consolas" w:hAnsi="Consolas"/>
        </w:rPr>
        <w:t xml:space="preserve">-ErrorAction Stop</w:t>
      </w:r>
      <w:r>
        <w:t xml:space="preserve">, </w:t>
      </w:r>
      <w:r>
        <w:rPr>
          <w:rFonts w:ascii="Consolas" w:cs="Consolas" w:eastAsia="Consolas" w:hAnsi="Consolas"/>
        </w:rPr>
        <w:t xml:space="preserve">try/catch</w:t>
      </w:r>
      <w:r>
        <w:t xml:space="preserve"> wrapper, and a consistent </w:t>
      </w:r>
      <w:r>
        <w:rPr>
          <w:rFonts w:ascii="Consolas" w:cs="Consolas" w:eastAsia="Consolas" w:hAnsi="Consolas"/>
        </w:rPr>
        <w:t xml:space="preserve">[pscustomobject]</w:t>
      </w:r>
      <w:r>
        <w:t xml:space="preserve"> return shape on both the success and failure paths. </w:t>
      </w:r>
      <w:r>
        <w:rPr>
          <w:i/>
          <w:iCs/>
        </w:rPr>
        <w:t xml:space="preserve">(</w:t>
      </w:r>
      <w:r>
        <w:rPr>
          <w:b/>
          <w:bCs/>
        </w:rPr>
        <w:t xml:space="preserve">S1</w:t>
      </w:r>
      <w:r>
        <w:rPr>
          <w:i/>
          <w:iCs/>
        </w:rPr>
        <w:t xml:space="preserve">)</w:t>
      </w:r>
    </w:p>
    <w:p>
      <w:pPr>
        <w:pStyle w:val="ListParagraph"/>
        <w:numPr>
          <w:ilvl w:val="0"/>
          <w:numId w:val="2"/>
        </w:numPr>
        <w:spacing w:after="80" w:before="80"/>
      </w:pPr>
      <w:r>
        <w:t xml:space="preserve">Build a remote deployment function that transfers files to a target system and triggers an installation step, returning the same structured-output shape as the query functions. </w:t>
      </w:r>
      <w:r>
        <w:rPr>
          <w:i/>
          <w:iCs/>
        </w:rPr>
        <w:t xml:space="preserve">(</w:t>
      </w:r>
      <w:r>
        <w:rPr>
          <w:b/>
          <w:bCs/>
        </w:rPr>
        <w:t xml:space="preserve">S3</w:t>
      </w:r>
      <w:r>
        <w:rPr>
          <w:i/>
          <w:iCs/>
        </w:rPr>
        <w:t xml:space="preserve">)</w:t>
      </w:r>
    </w:p>
    <w:p>
      <w:pPr>
        <w:pStyle w:val="ListParagraph"/>
        <w:numPr>
          <w:ilvl w:val="0"/>
          <w:numId w:val="2"/>
        </w:numPr>
        <w:spacing w:after="80" w:before="80"/>
      </w:pPr>
      <w:r>
        <w:t xml:space="preserve">Handle per-host failures cleanly so that one failed target does not crash the workflow against the rest, using the success/failure object pattern from Chapter 1.8. </w:t>
      </w:r>
      <w:r>
        <w:rPr>
          <w:i/>
          <w:iCs/>
        </w:rPr>
        <w:t xml:space="preserve">(</w:t>
      </w:r>
      <w:r>
        <w:rPr>
          <w:b/>
          <w:bCs/>
        </w:rPr>
        <w:t xml:space="preserve">K2</w:t>
      </w:r>
      <w:r>
        <w:t xml:space="preserve">, </w:t>
      </w:r>
      <w:r>
        <w:rPr>
          <w:b/>
          <w:bCs/>
        </w:rPr>
        <w:t xml:space="preserve">K8</w:t>
      </w:r>
      <w:r>
        <w:t xml:space="preserve">, </w:t>
      </w:r>
      <w:r>
        <w:rPr>
          <w:b/>
          <w:bCs/>
        </w:rPr>
        <w:t xml:space="preserve">S4</w:t>
      </w:r>
      <w:r>
        <w:rPr>
          <w:i/>
          <w:iCs/>
        </w:rPr>
        <w:t xml:space="preserve">)</w:t>
      </w:r>
    </w:p>
    <w:p>
      <w:pPr>
        <w:pStyle w:val="ListParagraph"/>
        <w:numPr>
          <w:ilvl w:val="0"/>
          <w:numId w:val="2"/>
        </w:numPr>
        <w:spacing w:after="80" w:before="80"/>
      </w:pPr>
      <w:r>
        <w:t xml:space="preserve">Assemble related functions into a </w:t>
      </w:r>
      <w:r>
        <w:rPr>
          <w:rFonts w:ascii="Consolas" w:cs="Consolas" w:eastAsia="Consolas" w:hAnsi="Consolas"/>
        </w:rPr>
        <w:t xml:space="preserve">.psm1</w:t>
      </w:r>
      <w:r>
        <w:t xml:space="preserve"> module and verify the import behavior — including the scope rule that requires </w:t>
      </w:r>
      <w:r>
        <w:rPr>
          <w:rFonts w:ascii="Consolas" w:cs="Consolas" w:eastAsia="Consolas" w:hAnsi="Consolas"/>
        </w:rPr>
        <w:t xml:space="preserve">Import-Module</w:t>
      </w:r>
      <w:r>
        <w:t xml:space="preserve"> to be called </w:t>
      </w:r>
      <w:r>
        <w:rPr>
          <w:i/>
          <w:iCs/>
        </w:rPr>
        <w:t xml:space="preserve">inside</w:t>
      </w:r>
      <w:r>
        <w:t xml:space="preserve"> a job's script block, not just in the parent session. </w:t>
      </w:r>
      <w:r>
        <w:rPr>
          <w:i/>
          <w:iCs/>
        </w:rPr>
        <w:t xml:space="preserve">(</w:t>
      </w:r>
      <w:r>
        <w:rPr>
          <w:b/>
          <w:bCs/>
        </w:rPr>
        <w:t xml:space="preserve">K8</w:t>
      </w:r>
      <w:r>
        <w:t xml:space="preserve">, </w:t>
      </w:r>
      <w:r>
        <w:rPr>
          <w:b/>
          <w:bCs/>
        </w:rPr>
        <w:t xml:space="preserve">S1</w:t>
      </w:r>
      <w:r>
        <w:rPr>
          <w:i/>
          <w:iCs/>
        </w:rPr>
        <w:t xml:space="preserve">)</w:t>
      </w:r>
    </w:p>
    <w:p>
      <w:pPr>
        <w:pStyle w:val="ListParagraph"/>
        <w:numPr>
          <w:ilvl w:val="0"/>
          <w:numId w:val="2"/>
        </w:numPr>
        <w:spacing w:after="80" w:before="80"/>
      </w:pPr>
      <w:r>
        <w:t xml:space="preserve">Write an orchestrator </w:t>
      </w:r>
      <w:r>
        <w:rPr>
          <w:rFonts w:ascii="Consolas" w:cs="Consolas" w:eastAsia="Consolas" w:hAnsi="Consolas"/>
        </w:rPr>
        <w:t xml:space="preserve">.ps1</w:t>
      </w:r>
      <w:r>
        <w:t xml:space="preserve"> that imports the module, prompts once for credentials, and dispatches functions across all four targets in parallel using the canonical Chapter 4 pattern. </w:t>
      </w:r>
      <w:r>
        <w:rPr>
          <w:i/>
          <w:iCs/>
        </w:rPr>
        <w:t xml:space="preserve">(</w:t>
      </w:r>
      <w:r>
        <w:rPr>
          <w:b/>
          <w:bCs/>
        </w:rPr>
        <w:t xml:space="preserve">S1</w:t>
      </w:r>
      <w:r>
        <w:t xml:space="preserve">, </w:t>
      </w:r>
      <w:r>
        <w:rPr>
          <w:b/>
          <w:bCs/>
        </w:rPr>
        <w:t xml:space="preserve">S2</w:t>
      </w:r>
      <w:r>
        <w:rPr>
          <w:i/>
          <w:iCs/>
        </w:rPr>
        <w:t xml:space="preserve">)</w:t>
      </w:r>
    </w:p>
    <w:p>
      <w:pPr>
        <w:pStyle w:val="ListParagraph"/>
        <w:numPr>
          <w:ilvl w:val="0"/>
          <w:numId w:val="2"/>
        </w:numPr>
        <w:spacing w:after="80" w:before="80"/>
      </w:pPr>
      <w:r>
        <w:t xml:space="preserve">Adapt — not copy — an existing function pattern to a new task by changing the script-block contents while keeping the parameter declaration, error wrapper, and return shape fixed. </w:t>
      </w:r>
      <w:r>
        <w:rPr>
          <w:i/>
          <w:iCs/>
        </w:rPr>
        <w:t xml:space="preserve">(</w:t>
      </w:r>
      <w:r>
        <w:rPr>
          <w:b/>
          <w:bCs/>
        </w:rPr>
        <w:t xml:space="preserve">K9</w:t>
      </w:r>
      <w:r>
        <w:rPr>
          <w:i/>
          <w:iCs/>
        </w:rPr>
        <w:t xml:space="preserve">)</w:t>
      </w:r>
    </w:p>
    <w:p>
      <w:pPr>
        <w:pStyle w:val="ListParagraph"/>
        <w:numPr>
          <w:ilvl w:val="0"/>
          <w:numId w:val="2"/>
        </w:numPr>
        <w:spacing w:after="80" w:before="80"/>
      </w:pPr>
      <w:r>
        <w:t xml:space="preserve">Troubleshoot common failure modes in the end-to-end workflow — orphaned sessions, leftover jobs, wrong return shapes, mis-imported modules — and apply the cleanup discipline that keeps a working session healthy across long debugging cycles. </w:t>
      </w:r>
      <w:r>
        <w:rPr>
          <w:i/>
          <w:iCs/>
        </w:rPr>
        <w:t xml:space="preserve">(</w:t>
      </w:r>
      <w:r>
        <w:rPr>
          <w:b/>
          <w:bCs/>
        </w:rPr>
        <w:t xml:space="preserve">K2</w:t>
      </w:r>
      <w:r>
        <w:t xml:space="preserve">, </w:t>
      </w:r>
      <w:r>
        <w:rPr>
          <w:b/>
          <w:bCs/>
        </w:rPr>
        <w:t xml:space="preserve">K8</w:t>
      </w:r>
      <w:r>
        <w:rPr>
          <w:i/>
          <w:iCs/>
        </w:rPr>
        <w:t xml:space="preserve">)</w:t>
      </w:r>
    </w:p>
    <w:p>
      <w:r>
        <w:t xml:space="preserve"/>
      </w:r>
    </w:p>
    <w:p>
      <w:pPr>
        <w:pBdr>
          <w:bottom w:val="single" w:color="999999" w:sz="6" w:space="1"/>
        </w:pBdr>
      </w:pPr>
      <w:r>
        <w:t xml:space="preserve"/>
      </w:r>
    </w:p>
    <w:p>
      <w:pPr>
        <w:pStyle w:val="Heading2"/>
      </w:pPr>
      <w:r>
        <w:t xml:space="preserve">Chapter 6 — Capstone Build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5D5" w:sz="4"/>
              <w:left w:val="single" w:color="D5D5D5" w:sz="4"/>
              <w:bottom w:val="single" w:color="D5D5D5" w:sz="4"/>
              <w:right w:val="single" w:color="D5D5D5" w:sz="4"/>
            </w:tcBorders>
            <w:shd w:fill="F2F2F2" w:val="clear"/>
            <w:tcMar>
              <w:top w:type="dxa" w:w="120"/>
              <w:left w:type="dxa" w:w="180"/>
              <w:bottom w:type="dxa" w:w="120"/>
              <w:right w:type="dxa" w:w="180"/>
            </w:tcMar>
          </w:tcPr>
          <w:p>
            <w:pPr>
              <w:spacing w:after="60"/>
            </w:pPr>
            <w:r>
              <w:rPr>
                <w:b/>
                <w:bCs/>
              </w:rPr>
              <w:t xml:space="preserve">Note on chapter scope</w:t>
            </w:r>
          </w:p>
          <w:p>
            <w:r>
              <w:t xml:space="preserve">Chapter 6 does not introduce new techniques. It defines the standards the capstone deliverables must meet and maps each standard to the specific CTSSB skill it satisfies. The objectives below describe the capstone-level demonstration, not new content learning.</w:t>
            </w:r>
          </w:p>
        </w:tc>
      </w:tr>
    </w:tbl>
    <w:p>
      <w:pPr>
        <w:pStyle w:val="Heading3"/>
      </w:pPr>
      <w:r>
        <w:t xml:space="preserve">Learning Objectives</w:t>
      </w:r>
    </w:p>
    <w:p>
      <w:pPr>
        <w:spacing w:after="100" w:before="100"/>
      </w:pPr>
      <w:r>
        <w:t xml:space="preserve">By the end of this chapter, you will be able to:</w:t>
      </w:r>
    </w:p>
    <w:p>
      <w:pPr>
        <w:pStyle w:val="ListParagraph"/>
        <w:numPr>
          <w:ilvl w:val="0"/>
          <w:numId w:val="2"/>
        </w:numPr>
        <w:spacing w:after="80" w:before="80"/>
      </w:pPr>
      <w:r>
        <w:t xml:space="preserve">Develop the two required Get-* functions — </w:t>
      </w:r>
      <w:r>
        <w:rPr>
          <w:rFonts w:ascii="Consolas" w:cs="Consolas" w:eastAsia="Consolas" w:hAnsi="Consolas"/>
        </w:rPr>
        <w:t xml:space="preserve">Get-RemoteProcessInventory</w:t>
      </w:r>
      <w:r>
        <w:t xml:space="preserve"> and </w:t>
      </w:r>
      <w:r>
        <w:rPr>
          <w:rFonts w:ascii="Consolas" w:cs="Consolas" w:eastAsia="Consolas" w:hAnsi="Consolas"/>
        </w:rPr>
        <w:t xml:space="preserve">Get-RemoteServiceInventory</w:t>
      </w:r>
      <w:r>
        <w:t xml:space="preserve"> — that gather specified inventory data from multiple remote systems and return structured output suitable for downstream processing. </w:t>
      </w:r>
      <w:r>
        <w:rPr>
          <w:i/>
          <w:iCs/>
        </w:rPr>
        <w:t xml:space="preserve">(</w:t>
      </w:r>
      <w:r>
        <w:rPr>
          <w:b/>
          <w:bCs/>
        </w:rPr>
        <w:t xml:space="preserve">S1</w:t>
      </w:r>
      <w:r>
        <w:rPr>
          <w:i/>
          <w:iCs/>
        </w:rPr>
        <w:t xml:space="preserve">)</w:t>
      </w:r>
    </w:p>
    <w:p>
      <w:pPr>
        <w:pStyle w:val="ListParagraph"/>
        <w:numPr>
          <w:ilvl w:val="0"/>
          <w:numId w:val="2"/>
        </w:numPr>
        <w:spacing w:after="80" w:before="80"/>
      </w:pPr>
      <w:r>
        <w:t xml:space="preserve">Develop the required deployment function — </w:t>
      </w:r>
      <w:r>
        <w:rPr>
          <w:rFonts w:ascii="Consolas" w:cs="Consolas" w:eastAsia="Consolas" w:hAnsi="Consolas"/>
        </w:rPr>
        <w:t xml:space="preserve">Install-SysmonRemote</w:t>
      </w:r>
      <w:r>
        <w:t xml:space="preserve"> — that copies the supplied Sysmon binary and configuration file to a remote target and triggers installation, with verifiable success and failure paths. </w:t>
      </w:r>
      <w:r>
        <w:rPr>
          <w:i/>
          <w:iCs/>
        </w:rPr>
        <w:t xml:space="preserve">(</w:t>
      </w:r>
      <w:r>
        <w:rPr>
          <w:b/>
          <w:bCs/>
        </w:rPr>
        <w:t xml:space="preserve">S3</w:t>
      </w:r>
      <w:r>
        <w:rPr>
          <w:i/>
          <w:iCs/>
        </w:rPr>
        <w:t xml:space="preserve">)</w:t>
      </w:r>
    </w:p>
    <w:p>
      <w:pPr>
        <w:pStyle w:val="ListParagraph"/>
        <w:numPr>
          <w:ilvl w:val="0"/>
          <w:numId w:val="2"/>
        </w:numPr>
        <w:spacing w:after="80" w:before="80"/>
      </w:pPr>
      <w:r>
        <w:t xml:space="preserve">Build an orchestrator script that runs the capstone module's functions in parallel against all four targets using the </w:t>
      </w:r>
      <w:r>
        <w:rPr>
          <w:rFonts w:ascii="Consolas" w:cs="Consolas" w:eastAsia="Consolas" w:hAnsi="Consolas"/>
        </w:rPr>
        <w:t xml:space="preserve">Start-Job</w:t>
      </w:r>
      <w:r>
        <w:t xml:space="preserve"> pattern from Chapter 4, and aggregates the returned objects into a single result set. </w:t>
      </w:r>
      <w:r>
        <w:rPr>
          <w:i/>
          <w:iCs/>
        </w:rPr>
        <w:t xml:space="preserve">(</w:t>
      </w:r>
      <w:r>
        <w:rPr>
          <w:b/>
          <w:bCs/>
        </w:rPr>
        <w:t xml:space="preserve">S2</w:t>
      </w:r>
      <w:r>
        <w:rPr>
          <w:i/>
          <w:iCs/>
        </w:rPr>
        <w:t xml:space="preserve">)</w:t>
      </w:r>
    </w:p>
    <w:p>
      <w:pPr>
        <w:pStyle w:val="ListParagraph"/>
        <w:numPr>
          <w:ilvl w:val="0"/>
          <w:numId w:val="2"/>
        </w:numPr>
        <w:spacing w:after="80" w:before="80"/>
      </w:pPr>
      <w:r>
        <w:t xml:space="preserve">Integrate the advanced debugging techniques from Chapters 1.8, 3.1, and 5 — </w:t>
      </w:r>
      <w:r>
        <w:rPr>
          <w:rFonts w:ascii="Consolas" w:cs="Consolas" w:eastAsia="Consolas" w:hAnsi="Consolas"/>
        </w:rPr>
        <w:t xml:space="preserve">try/catch</w:t>
      </w:r>
      <w:r>
        <w:t xml:space="preserve"> with </w:t>
      </w:r>
      <w:r>
        <w:rPr>
          <w:rFonts w:ascii="Consolas" w:cs="Consolas" w:eastAsia="Consolas" w:hAnsi="Consolas"/>
        </w:rPr>
        <w:t xml:space="preserve">-ErrorAction Stop</w:t>
      </w:r>
      <w:r>
        <w:t xml:space="preserve">, structured failure objects, the four-check habit, and per-host failure isolation — so that the capstone analyzes and surfaces script behavior rather than crashing on the first error. </w:t>
      </w:r>
      <w:r>
        <w:rPr>
          <w:i/>
          <w:iCs/>
        </w:rPr>
        <w:t xml:space="preserve">(</w:t>
      </w:r>
      <w:r>
        <w:rPr>
          <w:b/>
          <w:bCs/>
        </w:rPr>
        <w:t xml:space="preserve">S4</w:t>
      </w:r>
      <w:r>
        <w:rPr>
          <w:i/>
          <w:iCs/>
        </w:rPr>
        <w:t xml:space="preserve">)</w:t>
      </w:r>
    </w:p>
    <w:p>
      <w:pPr>
        <w:pStyle w:val="ListParagraph"/>
        <w:numPr>
          <w:ilvl w:val="0"/>
          <w:numId w:val="2"/>
        </w:numPr>
        <w:spacing w:after="80" w:before="80"/>
      </w:pPr>
      <w:r>
        <w:t xml:space="preserve">Validate the capstone deliverables against the rubric in the Capstone Assessment Scope Contract before submission, using the self-verification guide in Section 6.7 to confirm each rubric item (R1–R4) is satisfied.</w:t>
      </w:r>
    </w:p>
    <w:p>
      <w:r>
        <w:t xml:space="preserve"/>
      </w:r>
    </w:p>
    <w:p>
      <w:pPr>
        <w:pBdr>
          <w:bottom w:val="single" w:color="999999" w:sz="6" w:space="1"/>
        </w:pBdr>
      </w:pPr>
      <w:r>
        <w:t xml:space="preserve"/>
      </w:r>
    </w:p>
    <w:p>
      <w:pPr>
        <w:pStyle w:val="Heading2"/>
      </w:pPr>
      <w:r>
        <w:t xml:space="preserve">Maintenance Notes for Future Instructors</w:t>
      </w:r>
    </w:p>
    <w:p>
      <w:pPr>
        <w:pStyle w:val="ListParagraph"/>
        <w:numPr>
          <w:ilvl w:val="0"/>
          <w:numId w:val="2"/>
        </w:numPr>
        <w:spacing w:after="80" w:before="80"/>
      </w:pPr>
      <w:r>
        <w:t xml:space="preserve">The CTSSB K- and S-numbering above is the authoritative scope reference. If the CTSSB is reissued (the current version is 16 February 2024), check that the K-statements still match before assuming this mapping is current.</w:t>
      </w:r>
    </w:p>
    <w:p>
      <w:pPr>
        <w:pStyle w:val="ListParagraph"/>
        <w:numPr>
          <w:ilvl w:val="0"/>
          <w:numId w:val="2"/>
        </w:numPr>
        <w:spacing w:after="80" w:before="80"/>
      </w:pPr>
      <w:r>
        <w:t xml:space="preserve">Chapter 1 objectives are deliberately framed as prerequisites and scaffolding rather than CTSSB-assessed material. If a future revision moves CTSSB-assessed content into Chapter 1 (for example, adding a debugging-tools section that teaches </w:t>
      </w:r>
      <w:r>
        <w:rPr>
          <w:rFonts w:ascii="Consolas" w:cs="Consolas" w:eastAsia="Consolas" w:hAnsi="Consolas"/>
        </w:rPr>
        <w:t xml:space="preserve">Set-PSBreakpoint</w:t>
      </w:r>
      <w:r>
        <w:t xml:space="preserve"> directly), the K2 mapping in this chapter should be promoted from “introduces” to a full assessed objective.</w:t>
      </w:r>
    </w:p>
    <w:p>
      <w:pPr>
        <w:pStyle w:val="ListParagraph"/>
        <w:numPr>
          <w:ilvl w:val="0"/>
          <w:numId w:val="2"/>
        </w:numPr>
        <w:spacing w:after="80" w:before="80"/>
      </w:pPr>
      <w:r>
        <w:t xml:space="preserve">Chapter 6 intentionally has no K-tags. The capstone is the skills assessment; the knowledge assessment lives on the final exam administered at the end of Day 4. Keeping Chapter 6 objectives S-only preserves that separation.</w:t>
      </w:r>
    </w:p>
    <w:p>
      <w:pPr>
        <w:pStyle w:val="ListParagraph"/>
        <w:numPr>
          <w:ilvl w:val="0"/>
          <w:numId w:val="2"/>
        </w:numPr>
        <w:spacing w:after="80" w:before="80"/>
      </w:pPr>
      <w:r>
        <w:t xml:space="preserve">The two-document scope authority — </w:t>
      </w:r>
      <w:r>
        <w:rPr>
          <w:rFonts w:ascii="Consolas" w:cs="Consolas" w:eastAsia="Consolas" w:hAnsi="Consolas"/>
        </w:rPr>
        <w:t xml:space="preserve">170A-WOAC-APS-WRE-SCOPE-001</w:t>
      </w:r>
      <w:r>
        <w:t xml:space="preserve"> for the written exam and </w:t>
      </w:r>
      <w:r>
        <w:rPr>
          <w:rFonts w:ascii="Consolas" w:cs="Consolas" w:eastAsia="Consolas" w:hAnsi="Consolas"/>
        </w:rPr>
        <w:t xml:space="preserve">170A-WOAC-APS-CAP-SCOPE-001</w:t>
      </w:r>
      <w:r>
        <w:t xml:space="preserve"> for the capstone — should be the controlling authority for any future objective changes. If the objectives drift away from the scope contracts, the contracts win; the objectives need updating.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80" w:before="320"/>
      <w:outlineLvl w:val="1"/>
    </w:pPr>
    <w:rPr>
      <w:rFonts w:ascii="Calibri" w:cs="Calibri" w:eastAsia="Calibri" w:hAnsi="Calibri"/>
      <w:b/>
      <w:bCs/>
      <w:color w:val="2E74B5"/>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2026-04-28T19:57:18.837Z</dcterms:created>
  <dcterms:modified xsi:type="dcterms:W3CDTF">2026-04-28T19:57:18.838Z</dcterms:modified>
</cp:coreProperties>
</file>

<file path=docProps/custom.xml><?xml version="1.0" encoding="utf-8"?>
<Properties xmlns="http://schemas.openxmlformats.org/officeDocument/2006/custom-properties" xmlns:vt="http://schemas.openxmlformats.org/officeDocument/2006/docPropsVTypes"/>
</file>