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E36C24">
      <w:pPr>
        <w:rPr>
          <w:rFonts w:ascii="Georgia" w:hAnsi="Georgia"/>
          <w:lang w:val="es-ES_tradnl"/>
        </w:rPr>
      </w:pPr>
      <w:r w:rsidRPr="00325C35">
        <w:rPr>
          <w:rFonts w:ascii="Georgia" w:hAnsi="Georgia"/>
          <w:noProof/>
          <w:lang w:val="es-ES_tradnl"/>
        </w:rPr>
        <w:drawing>
          <wp:anchor distT="0" distB="0" distL="114300" distR="114300" simplePos="0" relativeHeight="251658240" behindDoc="1" locked="0" layoutInCell="1" allowOverlap="1" wp14:anchorId="2D66BE1D" wp14:editId="5BF2D886">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159BE8BE" w14:textId="086767DF" w:rsidR="00B41CE4" w:rsidRPr="00A95C8A" w:rsidRDefault="00BF1050" w:rsidP="006B5294">
      <w:pPr>
        <w:pStyle w:val="Ttulo"/>
        <w:jc w:val="center"/>
      </w:pPr>
      <w:r w:rsidRPr="00A95C8A">
        <w:t>Automatización del inventario con SQL Server</w:t>
      </w:r>
    </w:p>
    <w:p w14:paraId="27C45262" w14:textId="44DB943D" w:rsidR="005D53D3" w:rsidRPr="00325C35" w:rsidRDefault="00403408" w:rsidP="0043746F">
      <w:pPr>
        <w:spacing w:after="160" w:line="259" w:lineRule="auto"/>
        <w:jc w:val="left"/>
        <w:rPr>
          <w:rFonts w:ascii="Georgia" w:hAnsi="Georgia"/>
          <w:lang w:val="es-ES_tradnl"/>
        </w:rPr>
      </w:pPr>
      <w:r w:rsidRPr="00325C35">
        <w:rPr>
          <w:rFonts w:ascii="Georgia" w:hAnsi="Georgia"/>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0A8232C1" w:rsidR="00B96BC2" w:rsidRDefault="00403408" w:rsidP="007F51BF">
                            <w:pPr>
                              <w:ind w:firstLine="708"/>
                              <w:jc w:val="left"/>
                              <w:rPr>
                                <w:color w:val="FFFFFF" w:themeColor="background1"/>
                              </w:rPr>
                            </w:pPr>
                            <w:r w:rsidRPr="00BE45B0">
                              <w:rPr>
                                <w:color w:val="FFFFFF" w:themeColor="background1"/>
                              </w:rPr>
                              <w:t>Estudiante: Blas Pinto</w:t>
                            </w:r>
                            <w:r w:rsidR="002177BC" w:rsidRPr="00BE45B0">
                              <w:rPr>
                                <w:color w:val="FFFFFF" w:themeColor="background1"/>
                              </w:rPr>
                              <w:t/>
                            </w:r>
                            <w:r w:rsidRPr="00BE45B0">
                              <w:rPr>
                                <w:color w:val="FFFFFF" w:themeColor="background1"/>
                              </w:rPr>
                              <w:t/>
                            </w:r>
                          </w:p>
                          <w:p w14:paraId="097D0810" w14:textId="77777777" w:rsidR="00B96BC2" w:rsidRDefault="00403408" w:rsidP="007F51BF">
                            <w:pPr>
                              <w:ind w:firstLine="708"/>
                              <w:jc w:val="left"/>
                              <w:rPr>
                                <w:color w:val="FFFFFF" w:themeColor="background1"/>
                              </w:rPr>
                            </w:pPr>
                            <w:r w:rsidRPr="00BE45B0">
                              <w:rPr>
                                <w:color w:val="FFFFFF" w:themeColor="background1"/>
                              </w:rPr>
                              <w:t>Módulo: Taller de Bases de Datos</w:t>
                            </w:r>
                          </w:p>
                          <w:p w14:paraId="4D59AB08" w14:textId="77777777" w:rsidR="00B96BC2" w:rsidRDefault="00403408" w:rsidP="007F51BF">
                            <w:pPr>
                              <w:ind w:firstLine="708"/>
                              <w:jc w:val="left"/>
                              <w:rPr>
                                <w:color w:val="FFFFFF" w:themeColor="background1"/>
                              </w:rPr>
                            </w:pPr>
                            <w:r w:rsidRPr="00BE45B0">
                              <w:rPr>
                                <w:color w:val="FFFFFF" w:themeColor="background1"/>
                              </w:rPr>
                              <w:t>Docente: Marcelo Trigo</w:t>
                            </w:r>
                          </w:p>
                          <w:p w14:paraId="0899B91D" w14:textId="77777777" w:rsidR="00B96BC2" w:rsidRDefault="00403408" w:rsidP="007F51BF">
                            <w:pPr>
                              <w:ind w:firstLine="708"/>
                              <w:jc w:val="left"/>
                              <w:rPr>
                                <w:color w:val="FFFFFF" w:themeColor="background1"/>
                              </w:rPr>
                            </w:pPr>
                            <w:r w:rsidRPr="00BE45B0">
                              <w:rPr>
                                <w:color w:val="FFFFFF" w:themeColor="background1"/>
                              </w:rPr>
                              <w:t>Semana: 9</w:t>
                            </w:r>
                          </w:p>
                          <w:p w14:paraId="25D8D790" w14:textId="09B1E48D" w:rsidR="00403408" w:rsidRPr="00BE45B0" w:rsidRDefault="00BE45B0" w:rsidP="007F51BF">
                            <w:pPr>
                              <w:ind w:firstLine="708"/>
                              <w:jc w:val="left"/>
                              <w:rPr>
                                <w:color w:val="FFFFFF" w:themeColor="background1"/>
                              </w:rPr>
                            </w:pPr>
                            <w:r w:rsidRPr="00BE45B0">
                              <w:rPr>
                                <w:color w:val="FFFFFF" w:themeColor="background1"/>
                              </w:rPr>
                              <w:t>Fecha de elaboración: 9 de octubre de 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62E969FD" w14:textId="0A8232C1" w:rsidR="00B96BC2" w:rsidRDefault="00403408" w:rsidP="007F51BF">
                      <w:pPr>
                        <w:ind w:firstLine="708"/>
                        <w:jc w:val="left"/>
                        <w:rPr>
                          <w:color w:val="FFFFFF" w:themeColor="background1"/>
                        </w:rPr>
                      </w:pPr>
                      <w:r w:rsidRPr="00BE45B0">
                        <w:rPr>
                          <w:color w:val="FFFFFF" w:themeColor="background1"/>
                        </w:rPr>
                        <w:t>Estudiante: Blas Pinto</w:t>
                      </w:r>
                      <w:r w:rsidR="002177BC" w:rsidRPr="00BE45B0">
                        <w:rPr>
                          <w:color w:val="FFFFFF" w:themeColor="background1"/>
                        </w:rPr>
                        <w:t/>
                      </w:r>
                      <w:r w:rsidRPr="00BE45B0">
                        <w:rPr>
                          <w:color w:val="FFFFFF" w:themeColor="background1"/>
                        </w:rPr>
                        <w:t/>
                      </w:r>
                    </w:p>
                    <w:p w14:paraId="097D0810" w14:textId="77777777" w:rsidR="00B96BC2" w:rsidRDefault="00403408" w:rsidP="007F51BF">
                      <w:pPr>
                        <w:ind w:firstLine="708"/>
                        <w:jc w:val="left"/>
                        <w:rPr>
                          <w:color w:val="FFFFFF" w:themeColor="background1"/>
                        </w:rPr>
                      </w:pPr>
                      <w:r w:rsidRPr="00BE45B0">
                        <w:rPr>
                          <w:color w:val="FFFFFF" w:themeColor="background1"/>
                        </w:rPr>
                        <w:t>Módulo: Taller de Bases de Datos</w:t>
                      </w:r>
                    </w:p>
                    <w:p w14:paraId="4D59AB08" w14:textId="77777777" w:rsidR="00B96BC2" w:rsidRDefault="00403408" w:rsidP="007F51BF">
                      <w:pPr>
                        <w:ind w:firstLine="708"/>
                        <w:jc w:val="left"/>
                        <w:rPr>
                          <w:color w:val="FFFFFF" w:themeColor="background1"/>
                        </w:rPr>
                      </w:pPr>
                      <w:r w:rsidRPr="00BE45B0">
                        <w:rPr>
                          <w:color w:val="FFFFFF" w:themeColor="background1"/>
                        </w:rPr>
                        <w:t>Docente: Marcelo Trigo</w:t>
                      </w:r>
                    </w:p>
                    <w:p w14:paraId="0899B91D" w14:textId="77777777" w:rsidR="00B96BC2" w:rsidRDefault="00403408" w:rsidP="007F51BF">
                      <w:pPr>
                        <w:ind w:firstLine="708"/>
                        <w:jc w:val="left"/>
                        <w:rPr>
                          <w:color w:val="FFFFFF" w:themeColor="background1"/>
                        </w:rPr>
                      </w:pPr>
                      <w:r w:rsidRPr="00BE45B0">
                        <w:rPr>
                          <w:color w:val="FFFFFF" w:themeColor="background1"/>
                        </w:rPr>
                        <w:t>Semana: 9</w:t>
                      </w:r>
                    </w:p>
                    <w:p w14:paraId="25D8D790" w14:textId="09B1E48D" w:rsidR="00403408" w:rsidRPr="00BE45B0" w:rsidRDefault="00BE45B0" w:rsidP="007F51BF">
                      <w:pPr>
                        <w:ind w:firstLine="708"/>
                        <w:jc w:val="left"/>
                        <w:rPr>
                          <w:color w:val="FFFFFF" w:themeColor="background1"/>
                        </w:rPr>
                      </w:pPr>
                      <w:r w:rsidRPr="00BE45B0">
                        <w:rPr>
                          <w:color w:val="FFFFFF" w:themeColor="background1"/>
                        </w:rPr>
                        <w:t>Fecha de elaboración: 9 de octubre de 2026</w:t>
                      </w:r>
                    </w:p>
                  </w:txbxContent>
                </v:textbox>
                <w10:wrap anchorx="page" anchory="page"/>
              </v:rect>
            </w:pict>
          </mc:Fallback>
        </mc:AlternateContent>
      </w:r>
      <w:r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p>
        <w:p w14:paraId="2B2677CE" w14:textId="0596459C"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r w:rsidRPr="00325C35">
            <w:rPr>
              <w:rFonts w:cs="Futura Lt BT"/>
              <w:b/>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bCs/>
              <w:color w:val="002345"/>
              <w:szCs w:val="28"/>
              <w:lang w:val="es-ES_tradnl"/>
            </w:rPr>
            <w:fldChar w:fldCharType="separate"/>
          </w:r>
          <w:hyperlink w:anchor="_Toc119486256" w:history="1">
            <w:r w:rsidRPr="00325C35">
              <w:rPr>
                <w:rStyle w:val="Hipervnculo"/>
                <w:bCs/>
                <w:noProof/>
                <w:color w:val="002345"/>
              </w:rPr>
              <w:t>Introducción</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_Toc119486256 \h </w:instrText>
            </w:r>
            <w:r w:rsidRPr="00325C35">
              <w:rPr>
                <w:noProof/>
                <w:webHidden/>
                <w:color w:val="002345"/>
              </w:rPr>
            </w:r>
            <w:r w:rsidRPr="00325C35">
              <w:rPr>
                <w:noProof/>
                <w:webHidden/>
                <w:color w:val="002345"/>
              </w:rPr>
              <w:fldChar w:fldCharType="separate"/>
            </w:r>
            <w:r w:rsidRPr="00325C35">
              <w:rPr>
                <w:noProof/>
                <w:webHidden/>
                <w:color w:val="002345"/>
              </w:rPr>
              <w:t>3</w:t>
            </w:r>
            <w:r w:rsidRPr="00325C35">
              <w:rPr>
                <w:noProof/>
                <w:webHidden/>
                <w:color w:val="002345"/>
              </w:rPr>
              <w:fldChar w:fldCharType="end"/>
            </w:r>
          </w:hyperlink>
        </w:p>
        <w:p w14:paraId="7DCED447" w14:textId="61AB4F0C"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hyperlink w:anchor="_Toc119486257" w:history="1">
            <w:r w:rsidRPr="00325C35">
              <w:rPr>
                <w:rStyle w:val="Hipervnculo"/>
                <w:bCs/>
                <w:noProof/>
                <w:color w:val="002345"/>
              </w:rPr>
              <w:t>Desarrollo</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_Toc119486257 \h </w:instrText>
            </w:r>
            <w:r w:rsidRPr="00325C35">
              <w:rPr>
                <w:noProof/>
                <w:webHidden/>
                <w:color w:val="002345"/>
              </w:rPr>
            </w:r>
            <w:r w:rsidRPr="00325C35">
              <w:rPr>
                <w:noProof/>
                <w:webHidden/>
                <w:color w:val="002345"/>
              </w:rPr>
              <w:fldChar w:fldCharType="separate"/>
            </w:r>
            <w:r w:rsidRPr="00325C35">
              <w:rPr>
                <w:noProof/>
                <w:webHidden/>
                <w:color w:val="002345"/>
              </w:rPr>
              <w:t>4</w:t>
            </w:r>
            <w:r w:rsidRPr="00325C35">
              <w:rPr>
                <w:noProof/>
                <w:webHidden/>
                <w:color w:val="002345"/>
              </w:rPr>
              <w:fldChar w:fldCharType="end"/>
            </w:r>
          </w:hyperlink>
        </w:p>
        <w:p w14:paraId="02B29BB6" w14:textId="50635E99"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hyperlink w:anchor="_Toc119486258" w:history="1">
            <w:r w:rsidRPr="00325C35">
              <w:rPr>
                <w:rStyle w:val="Hipervnculo"/>
                <w:bCs/>
                <w:noProof/>
                <w:color w:val="002345"/>
              </w:rPr>
              <w:t>Conclusión</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_Toc119486258 \h </w:instrText>
            </w:r>
            <w:r w:rsidRPr="00325C35">
              <w:rPr>
                <w:noProof/>
                <w:webHidden/>
                <w:color w:val="002345"/>
              </w:rPr>
            </w:r>
            <w:r w:rsidRPr="00325C35">
              <w:rPr>
                <w:noProof/>
                <w:webHidden/>
                <w:color w:val="002345"/>
              </w:rPr>
              <w:fldChar w:fldCharType="separate"/>
            </w:r>
            <w:r w:rsidRPr="00325C35">
              <w:rPr>
                <w:noProof/>
                <w:webHidden/>
                <w:color w:val="002345"/>
              </w:rPr>
              <w:t>13</w:t>
            </w:r>
            <w:r w:rsidRPr="00325C35">
              <w:rPr>
                <w:noProof/>
                <w:webHidden/>
                <w:color w:val="002345"/>
              </w:rPr>
              <w:fldChar w:fldCharType="end"/>
            </w:r>
          </w:hyperlink>
        </w:p>
        <w:p w14:paraId="63A5B8E5" w14:textId="190C4898"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5EE896EF" w:rsidR="002177BC" w:rsidRPr="00641E85" w:rsidRDefault="002177BC" w:rsidP="00641E85">
      <w:pPr>
        <w:pStyle w:val="Ttulo1"/>
      </w:pPr>
      <w:bookmarkStart w:id="3" w:name="_Toc119486256"/>
      <w:bookmarkEnd w:id="1"/>
      <w:bookmarkEnd w:id="3"/>
      <w:r>
        <w:t>Introducción</w:t>
      </w:r>
    </w:p>
    <w:p>
      <w:pPr>
        <w:spacing w:after="120"/>
      </w:pPr>
      <w:r>
        <w:t>En este informe presento una solución para registrar altas y bajas de productos y conservar un historial de los movimientos del inventario. El caso corresponde a una empresa que vende productos electrónicos y necesita automatizar estas operaciones. La propuesta utiliza procedimientos almacenados para gestionar los productos y triggers para registrar los cambios en una tabla de auditoría.</w:t>
      </w:r>
    </w:p>
    <w:p>
      <w:pPr>
        <w:spacing w:after="120"/>
      </w:pPr>
      <w:r>
        <w:t>La implementación se probó en SQL Server 2022 LocalDB con productos ficticios. Los resultados mostraron que las altas y bajas quedaron registradas, las entradas inválidas fueron rechazadas y las actualizaciones sin cambios no generaron movimientos adicionales. En la ejecución ampliada, el estado final fue de cero productos y diez registros de auditoría: cuatro INS, cuatro DEL y dos UPD.</w:t>
      </w:r>
    </w:p>
    <w:p>
      <w:pPr>
        <w:spacing w:after="120"/>
      </w:pPr>
      <w:r>
        <w:t>El objetivo es implementar las tablas Productos y AuditoriaInventario, controlar las operaciones mediante parámetros y manejo de excepciones, y verificar los resultados con consultas y evidencias. Además de los pasos del caso, se incorporó una actualización condicional y una demostración de cursor para abordar los aspectos mencionados en la rúbrica de la semana 9 [1].</w:t>
      </w:r>
    </w:p>
    <w:p>
      <w:pPr>
        <w:spacing w:after="120"/>
      </w:pPr>
      <w:r>
        <w:t>Las capturas muestran un visor local de registros obtenidos mediante .NET SqlClient. Sus consultas, mensajes y resultados proceden de ejecuciones reales; no corresponden a la interfaz de SQL Server Management Studio. La fecha de las pruebas es el 8 de octubre de 2026. El informe se elaboró el 9 de octubre de 2026.</w:t>
      </w:r>
    </w:p>
    <w:p w14:paraId="31993B8A" w14:textId="62CE419F" w:rsidR="005D53D3" w:rsidRPr="00641E85" w:rsidRDefault="005D53D3" w:rsidP="00641E85">
      <w:pPr>
        <w:pStyle w:val="Ttulo1"/>
      </w:pPr>
      <w:bookmarkStart w:id="4" w:name="_Toc119486257"/>
      <w:bookmarkEnd w:id="2"/>
      <w:bookmarkEnd w:id="4"/>
      <w:r>
        <w:t>Desarrollo</w:t>
      </w:r>
    </w:p>
    <w:p>
      <w:pPr>
        <w:pStyle w:val="Ttulo2"/>
        <w:keepNext/>
        <w:pageBreakBefore w:val="0"/>
        <w:spacing w:after="120"/>
      </w:pPr>
      <w:r>
        <w:t>Entorno y alcance de las pruebas</w:t>
      </w:r>
    </w:p>
    <w:p>
      <w:pPr>
        <w:spacing w:after="120"/>
      </w:pPr>
      <w:r>
        <w:t>El motor utilizado fue Microsoft SQL Server 2022 Express LocalDB, versión 16.0.1000.6, en Windows. La conexión se realizó a la instancia (localdb)\MSSQLLocalDB con autenticación de Windows. La serie de evidencias de este informe se ejecutó en una base separada denominada PRO202_Evidencias_20261008_163918, creada exclusivamente para la actividad.</w:t>
      </w:r>
    </w:p>
    <w:p>
      <w:pPr>
        <w:spacing w:after="120"/>
      </w:pPr>
      <w:r>
        <w:t>Las pruebas siguieron una secuencia común: consultar el estado anterior, ejecutar la operación y revisar el estado posterior y los mensajes. El archivo Registro_completo.txt conserva esa secuencia. Los identificadores F01 a F35 permiten localizar los extractos y sus capturas. El anexo de evidencias incluye una selección de los resultados principales y conserva esos identificadores de origen.</w:t>
      </w:r>
    </w:p>
    <w:p>
      <w:pPr>
        <w:pStyle w:val="Ttulo2"/>
        <w:keepNext/>
        <w:pageBreakBefore w:val="0"/>
        <w:spacing w:after="120"/>
      </w:pPr>
      <w:r>
        <w:t>Diseño de las tablas</w:t>
      </w:r>
    </w:p>
    <w:p>
      <w:pPr>
        <w:spacing w:after="120"/>
      </w:pPr>
      <w:r>
        <w:t>Productos conserva los datos de cada artículo. Su identificador se genera con IDENTITY y funciona como clave primaria. AuditoriaInventario guarda el identificador del producto afectado, el tipo de acción y la fecha generada por GETDATE(). El esquema base proviene del caso de la actividad [1, p. 2].</w:t>
      </w:r>
    </w:p>
    <w:tbl>
      <w:tblPr>
        <w:tblW w:type="auto" w:w="0"/>
        <w:jc w:val="center"/>
        <w:tblLayout w:type="fixed"/>
        <w:tblLook w:firstColumn="1" w:firstRow="1" w:lastColumn="0" w:lastRow="0" w:noHBand="0" w:noVBand="1" w:val="04A0"/>
      </w:tblPr>
      <w:tblGrid>
        <w:gridCol w:w="2551"/>
        <w:gridCol w:w="2268"/>
        <w:gridCol w:w="4082"/>
      </w:tblGrid>
      <w:tr>
        <w:trPr>
          <w:cantSplit/>
          <w:tblHeader/>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keepNext/>
              <w:spacing w:line="264" w:lineRule="auto" w:after="40"/>
              <w:jc w:val="left"/>
            </w:pPr>
            <w:r>
              <w:rPr>
                <w:rFonts w:ascii="Verdana" w:hAnsi="Verdana"/>
                <w:b/>
                <w:color w:val="FFFFFF"/>
                <w:sz w:val="19"/>
              </w:rPr>
              <w:t>Tabla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keepNext/>
              <w:spacing w:line="264" w:lineRule="auto" w:after="40"/>
              <w:jc w:val="left"/>
            </w:pPr>
            <w:r>
              <w:rPr>
                <w:rFonts w:ascii="Verdana" w:hAnsi="Verdana"/>
                <w:b/>
                <w:color w:val="FFFFFF"/>
                <w:sz w:val="19"/>
              </w:rPr>
              <w:t>Campo</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keepNext/>
              <w:spacing w:line="264" w:lineRule="auto" w:after="40"/>
              <w:jc w:val="left"/>
            </w:pPr>
            <w:r>
              <w:rPr>
                <w:rFonts w:ascii="Verdana" w:hAnsi="Verdana"/>
                <w:b/>
                <w:color w:val="FFFFFF"/>
                <w:sz w:val="19"/>
              </w:rPr>
              <w:t>Tipo y función</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Productos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IdProducto</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INT, PRIMARY KEY e IDENTITY</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Productos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Nombre</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NVARCHAR(100), nombre del producto</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Productos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Stock</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INT, cantidad disponible</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Productos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Precio</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DECIMAL(10,2), valor del producto</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AuditoriaInventario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IdAuditoria</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INT, PRIMARY KEY e IDENTITY</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AuditoriaInventario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IdProducto</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spacing w:line="264" w:lineRule="auto" w:after="40"/>
              <w:jc w:val="left"/>
            </w:pPr>
            <w:r>
              <w:rPr>
                <w:rFonts w:ascii="Verdana" w:hAnsi="Verdana"/>
                <w:b w:val="0"/>
                <w:color w:val="182844"/>
                <w:sz w:val="19"/>
              </w:rPr>
              <w:t>INT, producto asociado al movimiento</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AuditoriaInventario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Accion</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64" w:lineRule="auto" w:after="40"/>
              <w:jc w:val="left"/>
            </w:pPr>
            <w:r>
              <w:rPr>
                <w:rFonts w:ascii="Verdana" w:hAnsi="Verdana"/>
                <w:b w:val="0"/>
                <w:color w:val="182844"/>
                <w:sz w:val="19"/>
              </w:rPr>
              <w:t>NVARCHAR(10), INS, DEL o UPD</w:t>
            </w:r>
          </w:p>
        </w:tc>
      </w:tr>
      <w:tr>
        <w:trPr>
          <w:cantSplit/>
        </w:trPr>
        <w:tc>
          <w:tcPr>
            <w:tcW w:type="dxa" w:w="255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val="0"/>
              <w:spacing w:line="264" w:lineRule="auto" w:after="40"/>
              <w:jc w:val="left"/>
            </w:pPr>
            <w:r>
              <w:rPr>
                <w:rFonts w:ascii="Verdana" w:hAnsi="Verdana"/>
                <w:b w:val="0"/>
                <w:color w:val="182844"/>
                <w:sz w:val="19"/>
              </w:rPr>
              <w:t>AuditoriaInventario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val="0"/>
              <w:spacing w:line="264" w:lineRule="auto" w:after="40"/>
              <w:jc w:val="left"/>
            </w:pPr>
            <w:r>
              <w:rPr>
                <w:rFonts w:ascii="Verdana" w:hAnsi="Verdana"/>
                <w:b w:val="0"/>
                <w:color w:val="182844"/>
                <w:sz w:val="19"/>
              </w:rPr>
              <w:t>Fecha</w:t>
            </w:r>
          </w:p>
        </w:tc>
        <w:tc>
          <w:tcPr>
            <w:tcW w:type="dxa" w:w="408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keepNext w:val="0"/>
              <w:spacing w:line="264" w:lineRule="auto" w:after="40"/>
              <w:jc w:val="left"/>
            </w:pPr>
            <w:r>
              <w:rPr>
                <w:rFonts w:ascii="Verdana" w:hAnsi="Verdana"/>
                <w:b w:val="0"/>
                <w:color w:val="182844"/>
                <w:sz w:val="19"/>
              </w:rPr>
              <w:t>DATETIME, DEFAULT GETDATE()</w:t>
            </w:r>
          </w:p>
        </w:tc>
      </w:tr>
    </w:tbl>
    <w:p>
      <w:pPr>
        <w:spacing w:after="120"/>
      </w:pPr>
    </w:p>
    <w:p>
      <w:pPr>
        <w:spacing w:after="120"/>
      </w:pPr>
      <w:r>
        <w:t>Como decisión de diseño, se añadieron restricciones para impedir nombres nulos o vacíos, stock negativo o nulo y precio negativo o nulo. Se permiten el stock cero y el precio cero; esta decisión se verificó con una prueba que después se revirtió mediante ROLLBACK. El enunciado no define estas reglas numéricas, por lo que se presentan como validaciones propuestas para este ejercicio.</w:t>
      </w:r>
    </w:p>
    <w:p>
      <w:pPr>
        <w:spacing w:after="120"/>
      </w:pPr>
      <w:r>
        <w:t>No se creó una clave foránea desde AuditoriaInventario hacia Productos. Si el producto se elimina, el historial debe conservar su identificador. Esta solución permite registrar bajas, aunque no guarda una copia del nombre o precio histórico. Para un sistema real, sería conveniente ampliar los datos de auditoría según las necesidades del negocio.</w:t>
      </w:r>
    </w:p>
    <w:p>
      <w:pPr>
        <w:pStyle w:val="Ttulo2"/>
        <w:keepNext/>
        <w:pageBreakBefore w:val="0"/>
        <w:spacing w:after="120"/>
      </w:pPr>
      <w:r>
        <w:t>Procedimientos almacenados</w:t>
      </w:r>
    </w:p>
    <w:p>
      <w:pPr>
        <w:pStyle w:val="Ttulo3"/>
        <w:keepNext/>
        <w:pageBreakBefore w:val="0"/>
        <w:spacing w:after="120"/>
      </w:pPr>
      <w:r>
        <w:t>Alta de productos</w:t>
      </w:r>
    </w:p>
    <w:p>
      <w:pPr>
        <w:spacing w:after="120"/>
      </w:pPr>
      <w:r>
        <w:t>sp_AltaProducto recibe @Nombre, @Stock y @Precio. Primero valida los parámetros y luego inserta el producto dentro de BEGIN TRY. Si se produce un error, BEGIN CATCH muestra ERROR_MESSAGE() y THROW lo propaga al programa que ejecutó la consulta. Así, el fallo queda registrado y no se informa una inserción exitosa cuando los datos fueron rechazados [3].</w:t>
      </w:r>
    </w:p>
    <w:p>
      <w:pPr>
        <w:spacing w:after="120"/>
      </w:pPr>
      <w:r>
        <w:t>La prueba válida utilizó un Teclado de prueba con stock 10 y precio 19990. Antes de la operación, ambas tablas estaban vacías. Después se creó el producto con ID 1 y un registro INS con ese mismo identificador. El mensaje fue «Producto insertado correctamente.». La Figura 1 permite comparar los estados anterior y posterior.</w:t>
      </w:r>
    </w:p>
    <w:p>
      <w:pPr>
        <w:pStyle w:val="Ttulo3"/>
        <w:keepNext/>
        <w:pageBreakBefore w:val="0"/>
        <w:spacing w:after="120"/>
      </w:pPr>
      <w:r>
        <w:t>Baja de productos</w:t>
      </w:r>
    </w:p>
    <w:p>
      <w:pPr>
        <w:spacing w:after="120"/>
      </w:pPr>
      <w:r>
        <w:t>sp_BajaProducto recibe @IdProducto y exige que sea positivo. El procedimiento ejecuta DELETE y revisa @@ROWCOUNT inmediatamente después. Si no se eliminó ninguna fila, muestra «Producto no existe.»; si se eliminó una fila, informa que el producto fue eliminado. Esta comprobación mantiene el comportamiento solicitado por el ejemplo con IF EXISTS, sin separar la comprobación de la operación.</w:t>
      </w:r>
    </w:p>
    <w:p>
      <w:pPr>
        <w:spacing w:after="120"/>
      </w:pPr>
      <w:r>
        <w:t>Con el ID 1 existente, el producto desapareció de Productos y se agregó una acción DEL en AuditoriaInventario. El registro INS anterior se mantuvo. Cuando se solicitó eliminar el ID 2147483647, no hubo cambios y se mostró el mensaje de inexistencia. Las Figuras 2 y 3 documentan ambas situaciones.</w:t>
      </w:r>
    </w:p>
    <w:p>
      <w:pPr>
        <w:pStyle w:val="Ttulo2"/>
        <w:keepNext/>
        <w:pageBreakBefore w:val="0"/>
        <w:spacing w:after="120"/>
      </w:pPr>
      <w:r>
        <w:t>Triggers y registro de auditoría</w:t>
      </w:r>
    </w:p>
    <w:p>
      <w:pPr>
        <w:spacing w:after="120"/>
      </w:pPr>
      <w:r>
        <w:t>Los triggers AFTER INSERT y AFTER DELETE toman las filas afectadas desde inserted y deleted, respectivamente, y las registran mediante INSERT ... SELECT. Esta lógica trabaja con todas las filas de una operación, lo que se comprobó al insertar y eliminar dos productos en una sola sentencia. No se utiliza un cursor dentro de los triggers.</w:t>
      </w:r>
    </w:p>
    <w:tbl>
      <w:tblPr>
        <w:tblW w:type="auto" w:w="0"/>
        <w:jc w:val="center"/>
        <w:tblLayout w:type="fixed"/>
        <w:tblLook w:firstColumn="1" w:firstRow="1" w:lastColumn="0" w:lastRow="0" w:noHBand="0" w:noVBand="1" w:val="04A0"/>
      </w:tblPr>
      <w:tblGrid>
        <w:gridCol w:w="3458"/>
        <w:gridCol w:w="1928"/>
        <w:gridCol w:w="3515"/>
      </w:tblGrid>
      <w:tr>
        <w:trPr>
          <w:cantSplit/>
          <w:tblHeader/>
        </w:trPr>
        <w:tc>
          <w:tcPr>
            <w:tcW w:type="dxa" w:w="345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Objeto</w:t>
            </w:r>
          </w:p>
        </w:tc>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Tipo</w:t>
            </w:r>
          </w:p>
        </w:tc>
        <w:tc>
          <w:tcPr>
            <w:tcW w:type="dxa" w:w="3515"/>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Función</w:t>
            </w:r>
          </w:p>
        </w:tc>
      </w:tr>
      <w:tr>
        <w:trPr>
          <w:cantSplit/>
        </w:trPr>
        <w:tc>
          <w:tcPr>
            <w:tcW w:type="dxa" w:w="345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trg_Auditoria_AltaProducto</w:t>
            </w:r>
          </w:p>
        </w:tc>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AFTER INSERT</w:t>
            </w:r>
          </w:p>
        </w:tc>
        <w:tc>
          <w:tcPr>
            <w:tcW w:type="dxa" w:w="3515"/>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Registrar INS por cada fila insertada</w:t>
            </w:r>
          </w:p>
        </w:tc>
      </w:tr>
      <w:tr>
        <w:trPr>
          <w:cantSplit/>
        </w:trPr>
        <w:tc>
          <w:tcPr>
            <w:tcW w:type="dxa" w:w="345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trg_Auditoria_BajaProducto</w:t>
            </w:r>
          </w:p>
        </w:tc>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AFTER DELETE</w:t>
            </w:r>
          </w:p>
        </w:tc>
        <w:tc>
          <w:tcPr>
            <w:tcW w:type="dxa" w:w="3515"/>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Registrar DEL por cada fila eliminada</w:t>
            </w:r>
          </w:p>
        </w:tc>
      </w:tr>
      <w:tr>
        <w:trPr>
          <w:cantSplit/>
        </w:trPr>
        <w:tc>
          <w:tcPr>
            <w:tcW w:type="dxa" w:w="345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trg_Auditoria_ActualizarProducto</w:t>
            </w:r>
          </w:p>
        </w:tc>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AFTER UPDATE</w:t>
            </w:r>
          </w:p>
        </w:tc>
        <w:tc>
          <w:tcPr>
            <w:tcW w:type="dxa" w:w="3515"/>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Registrar UPD solo cuando cambia un valor</w:t>
            </w:r>
          </w:p>
        </w:tc>
      </w:tr>
      <w:tr>
        <w:trPr>
          <w:cantSplit/>
        </w:trPr>
        <w:tc>
          <w:tcPr>
            <w:tcW w:type="dxa" w:w="345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trg_Validar_Actualizacion</w:t>
            </w:r>
          </w:p>
        </w:tc>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INSTEAD OF UPDATE</w:t>
            </w:r>
          </w:p>
        </w:tc>
        <w:tc>
          <w:tcPr>
            <w:tcW w:type="dxa" w:w="3515"/>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Rechazar valores inválidos y aplicar cambios válidos</w:t>
            </w:r>
          </w:p>
        </w:tc>
      </w:tr>
    </w:tbl>
    <w:p>
      <w:pPr>
        <w:spacing w:after="120"/>
      </w:pPr>
    </w:p>
    <w:p>
      <w:pPr>
        <w:spacing w:after="120"/>
      </w:pPr>
      <w:r>
        <w:t>El trigger de actualización compara Nombre, Stock y Precio entre inserted y deleted. Si no cambia ninguno de esos valores, no registra UPD. En la prueba, los stocks de los productos ID 2 y 3 pasaron de 3 y 5 a 4 y 6, y se crearon dos registros UPD. Al ejecutar después SET Stock = Stock, el número de registros se mantuvo. Las Figuras 8 y 9 muestran estos resultados.</w:t>
      </w:r>
    </w:p>
    <w:p>
      <w:pPr>
        <w:spacing w:after="120"/>
      </w:pPr>
      <w:r>
        <w:t>La rúbrica menciona BEFORE, mientras que SQL Server ofrece AFTER e INSTEAD OF para este tipo de triggers [2]. Por esa razón, se implementó INSTEAD OF UPDATE: revisa los valores y, si son válidos, realiza la actualización. Este tipo reemplaza la operación original; no es un trigger BEFORE. La diferencia se deja explícita para que pueda evaluarse considerando el motor utilizado.</w:t>
      </w:r>
    </w:p>
    <w:p>
      <w:pPr>
        <w:spacing w:after="120"/>
      </w:pPr>
      <w:r>
        <w:t>Cuando se intentó asignar stock -1, el trigger generó el error 50005 y mantuvo los valores anteriores. También se rechazaron nombre nulo o vacío, stock nulo y precio nulo o negativo. La consulta sp_helptrigger identificó los cuatro triggers y sus tipos; su salida se presenta en la Figura 4.</w:t>
      </w:r>
    </w:p>
    <w:p>
      <w:pPr>
        <w:pStyle w:val="Ttulo2"/>
        <w:keepNext/>
        <w:pageBreakBefore w:val="0"/>
        <w:spacing w:after="120"/>
      </w:pPr>
      <w:r>
        <w:t>Manejo de excepciones y cursor</w:t>
      </w:r>
    </w:p>
    <w:p>
      <w:pPr>
        <w:spacing w:after="120"/>
      </w:pPr>
      <w:r>
        <w:t>La inexistencia de un producto es una condición controlada del procedimiento de baja y se comunica mediante un mensaje. En cambio, un identificador negativo o un stock negativo generan errores de validación. Estas situaciones activaron CATCH en los procedimientos y quedaron registradas como errores esperados. Después de ambos rechazos, no se añadieron productos ni movimientos de auditoría. La Figura 5 contiene las consultas, los mensajes y el estado posterior.</w:t>
      </w:r>
    </w:p>
    <w:p>
      <w:pPr>
        <w:spacing w:after="120"/>
      </w:pPr>
      <w:r>
        <w:t>Para la parte de cursores se creó sp_ConsultarInventarioCursor. Utiliza un cursor LOCAL FAST_FORWARD sobre los productos ordenados por ID. El procedimiento abre el cursor, obtiene cada fila con FETCH NEXT y muestra el identificador, nombre y stock. Al terminar, lo cierra y libera con CLOSE y DEALLOCATE. Se eligió este cursor para una demostración de recorrido de lectura hacia adelante [4].</w:t>
      </w:r>
    </w:p>
    <w:p>
      <w:pPr>
        <w:spacing w:after="120"/>
      </w:pPr>
      <w:r>
        <w:t>El cursor mostró los productos ID 2 y 3 con stocks 3 y 5. También se ejecutó cuando Productos estaba vacío; no emitió líneas de productos ni errores. Las Figuras 7 y 11 documentan ambos casos. El código incluye limpieza de recursos en CATCH, pero no se provocó un error dentro del recorrido. Para listar un inventario en una aplicación, un SELECT sería suficiente; el cursor se incluye aquí con una finalidad académica.</w:t>
      </w:r>
    </w:p>
    <w:p>
      <w:pPr>
        <w:pStyle w:val="Ttulo2"/>
        <w:keepNext/>
        <w:pageBreakBefore w:val="0"/>
        <w:spacing w:after="120"/>
      </w:pPr>
      <w:r>
        <w:t>Verificación de funcionamiento</w:t>
      </w:r>
    </w:p>
    <w:p>
      <w:pPr>
        <w:spacing w:after="120"/>
      </w:pPr>
      <w:r>
        <w:t>La siguiente matriz reúne las pruebas ejecutadas, sus parámetros y los resultados observados. Los identificadores Fxx remiten al registro de evidencias; las referencias a figuras corresponden a las capturas incluidas al final del informe. Los datos utilizados son ficticios y no representan un inventario productivo.</w:t>
      </w:r>
    </w:p>
    <w:tbl>
      <w:tblPr>
        <w:tblW w:type="auto" w:w="0"/>
        <w:jc w:val="center"/>
        <w:tblLayout w:type="fixed"/>
        <w:tblLook w:firstColumn="1" w:firstRow="1" w:lastColumn="0" w:lastRow="0" w:noHBand="0" w:noVBand="1" w:val="04A0"/>
      </w:tblPr>
      <w:tblGrid>
        <w:gridCol w:w="1928"/>
        <w:gridCol w:w="2268"/>
        <w:gridCol w:w="3231"/>
        <w:gridCol w:w="1474"/>
      </w:tblGrid>
      <w:tr>
        <w:trPr>
          <w:cantSplit/>
          <w:tblHeader/>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Prueba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Parámetro u operación</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Resultado observado</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2844"/>
          </w:tcPr>
          <w:p>
            <w:pPr>
              <w:spacing w:line="264" w:lineRule="auto" w:after="40"/>
              <w:jc w:val="left"/>
            </w:pPr>
            <w:r>
              <w:rPr>
                <w:rFonts w:ascii="Verdana" w:hAnsi="Verdana"/>
                <w:b/>
                <w:color w:val="FFFFFF"/>
                <w:sz w:val="19"/>
              </w:rPr>
              <w:t>Evidencia</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Alta válida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N'Teclado de prueba', 10, 19990</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Producto ID 1 y auditoría INS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F07 / Figura 1</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Baja válida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ID 1 existente</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Producto eliminado y auditoría DEL</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F08 / Figura 2</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Baja inexistente</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ID 2147483647</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Mensaje de inexistencia; sin cambios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F09 / Figura 3</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Inspección</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sp_helptrigger Productos</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Cuatro triggers con sus tipos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F10 / Figura 4</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Definición alta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sp_helptext sp_AltaProducto</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Definición real recuperada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F11</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Definición baja</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sp_helptext sp_BajaProducto</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Definición real recuperada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F12</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 negativo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Alta con stock -1</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50002 y mensaje de CATCH</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F13 / Figura 5</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ID negativo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Baja con ID -1</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50004 y mensaje de CATCH</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F13 / Figura 5</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Inserción múltiple</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Monitor stock 3; Mouse stock 5</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Dos productos y dos INS adicionales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F14 / Figura 6</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Cursor con datos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Dos productos</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Dos mensajes de productos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F15 / Figura 7</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UPDATE válido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 = Stock + 1</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Stocks 4 y 6; dos registros UPD</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F16 / Figura 8</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UPDATE sin cambios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Stock = Stock</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No agrega registros UPD</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F17 / Figura 9</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UPDATE inválido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 = -1</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50005; datos conservados</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F18 / Figura 10</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Eliminación múltiple</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DELETE de dos productos</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Dos DEL; tabla Productos vacía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F19</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Cursor vacío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Productos con cero filas</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Sin mensajes de productos ni error</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F20 / Figura 11</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Nombre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Alta con Nombre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50001;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F21</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Nombre vacío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Alta con Nombre vacío</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50001;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F22</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Nombre con espacios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Alta con tres espacios</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50001;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F23</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Alta con Stock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50002;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F24</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Precio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Alta con Precio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50003;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F25</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Precio negativo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Alta con Precio = -10</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50003; sin inserción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F26</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ID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Baja con ID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50004; sin eliminación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F27</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ID cero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Baja con ID = 0</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50004; sin eliminación</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F28</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Límites válidos</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Stock 0 y Precio 0</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Inserción aceptada y luego ROLLBACK</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F29</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UPDATE nombre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Nombre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50005; fila conservada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F30</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UPDATE nombre vacío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Nombre vacío</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50005; fila conservada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F31</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UPDATE stock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Stock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50005; fila conservada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F32</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UPDATE precio nulo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Precio = NULL</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Error 50005; fila conservada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F33</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UPDATE precio negativo</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Precio = -1</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Error 50005; fila conservada</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64" w:lineRule="auto" w:after="40"/>
              <w:jc w:val="left"/>
            </w:pPr>
            <w:r>
              <w:rPr>
                <w:rFonts w:ascii="Verdana" w:hAnsi="Verdana"/>
                <w:b w:val="0"/>
                <w:color w:val="182844"/>
                <w:sz w:val="19"/>
              </w:rPr>
              <w:t>F34</w:t>
            </w:r>
          </w:p>
        </w:tc>
      </w:tr>
      <w:tr>
        <w:trPr>
          <w:cantSplit/>
        </w:trPr>
        <w:tc>
          <w:tcPr>
            <w:tcW w:type="dxa" w:w="19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Comprobación final</w:t>
            </w:r>
          </w:p>
        </w:tc>
        <w:tc>
          <w:tcPr>
            <w:tcW w:type="dxa" w:w="22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Recuentos con validación automática</w:t>
            </w:r>
          </w:p>
        </w:tc>
        <w:tc>
          <w:tcPr>
            <w:tcW w:type="dxa" w:w="3231"/>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0 productos, 4 INS, 4 DEL y 2 UPD</w:t>
            </w:r>
          </w:p>
        </w:tc>
        <w:tc>
          <w:tcPr>
            <w:tcW w:type="dxa" w:w="147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3F5F8"/>
          </w:tcPr>
          <w:p>
            <w:pPr>
              <w:spacing w:line="264" w:lineRule="auto" w:after="40"/>
              <w:jc w:val="left"/>
            </w:pPr>
            <w:r>
              <w:rPr>
                <w:rFonts w:ascii="Verdana" w:hAnsi="Verdana"/>
                <w:b w:val="0"/>
                <w:color w:val="182844"/>
                <w:sz w:val="19"/>
              </w:rPr>
              <w:t>F35 / Figura 12</w:t>
            </w:r>
          </w:p>
        </w:tc>
      </w:tr>
    </w:tbl>
    <w:p>
      <w:pPr>
        <w:spacing w:after="120"/>
      </w:pPr>
    </w:p>
    <w:p>
      <w:pPr>
        <w:spacing w:after="120"/>
      </w:pPr>
      <w:r>
        <w:t>Los casos con error esperado verificaron que el motor devolviera un código de validación entre 50001 y 50005. El ejecutor se detiene si no aparece el error previsto o si la causa no corresponde a un error SQL de validación. Las consultas posteriores permiten revisar que los rechazos no agregaron filas ni auditorías indebidas.</w:t>
      </w:r>
    </w:p>
    <w:p>
      <w:pPr>
        <w:spacing w:after="120"/>
      </w:pPr>
      <w:r>
        <w:t>El producto de la prueba con stock y precio cero se insertó dentro de una transacción y luego se revirtió. Por eso, su registro INS no forma parte del recuento final. En las validaciones adicionales de UPDATE se utilizó otro producto confirmado previamente; al terminar, se eliminó y quedaron registradas su alta y su baja. Esto explica que la serie ampliada finalice con cuatro INS y cuatro DEL, además de los dos UPD.</w:t>
      </w:r>
    </w:p>
    <w:p>
      <w:pPr>
        <w:spacing w:after="120"/>
      </w:pPr>
      <w:r>
        <w:t>La verificación final comprobó los recuentos y mostró «Verificaciones superadas.». La Figura 12 incluye la consulta y la salida. Las pruebas cubren los casos del ejercicio y las validaciones descritas; no se realizaron pruebas de concurrencia, fallos de conexión ni todos los errores posibles del motor.</w:t>
      </w:r>
    </w:p>
    <w:p>
      <w:pPr>
        <w:pStyle w:val="Ttulo2"/>
        <w:keepNext/>
        <w:pageBreakBefore w:val="0"/>
        <w:spacing w:after="120"/>
      </w:pPr>
      <w:r>
        <w:t>Claridad del código y decisiones de implementación</w:t>
      </w:r>
    </w:p>
    <w:p>
      <w:pPr>
        <w:spacing w:after="120"/>
      </w:pPr>
      <w:r>
        <w:t>Los objetos se organizan en el esquema dbo y sus nombres describen la operación que realizan. Los comentarios explican la conservación de auditoría, la comparación de cambios y el uso académico del cursor. SET NOCOUNT ON evita mensajes de filas afectadas dentro de los objetos. Las validaciones también se respaldan con restricciones CHECK en Productos, de modo que no dependen únicamente de llamar a los procedimientos.</w:t>
      </w:r>
    </w:p>
    <w:p>
      <w:pPr>
        <w:spacing w:after="120"/>
      </w:pPr>
      <w:r>
        <w:t>La auditoría de múltiples filas se resuelve con consultas por conjuntos. El cursor se mantiene en un procedimiento separado y no interviene en el registro de altas, bajas o actualizaciones. El anexo de código distingue la implementación del caso de la ampliación propuesta a partir de la rúbrica.</w:t>
      </w:r>
    </w:p>
    <w:p w14:paraId="50F219AB" w14:textId="0A7D8AC1" w:rsidR="002177BC" w:rsidRPr="00641E85" w:rsidRDefault="002177BC" w:rsidP="00641E85">
      <w:pPr>
        <w:pStyle w:val="Ttulo1"/>
      </w:pPr>
      <w:bookmarkStart w:id="5" w:name="_Toc119486258"/>
      <w:bookmarkEnd w:id="5"/>
      <w:r>
        <w:t>Conclusión</w:t>
      </w:r>
    </w:p>
    <w:p>
      <w:pPr>
        <w:spacing w:after="120"/>
      </w:pPr>
      <w:r>
        <w:t>La solución permitió insertar y eliminar productos mediante procedimientos almacenados y registrar sus movimientos de forma automática. Las consultas mostraron que el historial se conserva después de una baja y que una operación con varias filas genera una auditoría por cada producto afectado. La ejecución ampliada terminó con los recuentos esperados y sin productos pendientes en la base de pruebas.</w:t>
      </w:r>
    </w:p>
    <w:p>
      <w:pPr>
        <w:spacing w:after="120"/>
      </w:pPr>
      <w:r>
        <w:t>La primera reflexión que deja este trabajo es que el manejo de errores debe comprobarse con datos inválidos, además de probar operaciones correctas. Un mensaje de inserción exitosa por sí solo no permite saber si las validaciones funcionan. Comparar los estados antes y después ayudó a distinguir una baja inexistente, un rechazo por parámetros y un cambio efectivamente registrado.</w:t>
      </w:r>
    </w:p>
    <w:p>
      <w:pPr>
        <w:spacing w:after="120"/>
      </w:pPr>
      <w:r>
        <w:t>La segunda reflexión es que una solución debe ajustarse al motor elegido. La mención BEFORE de la pauta requirió explicar el uso de INSTEAD OF en SQL Server. También fue necesario distinguir la demostración de un cursor de la forma más sencilla de consultar los productos. Para proyectar esta propuesta a un sistema real, ampliaría la información histórica de auditoría y evaluaría permisos y operaciones concurrentes, aspectos que quedan fuera de estas pruebas.</w:t>
      </w:r>
    </w:p>
    <w:p>
      <w:pPr>
        <w:pStyle w:val="Ttulo1"/>
        <w:keepNext/>
        <w:pageBreakBefore/>
        <w:spacing w:after="120"/>
      </w:pPr>
      <w:r>
        <w:t>Referencias</w:t>
      </w:r>
    </w:p>
    <w:p>
      <w:pPr>
        <w:spacing w:after="120"/>
      </w:pPr>
      <w:r>
        <w:rPr>
          <w:sz w:val="20"/>
        </w:rPr>
        <w:t>[1] AIEP. Orientaciones y pauta de evaluación. Actividad sumativa, semana 9. Taller de Bases de Datos, unidad 2. Documento de la actividad, 8 páginas. Requisitos: pp. 1–5; rúbrica: pp. 6–8.</w:t>
      </w:r>
    </w:p>
    <w:p>
      <w:pPr>
        <w:spacing w:after="120"/>
      </w:pPr>
      <w:r>
        <w:rPr>
          <w:sz w:val="20"/>
        </w:rPr>
        <w:t>[2] Microsoft Learn. CREATE TRIGGER (Transact-SQL). Consultado el 9 de octubre de 2026. https://learn.microsoft.com/en-us/sql/t-sql/statements/create-trigger-transact-sql</w:t>
      </w:r>
    </w:p>
    <w:p>
      <w:pPr>
        <w:spacing w:after="120"/>
      </w:pPr>
      <w:r>
        <w:rPr>
          <w:sz w:val="20"/>
        </w:rPr>
        <w:t>[3] Microsoft Learn. TRY...CATCH (Transact-SQL). Consultado el 9 de octubre de 2026. https://learn.microsoft.com/en-us/sql/t-sql/language-elements/try-catch-transact-sql</w:t>
      </w:r>
    </w:p>
    <w:p>
      <w:pPr>
        <w:spacing w:after="120"/>
      </w:pPr>
      <w:r>
        <w:rPr>
          <w:sz w:val="20"/>
        </w:rPr>
        <w:t>[4] Microsoft Learn. DECLARE CURSOR (Transact-SQL). Consultado el 9 de octubre de 2026. https://learn.microsoft.com/en-us/sql/t-sql/language-elements/declare-cursor-transact-sql</w:t>
      </w:r>
    </w:p>
    <w:p>
      <w:pPr>
        <w:pStyle w:val="Ttulo2"/>
        <w:keepNext/>
        <w:pageBreakBefore w:val="0"/>
        <w:spacing w:after="120"/>
      </w:pPr>
      <w:r>
        <w:t>Asistencia utilizada</w:t>
      </w:r>
    </w:p>
    <w:p>
      <w:pPr>
        <w:spacing w:after="120"/>
      </w:pPr>
      <w:r>
        <w:rPr>
          <w:sz w:val="20"/>
        </w:rPr>
        <w:t>Se utilizó Codex como apoyo para organizar los requisitos, preparar el código, ejecutar las pruebas locales, capturar el visor de resultados y redactar el informe. Los resultados provienen de SQL Server y los productos utilizados son ficticios de prueba. La autoría académica del informe corresponde a Blas Pinto.</w:t>
      </w:r>
    </w:p>
    <w:p>
      <w:pPr>
        <w:pStyle w:val="Ttulo1"/>
        <w:keepNext/>
        <w:pageBreakBefore/>
        <w:spacing w:after="120"/>
      </w:pPr>
      <w:r>
        <w:t>Anexo de código SQL</w:t>
      </w:r>
    </w:p>
    <w:p>
      <w:pPr>
        <w:spacing w:after="120"/>
      </w:pPr>
      <w:r>
        <w:t>Los dos scripts se ejecutan en el orden indicado sobre una base nueva y vacía. No deben repetirse sobre una base con estos objetos ya creados. GO separa los lotes de definición. A continuación se incluye el código utilizado en las pruebas, sin reemplazarlo por una versión distinta.</w:t>
      </w:r>
    </w:p>
    <w:p>
      <w:pPr>
        <w:pStyle w:val="Ttulo2"/>
        <w:keepNext/>
        <w:pageBreakBefore w:val="0"/>
        <w:spacing w:after="120"/>
      </w:pPr>
      <w:r>
        <w:t>Implementación del caso</w:t>
      </w:r>
    </w:p>
    <w:p>
      <w:pPr>
        <w:keepNext w:val="0"/>
        <w:spacing w:line="240" w:lineRule="auto" w:after="0"/>
      </w:pPr>
      <w:r>
        <w:rPr>
          <w:rFonts w:ascii="Consolas" w:hAnsi="Consolas"/>
          <w:color w:val="182844"/>
          <w:sz w:val="18"/>
        </w:rPr>
        <w:t>-- Actividad semana 9. Ejecutar en una base exclusiva de pruebas.</w:t>
      </w:r>
    </w:p>
    <w:p>
      <w:pPr>
        <w:keepNext w:val="0"/>
        <w:spacing w:line="240" w:lineRule="auto" w:after="0"/>
      </w:pPr>
      <w:r>
        <w:rPr>
          <w:rFonts w:ascii="Consolas" w:hAnsi="Consolas"/>
          <w:color w:val="182844"/>
          <w:sz w:val="18"/>
        </w:rPr>
        <w:t>-- Las validaciones son decisiones de diseño, no reglas textuales del PDF.</w:t>
      </w:r>
    </w:p>
    <w:p>
      <w:pPr>
        <w:keepNext w:val="0"/>
        <w:spacing w:line="240" w:lineRule="auto" w:after="0"/>
      </w:pPr>
      <w:r>
        <w:rPr>
          <w:rFonts w:ascii="Consolas" w:hAnsi="Consolas"/>
          <w:color w:val="182844"/>
          <w:sz w:val="18"/>
        </w:rPr>
        <w:t>CREATE TABLE dbo.Productos (</w:t>
      </w:r>
    </w:p>
    <w:p>
      <w:pPr>
        <w:keepNext w:val="0"/>
        <w:spacing w:line="240" w:lineRule="auto" w:after="0"/>
      </w:pPr>
      <w:r>
        <w:rPr>
          <w:rFonts w:ascii="Consolas" w:hAnsi="Consolas"/>
          <w:color w:val="182844"/>
          <w:sz w:val="18"/>
        </w:rPr>
        <w:t xml:space="preserve"> IdProducto INT PRIMARY KEY IDENTITY,</w:t>
      </w:r>
    </w:p>
    <w:p>
      <w:pPr>
        <w:keepNext w:val="0"/>
        <w:spacing w:line="240" w:lineRule="auto" w:after="0"/>
      </w:pPr>
      <w:r>
        <w:rPr>
          <w:rFonts w:ascii="Consolas" w:hAnsi="Consolas"/>
          <w:color w:val="182844"/>
          <w:sz w:val="18"/>
        </w:rPr>
        <w:t xml:space="preserve"> Nombre NVARCHAR(100), Stock INT, Precio DECIMAL(10,2),</w:t>
      </w:r>
    </w:p>
    <w:p>
      <w:pPr>
        <w:keepNext w:val="0"/>
        <w:spacing w:line="240" w:lineRule="auto" w:after="0"/>
      </w:pPr>
      <w:r>
        <w:rPr>
          <w:rFonts w:ascii="Consolas" w:hAnsi="Consolas"/>
          <w:color w:val="182844"/>
          <w:sz w:val="18"/>
        </w:rPr>
        <w:t xml:space="preserve"> CONSTRAINT CK_Productos_Nombre CHECK (Nombre IS NOT NULL AND </w:t>
      </w:r>
    </w:p>
    <w:p>
      <w:pPr>
        <w:keepNext w:val="0"/>
        <w:spacing w:line="240" w:lineRule="auto" w:after="0"/>
      </w:pPr>
      <w:r>
        <w:rPr>
          <w:rFonts w:ascii="Consolas" w:hAnsi="Consolas"/>
          <w:color w:val="182844"/>
          <w:sz w:val="18"/>
        </w:rPr>
        <w:t>LEN(LTRIM(RTRIM(Nombre))) &gt; 0),</w:t>
      </w:r>
    </w:p>
    <w:p>
      <w:pPr>
        <w:keepNext w:val="0"/>
        <w:spacing w:line="240" w:lineRule="auto" w:after="0"/>
      </w:pPr>
      <w:r>
        <w:rPr>
          <w:rFonts w:ascii="Consolas" w:hAnsi="Consolas"/>
          <w:color w:val="182844"/>
          <w:sz w:val="18"/>
        </w:rPr>
        <w:t xml:space="preserve"> CONSTRAINT CK_Productos_Stock CHECK (Stock IS NOT NULL AND Stock &gt;= 0),</w:t>
      </w:r>
    </w:p>
    <w:p>
      <w:pPr>
        <w:keepNext w:val="0"/>
        <w:spacing w:line="240" w:lineRule="auto" w:after="0"/>
      </w:pPr>
      <w:r>
        <w:rPr>
          <w:rFonts w:ascii="Consolas" w:hAnsi="Consolas"/>
          <w:color w:val="182844"/>
          <w:sz w:val="18"/>
        </w:rPr>
        <w:t xml:space="preserve"> CONSTRAINT CK_Productos_Precio CHECK (Precio IS NOT NULL AND Precio &gt;= 0)</w:t>
      </w:r>
    </w:p>
    <w:p>
      <w:pPr>
        <w:keepNext w:val="0"/>
        <w:spacing w:line="240" w:lineRule="auto" w:after="0"/>
      </w:pPr>
      <w:r>
        <w:rPr>
          <w:rFonts w:ascii="Consolas" w:hAnsi="Consolas"/>
          <w:color w:val="182844"/>
          <w:sz w:val="18"/>
        </w:rPr>
        <w:t>);</w:t>
      </w:r>
    </w:p>
    <w:p>
      <w:pPr>
        <w:keepNext w:val="0"/>
        <w:spacing w:line="240" w:lineRule="auto" w:after="0"/>
      </w:pPr>
      <w:r>
        <w:rPr>
          <w:rFonts w:ascii="Consolas" w:hAnsi="Consolas"/>
          <w:color w:val="182844"/>
          <w:sz w:val="18"/>
        </w:rPr>
        <w:t>CREATE TABLE dbo.AuditoriaInventario (</w:t>
      </w:r>
    </w:p>
    <w:p>
      <w:pPr>
        <w:keepNext w:val="0"/>
        <w:spacing w:line="240" w:lineRule="auto" w:after="0"/>
      </w:pPr>
      <w:r>
        <w:rPr>
          <w:rFonts w:ascii="Consolas" w:hAnsi="Consolas"/>
          <w:color w:val="182844"/>
          <w:sz w:val="18"/>
        </w:rPr>
        <w:t xml:space="preserve"> IdAuditoria INT PRIMARY KEY IDENTITY,</w:t>
      </w:r>
    </w:p>
    <w:p>
      <w:pPr>
        <w:keepNext w:val="0"/>
        <w:spacing w:line="240" w:lineRule="auto" w:after="0"/>
      </w:pPr>
      <w:r>
        <w:rPr>
          <w:rFonts w:ascii="Consolas" w:hAnsi="Consolas"/>
          <w:color w:val="182844"/>
          <w:sz w:val="18"/>
        </w:rPr>
        <w:t xml:space="preserve"> IdProducto INT, Accion NVARCHAR(10), Fecha DATETIME DEFAULT GETDATE()</w:t>
      </w:r>
    </w:p>
    <w:p>
      <w:pPr>
        <w:keepNext w:val="0"/>
        <w:spacing w:line="240" w:lineRule="auto" w:after="0"/>
      </w:pPr>
      <w:r>
        <w:rPr>
          <w:rFonts w:ascii="Consolas" w:hAnsi="Consolas"/>
          <w:color w:val="182844"/>
          <w:sz w:val="18"/>
        </w:rPr>
        <w:t>);</w:t>
      </w:r>
    </w:p>
    <w:p>
      <w:pPr>
        <w:keepNext w:val="0"/>
        <w:spacing w:line="240" w:lineRule="auto" w:after="0"/>
      </w:pPr>
      <w:r>
        <w:rPr>
          <w:rFonts w:ascii="Consolas" w:hAnsi="Consolas"/>
          <w:color w:val="182844"/>
          <w:sz w:val="18"/>
        </w:rPr>
        <w:t>-- Sin FK a Productos: la auditoría debe conservar las bajas.</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PROCEDURE dbo.sp_AltaProducto</w:t>
      </w:r>
    </w:p>
    <w:p>
      <w:pPr>
        <w:keepNext w:val="0"/>
        <w:spacing w:line="240" w:lineRule="auto" w:after="0"/>
      </w:pPr>
      <w:r>
        <w:rPr>
          <w:rFonts w:ascii="Consolas" w:hAnsi="Consolas"/>
          <w:color w:val="182844"/>
          <w:sz w:val="18"/>
        </w:rPr>
        <w:t xml:space="preserve"> @Nombre NVARCHAR(100), @Stock INT, @Precio DECIMAL(10,2)</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BEGIN TRY</w:t>
      </w:r>
    </w:p>
    <w:p>
      <w:pPr>
        <w:keepNext w:val="0"/>
        <w:spacing w:line="240" w:lineRule="auto" w:after="0"/>
      </w:pPr>
      <w:r>
        <w:rPr>
          <w:rFonts w:ascii="Consolas" w:hAnsi="Consolas"/>
          <w:color w:val="182844"/>
          <w:sz w:val="18"/>
        </w:rPr>
        <w:t xml:space="preserve">  IF @Nombre IS NULL OR LEN(LTRIM(RTRIM(@Nombre)))=0</w:t>
      </w:r>
    </w:p>
    <w:p>
      <w:pPr>
        <w:keepNext w:val="0"/>
        <w:spacing w:line="240" w:lineRule="auto" w:after="0"/>
      </w:pPr>
      <w:r>
        <w:rPr>
          <w:rFonts w:ascii="Consolas" w:hAnsi="Consolas"/>
          <w:color w:val="182844"/>
          <w:sz w:val="18"/>
        </w:rPr>
        <w:t xml:space="preserve">   THROW 50001, 'El nombre no puede estar vacío.', 1;</w:t>
      </w:r>
    </w:p>
    <w:p>
      <w:pPr>
        <w:keepNext w:val="0"/>
        <w:spacing w:line="240" w:lineRule="auto" w:after="0"/>
      </w:pPr>
      <w:r>
        <w:rPr>
          <w:rFonts w:ascii="Consolas" w:hAnsi="Consolas"/>
          <w:color w:val="182844"/>
          <w:sz w:val="18"/>
        </w:rPr>
        <w:t xml:space="preserve">  IF @Stock IS NULL OR @Stock &lt; 0 THROW 50002, 'El stock debe ser no negativo.', 1;</w:t>
      </w:r>
    </w:p>
    <w:p>
      <w:pPr>
        <w:keepNext w:val="0"/>
        <w:spacing w:line="240" w:lineRule="auto" w:after="0"/>
      </w:pPr>
      <w:r>
        <w:rPr>
          <w:rFonts w:ascii="Consolas" w:hAnsi="Consolas"/>
          <w:color w:val="182844"/>
          <w:sz w:val="18"/>
        </w:rPr>
        <w:t xml:space="preserve">  IF @Precio IS NULL OR @Precio &lt; 0 THROW 50003, 'El precio debe ser no negativo.', 1;</w:t>
      </w:r>
    </w:p>
    <w:p>
      <w:pPr>
        <w:keepNext w:val="0"/>
        <w:spacing w:line="240" w:lineRule="auto" w:after="0"/>
      </w:pPr>
      <w:r>
        <w:rPr>
          <w:rFonts w:ascii="Consolas" w:hAnsi="Consolas"/>
          <w:color w:val="182844"/>
          <w:sz w:val="18"/>
        </w:rPr>
        <w:t xml:space="preserve">  INSERT dbo.Productos(Nombre,Stock,Precio) VALUES(@Nombre,@Stock,@Precio);</w:t>
      </w:r>
    </w:p>
    <w:p>
      <w:pPr>
        <w:keepNext w:val="0"/>
        <w:spacing w:line="240" w:lineRule="auto" w:after="0"/>
      </w:pPr>
      <w:r>
        <w:rPr>
          <w:rFonts w:ascii="Consolas" w:hAnsi="Consolas"/>
          <w:color w:val="182844"/>
          <w:sz w:val="18"/>
        </w:rPr>
        <w:t xml:space="preserve">  PRINT 'Producto insertado correctamente.';</w:t>
      </w:r>
    </w:p>
    <w:p>
      <w:pPr>
        <w:keepNext w:val="0"/>
        <w:spacing w:line="240" w:lineRule="auto" w:after="0"/>
      </w:pPr>
      <w:r>
        <w:rPr>
          <w:rFonts w:ascii="Consolas" w:hAnsi="Consolas"/>
          <w:color w:val="182844"/>
          <w:sz w:val="18"/>
        </w:rPr>
        <w:t xml:space="preserve"> END TRY</w:t>
      </w:r>
    </w:p>
    <w:p>
      <w:pPr>
        <w:keepNext w:val="0"/>
        <w:spacing w:line="240" w:lineRule="auto" w:after="0"/>
      </w:pPr>
      <w:r>
        <w:rPr>
          <w:rFonts w:ascii="Consolas" w:hAnsi="Consolas"/>
          <w:color w:val="182844"/>
          <w:sz w:val="18"/>
        </w:rPr>
        <w:t xml:space="preserve"> BEGIN CATCH</w:t>
      </w:r>
    </w:p>
    <w:p>
      <w:pPr>
        <w:keepNext w:val="0"/>
        <w:spacing w:line="240" w:lineRule="auto" w:after="0"/>
      </w:pPr>
      <w:r>
        <w:rPr>
          <w:rFonts w:ascii="Consolas" w:hAnsi="Consolas"/>
          <w:color w:val="182844"/>
          <w:sz w:val="18"/>
        </w:rPr>
        <w:t xml:space="preserve">  PRINT 'Error al insertar el producto: ' + ERROR_MESSAGE();</w:t>
      </w:r>
    </w:p>
    <w:p>
      <w:pPr>
        <w:keepNext w:val="0"/>
        <w:spacing w:line="240" w:lineRule="auto" w:after="0"/>
      </w:pPr>
      <w:r>
        <w:rPr>
          <w:rFonts w:ascii="Consolas" w:hAnsi="Consolas"/>
          <w:color w:val="182844"/>
          <w:sz w:val="18"/>
        </w:rPr>
        <w:t xml:space="preserve">  THROW;</w:t>
      </w:r>
    </w:p>
    <w:p>
      <w:pPr>
        <w:keepNext w:val="0"/>
        <w:spacing w:line="240" w:lineRule="auto" w:after="0"/>
      </w:pPr>
      <w:r>
        <w:rPr>
          <w:rFonts w:ascii="Consolas" w:hAnsi="Consolas"/>
          <w:color w:val="182844"/>
          <w:sz w:val="18"/>
        </w:rPr>
        <w:t xml:space="preserve"> END CATCH</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TRIGGER dbo.trg_Auditoria_AltaProducto ON dbo.Productos AFTER INSERT</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INSERT dbo.AuditoriaInventario(IdProducto,Accion)</w:t>
      </w:r>
    </w:p>
    <w:p>
      <w:pPr>
        <w:keepNext w:val="0"/>
        <w:spacing w:line="240" w:lineRule="auto" w:after="0"/>
      </w:pPr>
      <w:r>
        <w:rPr>
          <w:rFonts w:ascii="Consolas" w:hAnsi="Consolas"/>
          <w:color w:val="182844"/>
          <w:sz w:val="18"/>
        </w:rPr>
        <w:t xml:space="preserve"> SELECT IdProducto,'INS' FROM inserted;</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TRIGGER dbo.trg_Auditoria_BajaProducto ON dbo.Productos AFTER DELETE</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INSERT dbo.AuditoriaInventario(IdProducto,Accion)</w:t>
      </w:r>
    </w:p>
    <w:p>
      <w:pPr>
        <w:keepNext w:val="0"/>
        <w:spacing w:line="240" w:lineRule="auto" w:after="0"/>
      </w:pPr>
      <w:r>
        <w:rPr>
          <w:rFonts w:ascii="Consolas" w:hAnsi="Consolas"/>
          <w:color w:val="182844"/>
          <w:sz w:val="18"/>
        </w:rPr>
        <w:t xml:space="preserve"> SELECT IdProducto,'DEL' FROM deleted;</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PROCEDURE dbo.sp_BajaProducto @IdProducto INT</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BEGIN TRY</w:t>
      </w:r>
    </w:p>
    <w:p>
      <w:pPr>
        <w:keepNext w:val="0"/>
        <w:spacing w:line="240" w:lineRule="auto" w:after="0"/>
      </w:pPr>
      <w:r>
        <w:rPr>
          <w:rFonts w:ascii="Consolas" w:hAnsi="Consolas"/>
          <w:color w:val="182844"/>
          <w:sz w:val="18"/>
        </w:rPr>
        <w:t xml:space="preserve">  IF @IdProducto IS NULL OR @IdProducto &lt;= 0</w:t>
      </w:r>
    </w:p>
    <w:p>
      <w:pPr>
        <w:keepNext w:val="0"/>
        <w:spacing w:line="240" w:lineRule="auto" w:after="0"/>
      </w:pPr>
      <w:r>
        <w:rPr>
          <w:rFonts w:ascii="Consolas" w:hAnsi="Consolas"/>
          <w:color w:val="182844"/>
          <w:sz w:val="18"/>
        </w:rPr>
        <w:t xml:space="preserve">   THROW 50004, 'El identificador debe ser positivo.', 1;</w:t>
      </w:r>
    </w:p>
    <w:p>
      <w:pPr>
        <w:keepNext w:val="0"/>
        <w:spacing w:line="240" w:lineRule="auto" w:after="0"/>
      </w:pPr>
      <w:r>
        <w:rPr>
          <w:rFonts w:ascii="Consolas" w:hAnsi="Consolas"/>
          <w:color w:val="182844"/>
          <w:sz w:val="18"/>
        </w:rPr>
        <w:t xml:space="preserve">  -- DELETE y @@ROWCOUNT evitan separar la comprobación de la operación.</w:t>
      </w:r>
    </w:p>
    <w:p>
      <w:pPr>
        <w:keepNext w:val="0"/>
        <w:spacing w:line="240" w:lineRule="auto" w:after="0"/>
      </w:pPr>
      <w:r>
        <w:rPr>
          <w:rFonts w:ascii="Consolas" w:hAnsi="Consolas"/>
          <w:color w:val="182844"/>
          <w:sz w:val="18"/>
        </w:rPr>
        <w:t xml:space="preserve">  DELETE dbo.Productos WHERE IdProducto=@IdProducto;</w:t>
      </w:r>
    </w:p>
    <w:p>
      <w:pPr>
        <w:keepNext w:val="0"/>
        <w:spacing w:line="240" w:lineRule="auto" w:after="0"/>
      </w:pPr>
      <w:r>
        <w:rPr>
          <w:rFonts w:ascii="Consolas" w:hAnsi="Consolas"/>
          <w:color w:val="182844"/>
          <w:sz w:val="18"/>
        </w:rPr>
        <w:t xml:space="preserve">  IF @@ROWCOUNT=0 PRINT 'Producto no existe.';</w:t>
      </w:r>
    </w:p>
    <w:p>
      <w:pPr>
        <w:keepNext w:val="0"/>
        <w:spacing w:line="240" w:lineRule="auto" w:after="0"/>
      </w:pPr>
      <w:r>
        <w:rPr>
          <w:rFonts w:ascii="Consolas" w:hAnsi="Consolas"/>
          <w:color w:val="182844"/>
          <w:sz w:val="18"/>
        </w:rPr>
        <w:t xml:space="preserve">  ELSE PRINT 'Producto eliminado correctamente.';</w:t>
      </w:r>
    </w:p>
    <w:p>
      <w:pPr>
        <w:keepNext w:val="0"/>
        <w:spacing w:line="240" w:lineRule="auto" w:after="0"/>
      </w:pPr>
      <w:r>
        <w:rPr>
          <w:rFonts w:ascii="Consolas" w:hAnsi="Consolas"/>
          <w:color w:val="182844"/>
          <w:sz w:val="18"/>
        </w:rPr>
        <w:t xml:space="preserve"> END TRY</w:t>
      </w:r>
    </w:p>
    <w:p>
      <w:pPr>
        <w:keepNext w:val="0"/>
        <w:spacing w:line="240" w:lineRule="auto" w:after="0"/>
      </w:pPr>
      <w:r>
        <w:rPr>
          <w:rFonts w:ascii="Consolas" w:hAnsi="Consolas"/>
          <w:color w:val="182844"/>
          <w:sz w:val="18"/>
        </w:rPr>
        <w:t xml:space="preserve"> BEGIN CATCH</w:t>
      </w:r>
    </w:p>
    <w:p>
      <w:pPr>
        <w:keepNext w:val="0"/>
        <w:spacing w:line="240" w:lineRule="auto" w:after="0"/>
      </w:pPr>
      <w:r>
        <w:rPr>
          <w:rFonts w:ascii="Consolas" w:hAnsi="Consolas"/>
          <w:color w:val="182844"/>
          <w:sz w:val="18"/>
        </w:rPr>
        <w:t xml:space="preserve">  PRINT 'Error al eliminar el producto: ' + ERROR_MESSAGE();</w:t>
      </w:r>
    </w:p>
    <w:p>
      <w:pPr>
        <w:keepNext w:val="0"/>
        <w:spacing w:line="240" w:lineRule="auto" w:after="0"/>
      </w:pPr>
      <w:r>
        <w:rPr>
          <w:rFonts w:ascii="Consolas" w:hAnsi="Consolas"/>
          <w:color w:val="182844"/>
          <w:sz w:val="18"/>
        </w:rPr>
        <w:t xml:space="preserve">  THROW;</w:t>
      </w:r>
    </w:p>
    <w:p>
      <w:pPr>
        <w:keepNext w:val="0"/>
        <w:spacing w:line="240" w:lineRule="auto" w:after="0"/>
      </w:pPr>
      <w:r>
        <w:rPr>
          <w:rFonts w:ascii="Consolas" w:hAnsi="Consolas"/>
          <w:color w:val="182844"/>
          <w:sz w:val="18"/>
        </w:rPr>
        <w:t xml:space="preserve"> END CATCH</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pStyle w:val="Ttulo2"/>
        <w:keepNext/>
        <w:pageBreakBefore w:val="0"/>
        <w:spacing w:after="120"/>
      </w:pPr>
      <w:r>
        <w:t>Ampliación para actualización y cursor</w:t>
      </w:r>
    </w:p>
    <w:p>
      <w:pPr>
        <w:keepNext w:val="0"/>
        <w:spacing w:line="240" w:lineRule="auto" w:after="0"/>
      </w:pPr>
      <w:r>
        <w:rPr>
          <w:rFonts w:ascii="Consolas" w:hAnsi="Consolas"/>
          <w:color w:val="182844"/>
          <w:sz w:val="18"/>
        </w:rPr>
        <w:t>-- Ampliación propuesta para cubrir menciones de la rúbrica.</w:t>
      </w:r>
    </w:p>
    <w:p>
      <w:pPr>
        <w:keepNext w:val="0"/>
        <w:spacing w:line="240" w:lineRule="auto" w:after="0"/>
      </w:pPr>
      <w:r>
        <w:rPr>
          <w:rFonts w:ascii="Consolas" w:hAnsi="Consolas"/>
          <w:color w:val="182844"/>
          <w:sz w:val="18"/>
        </w:rPr>
        <w:t>-- INSTEAD OF reemplaza la operación; no es un trigger BEFORE.</w:t>
      </w:r>
    </w:p>
    <w:p>
      <w:pPr>
        <w:keepNext w:val="0"/>
        <w:spacing w:line="240" w:lineRule="auto" w:after="0"/>
      </w:pPr>
      <w:r>
        <w:rPr>
          <w:rFonts w:ascii="Consolas" w:hAnsi="Consolas"/>
          <w:color w:val="182844"/>
          <w:sz w:val="18"/>
        </w:rPr>
        <w:t>CREATE TRIGGER dbo.trg_Validar_Actualizacion ON dbo.Productos INSTEAD OF UPDATE</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IF EXISTS(SELECT 1 FROM inserted WHERE Nombre IS NULL OR LEN(LTRIM(RTRIM(Nombre)))=0</w:t>
      </w:r>
    </w:p>
    <w:p>
      <w:pPr>
        <w:keepNext w:val="0"/>
        <w:spacing w:line="240" w:lineRule="auto" w:after="0"/>
      </w:pPr>
      <w:r>
        <w:rPr>
          <w:rFonts w:ascii="Consolas" w:hAnsi="Consolas"/>
          <w:color w:val="182844"/>
          <w:sz w:val="18"/>
        </w:rPr>
        <w:t xml:space="preserve">  OR Stock IS NULL OR Stock&lt;0 OR Precio IS NULL OR Precio&lt;0)</w:t>
      </w:r>
    </w:p>
    <w:p>
      <w:pPr>
        <w:keepNext w:val="0"/>
        <w:spacing w:line="240" w:lineRule="auto" w:after="0"/>
      </w:pPr>
      <w:r>
        <w:rPr>
          <w:rFonts w:ascii="Consolas" w:hAnsi="Consolas"/>
          <w:color w:val="182844"/>
          <w:sz w:val="18"/>
        </w:rPr>
        <w:t xml:space="preserve">  THROW 50005, 'Actualización rechazada: nombre, stock o precio inválidos.', 1;</w:t>
      </w:r>
    </w:p>
    <w:p>
      <w:pPr>
        <w:keepNext w:val="0"/>
        <w:spacing w:line="240" w:lineRule="auto" w:after="0"/>
      </w:pPr>
      <w:r>
        <w:rPr>
          <w:rFonts w:ascii="Consolas" w:hAnsi="Consolas"/>
          <w:color w:val="182844"/>
          <w:sz w:val="18"/>
        </w:rPr>
        <w:t xml:space="preserve"> UPDATE p SET Nombre=i.Nombre, Stock=i.Stock, Precio=i.Precio</w:t>
      </w:r>
    </w:p>
    <w:p>
      <w:pPr>
        <w:keepNext w:val="0"/>
        <w:spacing w:line="240" w:lineRule="auto" w:after="0"/>
      </w:pPr>
      <w:r>
        <w:rPr>
          <w:rFonts w:ascii="Consolas" w:hAnsi="Consolas"/>
          <w:color w:val="182844"/>
          <w:sz w:val="18"/>
        </w:rPr>
        <w:t xml:space="preserve"> FROM dbo.Productos p JOIN inserted i ON p.IdProducto=i.IdProducto;</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TRIGGER dbo.trg_Auditoria_ActualizarProducto ON dbo.Productos AFTER UPDATE</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 Condicional: no registrar una actualización sin cambios efectivos.</w:t>
      </w:r>
    </w:p>
    <w:p>
      <w:pPr>
        <w:keepNext w:val="0"/>
        <w:spacing w:line="240" w:lineRule="auto" w:after="0"/>
      </w:pPr>
      <w:r>
        <w:rPr>
          <w:rFonts w:ascii="Consolas" w:hAnsi="Consolas"/>
          <w:color w:val="182844"/>
          <w:sz w:val="18"/>
        </w:rPr>
        <w:t xml:space="preserve"> INSERT dbo.AuditoriaInventario(IdProducto,Accion)</w:t>
      </w:r>
    </w:p>
    <w:p>
      <w:pPr>
        <w:keepNext w:val="0"/>
        <w:spacing w:line="240" w:lineRule="auto" w:after="0"/>
      </w:pPr>
      <w:r>
        <w:rPr>
          <w:rFonts w:ascii="Consolas" w:hAnsi="Consolas"/>
          <w:color w:val="182844"/>
          <w:sz w:val="18"/>
        </w:rPr>
        <w:t xml:space="preserve"> SELECT i.IdProducto,'UPD' FROM inserted i JOIN deleted d ON i.IdProducto=d.IdProducto</w:t>
      </w:r>
    </w:p>
    <w:p>
      <w:pPr>
        <w:keepNext w:val="0"/>
        <w:spacing w:line="240" w:lineRule="auto" w:after="0"/>
      </w:pPr>
      <w:r>
        <w:rPr>
          <w:rFonts w:ascii="Consolas" w:hAnsi="Consolas"/>
          <w:color w:val="182844"/>
          <w:sz w:val="18"/>
        </w:rPr>
        <w:t xml:space="preserve"> WHERE i.Nombre&lt;&gt;d.Nombre OR i.Stock&lt;&gt;d.Stock OR i.Precio&lt;&gt;d.Precio;</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keepNext w:val="0"/>
        <w:spacing w:line="240" w:lineRule="auto" w:after="0"/>
      </w:pPr>
      <w:r>
        <w:rPr>
          <w:rFonts w:ascii="Consolas" w:hAnsi="Consolas"/>
          <w:color w:val="182844"/>
          <w:sz w:val="18"/>
        </w:rPr>
        <w:t>CREATE PROCEDURE dbo.sp_ConsultarInventarioCursor</w:t>
      </w:r>
    </w:p>
    <w:p>
      <w:pPr>
        <w:keepNext w:val="0"/>
        <w:spacing w:line="240" w:lineRule="auto" w:after="0"/>
      </w:pPr>
      <w:r>
        <w:rPr>
          <w:rFonts w:ascii="Consolas" w:hAnsi="Consolas"/>
          <w:color w:val="182844"/>
          <w:sz w:val="18"/>
        </w:rPr>
        <w:t>AS</w:t>
      </w:r>
    </w:p>
    <w:p>
      <w:pPr>
        <w:keepNext w:val="0"/>
        <w:spacing w:line="240" w:lineRule="auto" w:after="0"/>
      </w:pPr>
      <w:r>
        <w:rPr>
          <w:rFonts w:ascii="Consolas" w:hAnsi="Consolas"/>
          <w:color w:val="182844"/>
          <w:sz w:val="18"/>
        </w:rPr>
        <w:t>BEGIN</w:t>
      </w:r>
    </w:p>
    <w:p>
      <w:pPr>
        <w:keepNext w:val="0"/>
        <w:spacing w:line="240" w:lineRule="auto" w:after="0"/>
      </w:pPr>
      <w:r>
        <w:rPr>
          <w:rFonts w:ascii="Consolas" w:hAnsi="Consolas"/>
          <w:color w:val="182844"/>
          <w:sz w:val="18"/>
        </w:rPr>
        <w:t xml:space="preserve"> SET NOCOUNT ON;</w:t>
      </w:r>
    </w:p>
    <w:p>
      <w:pPr>
        <w:keepNext w:val="0"/>
        <w:spacing w:line="240" w:lineRule="auto" w:after="0"/>
      </w:pPr>
      <w:r>
        <w:rPr>
          <w:rFonts w:ascii="Consolas" w:hAnsi="Consolas"/>
          <w:color w:val="182844"/>
          <w:sz w:val="18"/>
        </w:rPr>
        <w:t xml:space="preserve"> DECLARE @Id INT,@Nombre NVARCHAR(100),@Stock INT;</w:t>
      </w:r>
    </w:p>
    <w:p>
      <w:pPr>
        <w:keepNext w:val="0"/>
        <w:spacing w:line="240" w:lineRule="auto" w:after="0"/>
      </w:pPr>
      <w:r>
        <w:rPr>
          <w:rFonts w:ascii="Consolas" w:hAnsi="Consolas"/>
          <w:color w:val="182844"/>
          <w:sz w:val="18"/>
        </w:rPr>
        <w:t xml:space="preserve"> -- Demostración académica de recorrido. Para listar inventario se prefiere SELECT.</w:t>
      </w:r>
    </w:p>
    <w:p>
      <w:pPr>
        <w:keepNext w:val="0"/>
        <w:spacing w:line="240" w:lineRule="auto" w:after="0"/>
      </w:pPr>
      <w:r>
        <w:rPr>
          <w:rFonts w:ascii="Consolas" w:hAnsi="Consolas"/>
          <w:color w:val="182844"/>
          <w:sz w:val="18"/>
        </w:rPr>
        <w:t xml:space="preserve"> DECLARE inventario CURSOR LOCAL FAST_FORWARD FOR</w:t>
      </w:r>
    </w:p>
    <w:p>
      <w:pPr>
        <w:keepNext w:val="0"/>
        <w:spacing w:line="240" w:lineRule="auto" w:after="0"/>
      </w:pPr>
      <w:r>
        <w:rPr>
          <w:rFonts w:ascii="Consolas" w:hAnsi="Consolas"/>
          <w:color w:val="182844"/>
          <w:sz w:val="18"/>
        </w:rPr>
        <w:t xml:space="preserve"> SELECT IdProducto,Nombre,Stock FROM dbo.Productos ORDER BY IdProducto;</w:t>
      </w:r>
    </w:p>
    <w:p>
      <w:pPr>
        <w:keepNext w:val="0"/>
        <w:spacing w:line="240" w:lineRule="auto" w:after="0"/>
      </w:pPr>
      <w:r>
        <w:rPr>
          <w:rFonts w:ascii="Consolas" w:hAnsi="Consolas"/>
          <w:color w:val="182844"/>
          <w:sz w:val="18"/>
        </w:rPr>
        <w:t xml:space="preserve"> BEGIN TRY</w:t>
      </w:r>
    </w:p>
    <w:p>
      <w:pPr>
        <w:keepNext w:val="0"/>
        <w:spacing w:line="240" w:lineRule="auto" w:after="0"/>
      </w:pPr>
      <w:r>
        <w:rPr>
          <w:rFonts w:ascii="Consolas" w:hAnsi="Consolas"/>
          <w:color w:val="182844"/>
          <w:sz w:val="18"/>
        </w:rPr>
        <w:t xml:space="preserve">  OPEN inventario;</w:t>
      </w:r>
    </w:p>
    <w:p>
      <w:pPr>
        <w:keepNext w:val="0"/>
        <w:spacing w:line="240" w:lineRule="auto" w:after="0"/>
      </w:pPr>
      <w:r>
        <w:rPr>
          <w:rFonts w:ascii="Consolas" w:hAnsi="Consolas"/>
          <w:color w:val="182844"/>
          <w:sz w:val="18"/>
        </w:rPr>
        <w:t xml:space="preserve">  FETCH NEXT FROM inventario INTO @Id,@Nombre,@Stock;</w:t>
      </w:r>
    </w:p>
    <w:p>
      <w:pPr>
        <w:keepNext w:val="0"/>
        <w:spacing w:line="240" w:lineRule="auto" w:after="0"/>
      </w:pPr>
      <w:r>
        <w:rPr>
          <w:rFonts w:ascii="Consolas" w:hAnsi="Consolas"/>
          <w:color w:val="182844"/>
          <w:sz w:val="18"/>
        </w:rPr>
        <w:t xml:space="preserve">  WHILE @@FETCH_STATUS=0</w:t>
      </w:r>
    </w:p>
    <w:p>
      <w:pPr>
        <w:keepNext w:val="0"/>
        <w:spacing w:line="240" w:lineRule="auto" w:after="0"/>
      </w:pPr>
      <w:r>
        <w:rPr>
          <w:rFonts w:ascii="Consolas" w:hAnsi="Consolas"/>
          <w:color w:val="182844"/>
          <w:sz w:val="18"/>
        </w:rPr>
        <w:t xml:space="preserve">  BEGIN</w:t>
      </w:r>
    </w:p>
    <w:p>
      <w:pPr>
        <w:keepNext w:val="0"/>
        <w:spacing w:line="240" w:lineRule="auto" w:after="0"/>
      </w:pPr>
      <w:r>
        <w:rPr>
          <w:rFonts w:ascii="Consolas" w:hAnsi="Consolas"/>
          <w:color w:val="182844"/>
          <w:sz w:val="18"/>
        </w:rPr>
        <w:t xml:space="preserve">   PRINT CONCAT('ID=',@Id,'; Nombre=',@Nombre,'; Stock=',@Stock);</w:t>
      </w:r>
    </w:p>
    <w:p>
      <w:pPr>
        <w:keepNext w:val="0"/>
        <w:spacing w:line="240" w:lineRule="auto" w:after="0"/>
      </w:pPr>
      <w:r>
        <w:rPr>
          <w:rFonts w:ascii="Consolas" w:hAnsi="Consolas"/>
          <w:color w:val="182844"/>
          <w:sz w:val="18"/>
        </w:rPr>
        <w:t xml:space="preserve">   FETCH NEXT FROM inventario INTO @Id,@Nombre,@Stock;</w:t>
      </w:r>
    </w:p>
    <w:p>
      <w:pPr>
        <w:keepNext w:val="0"/>
        <w:spacing w:line="240" w:lineRule="auto" w:after="0"/>
      </w:pPr>
      <w:r>
        <w:rPr>
          <w:rFonts w:ascii="Consolas" w:hAnsi="Consolas"/>
          <w:color w:val="182844"/>
          <w:sz w:val="18"/>
        </w:rPr>
        <w:t xml:space="preserve">  END;</w:t>
      </w:r>
    </w:p>
    <w:p>
      <w:pPr>
        <w:keepNext w:val="0"/>
        <w:spacing w:line="240" w:lineRule="auto" w:after="0"/>
      </w:pPr>
      <w:r>
        <w:rPr>
          <w:rFonts w:ascii="Consolas" w:hAnsi="Consolas"/>
          <w:color w:val="182844"/>
          <w:sz w:val="18"/>
        </w:rPr>
        <w:t xml:space="preserve">  CLOSE inventario;</w:t>
      </w:r>
    </w:p>
    <w:p>
      <w:pPr>
        <w:keepNext w:val="0"/>
        <w:spacing w:line="240" w:lineRule="auto" w:after="0"/>
      </w:pPr>
      <w:r>
        <w:rPr>
          <w:rFonts w:ascii="Consolas" w:hAnsi="Consolas"/>
          <w:color w:val="182844"/>
          <w:sz w:val="18"/>
        </w:rPr>
        <w:t xml:space="preserve">  DEALLOCATE inventario;</w:t>
      </w:r>
    </w:p>
    <w:p>
      <w:pPr>
        <w:keepNext w:val="0"/>
        <w:spacing w:line="240" w:lineRule="auto" w:after="0"/>
      </w:pPr>
      <w:r>
        <w:rPr>
          <w:rFonts w:ascii="Consolas" w:hAnsi="Consolas"/>
          <w:color w:val="182844"/>
          <w:sz w:val="18"/>
        </w:rPr>
        <w:t xml:space="preserve"> END TRY</w:t>
      </w:r>
    </w:p>
    <w:p>
      <w:pPr>
        <w:keepNext w:val="0"/>
        <w:spacing w:line="240" w:lineRule="auto" w:after="0"/>
      </w:pPr>
      <w:r>
        <w:rPr>
          <w:rFonts w:ascii="Consolas" w:hAnsi="Consolas"/>
          <w:color w:val="182844"/>
          <w:sz w:val="18"/>
        </w:rPr>
        <w:t xml:space="preserve"> BEGIN CATCH</w:t>
      </w:r>
    </w:p>
    <w:p>
      <w:pPr>
        <w:keepNext w:val="0"/>
        <w:spacing w:line="240" w:lineRule="auto" w:after="0"/>
      </w:pPr>
      <w:r>
        <w:rPr>
          <w:rFonts w:ascii="Consolas" w:hAnsi="Consolas"/>
          <w:color w:val="182844"/>
          <w:sz w:val="18"/>
        </w:rPr>
        <w:t xml:space="preserve">  IF CURSOR_STATUS('local','inventario')&gt;=0 CLOSE inventario;</w:t>
      </w:r>
    </w:p>
    <w:p>
      <w:pPr>
        <w:keepNext w:val="0"/>
        <w:spacing w:line="240" w:lineRule="auto" w:after="0"/>
      </w:pPr>
      <w:r>
        <w:rPr>
          <w:rFonts w:ascii="Consolas" w:hAnsi="Consolas"/>
          <w:color w:val="182844"/>
          <w:sz w:val="18"/>
        </w:rPr>
        <w:t xml:space="preserve">  IF CURSOR_STATUS('local','inventario')&gt;=-1 DEALLOCATE inventario;</w:t>
      </w:r>
    </w:p>
    <w:p>
      <w:pPr>
        <w:keepNext w:val="0"/>
        <w:spacing w:line="240" w:lineRule="auto" w:after="0"/>
      </w:pPr>
      <w:r>
        <w:rPr>
          <w:rFonts w:ascii="Consolas" w:hAnsi="Consolas"/>
          <w:color w:val="182844"/>
          <w:sz w:val="18"/>
        </w:rPr>
        <w:t xml:space="preserve">  THROW;</w:t>
      </w:r>
    </w:p>
    <w:p>
      <w:pPr>
        <w:keepNext w:val="0"/>
        <w:spacing w:line="240" w:lineRule="auto" w:after="0"/>
      </w:pPr>
      <w:r>
        <w:rPr>
          <w:rFonts w:ascii="Consolas" w:hAnsi="Consolas"/>
          <w:color w:val="182844"/>
          <w:sz w:val="18"/>
        </w:rPr>
        <w:t xml:space="preserve"> END CATCH</w:t>
      </w:r>
    </w:p>
    <w:p>
      <w:pPr>
        <w:keepNext w:val="0"/>
        <w:spacing w:line="240" w:lineRule="auto" w:after="0"/>
      </w:pPr>
      <w:r>
        <w:rPr>
          <w:rFonts w:ascii="Consolas" w:hAnsi="Consolas"/>
          <w:color w:val="182844"/>
          <w:sz w:val="18"/>
        </w:rPr>
        <w:t>END;</w:t>
      </w:r>
    </w:p>
    <w:p>
      <w:pPr>
        <w:keepNext w:val="0"/>
        <w:spacing w:line="240" w:lineRule="auto" w:after="0"/>
      </w:pPr>
      <w:r>
        <w:rPr>
          <w:rFonts w:ascii="Consolas" w:hAnsi="Consolas"/>
          <w:color w:val="182844"/>
          <w:sz w:val="18"/>
        </w:rPr>
        <w:t>GO</w:t>
      </w:r>
    </w:p>
    <w:p>
      <w:pPr>
        <w:pStyle w:val="Ttulo1"/>
        <w:keepNext/>
        <w:pageBreakBefore/>
        <w:spacing w:after="120"/>
      </w:pPr>
      <w:r>
        <w:t>Anexo de evidencias</w:t>
      </w:r>
    </w:p>
    <w:p>
      <w:pPr>
        <w:spacing w:after="120"/>
      </w:pPr>
      <w:r>
        <w:t>Las siguientes capturas muestran las pruebas principales. Cada figura conserva el ID del registro Fxx y, cuando corresponde, se divide en partes. Son capturas de un visor local de resultados de SQL Server obtenidas el 9 de octubre de 2026 a partir de la ejecución del 8 de octubre. Se eliminaron únicamente los márgenes vacíos de las copias para lectura; las capturas completas se conservaron.</w:t>
      </w:r>
    </w:p>
    <w:p>
      <w:pPr>
        <w:spacing w:after="120"/>
      </w:pPr>
      <w:r>
        <w:t>El registro de evidencias contiene 35 conjuntos y 57 capturas paginadas de la serie inicial. La matriz de verificación documenta también las pruebas complementarias que no se repiten como imágenes en este anexo. El repositorio del proyecto conserva el registro completo, los archivos SQL y todas las capturas.</w:t>
      </w:r>
    </w:p>
    <w:p>
      <w:pPr>
        <w:pStyle w:val="Ttulo2"/>
        <w:keepNext/>
        <w:pageBreakBefore/>
        <w:spacing w:after="120"/>
      </w:pPr>
      <w:r>
        <w:t>Figura 1 Alta de producto y auditoría INS</w:t>
      </w:r>
    </w:p>
    <w:p>
      <w:pPr>
        <w:keepNext/>
        <w:spacing w:after="120"/>
      </w:pPr>
      <w:r>
        <w:rPr>
          <w:sz w:val="20"/>
        </w:rPr>
        <w:t>Tablas vacías antes de la operación; producto ID 1 y registro INS después.</w:t>
      </w:r>
    </w:p>
    <w:p>
      <w:pPr>
        <w:keepNext/>
        <w:spacing w:after="80" w:line="240" w:lineRule="auto"/>
        <w:jc w:val="center"/>
      </w:pPr>
      <w:r>
        <w:drawing>
          <wp:inline xmlns:a="http://schemas.openxmlformats.org/drawingml/2006/main" xmlns:pic="http://schemas.openxmlformats.org/drawingml/2006/picture">
            <wp:extent cx="4980287" cy="5508000"/>
            <wp:docPr id="20" name="Picture 20" descr="Alta de producto y auditoría INS. Parte 1 de 1."/>
            <wp:cNvGraphicFramePr>
              <a:graphicFrameLocks noChangeAspect="1"/>
            </wp:cNvGraphicFramePr>
            <a:graphic>
              <a:graphicData uri="http://schemas.openxmlformats.org/drawingml/2006/picture">
                <pic:pic>
                  <pic:nvPicPr>
                    <pic:cNvPr id="0" name="F07_Alta_antes_ejecucion_despues_P01.jpg"/>
                    <pic:cNvPicPr/>
                  </pic:nvPicPr>
                  <pic:blipFill>
                    <a:blip r:embed="rId17"/>
                    <a:stretch>
                      <a:fillRect/>
                    </a:stretch>
                  </pic:blipFill>
                  <pic:spPr>
                    <a:xfrm>
                      <a:off x="0" y="0"/>
                      <a:ext cx="4980287" cy="5508000"/>
                    </a:xfrm>
                    <a:prstGeom prst="rect"/>
                  </pic:spPr>
                </pic:pic>
              </a:graphicData>
            </a:graphic>
          </wp:inline>
        </w:drawing>
      </w:r>
    </w:p>
    <w:p>
      <w:pPr>
        <w:spacing w:after="120" w:line="264" w:lineRule="auto"/>
        <w:jc w:val="left"/>
      </w:pPr>
      <w:r>
        <w:rPr>
          <w:sz w:val="18"/>
        </w:rPr>
        <w:t>Figura 1. Alta de producto y auditoría INS. Evidencia F07, parte 1/1. Fuente: ejecución SQL del 8 de octubre de 2026, visor local capturado el 9 de octubre de 2026.</w:t>
      </w:r>
    </w:p>
    <w:p>
      <w:pPr>
        <w:pStyle w:val="Ttulo2"/>
        <w:keepNext/>
        <w:pageBreakBefore/>
        <w:spacing w:after="120"/>
      </w:pPr>
      <w:r>
        <w:t>Figura 2 Baja de producto y auditoría DEL</w:t>
      </w:r>
    </w:p>
    <w:p>
      <w:pPr>
        <w:keepNext/>
        <w:spacing w:after="120"/>
      </w:pPr>
      <w:r>
        <w:rPr>
          <w:sz w:val="20"/>
        </w:rPr>
        <w:t>El producto ID 1 desaparece y su historial INS y DEL permanece.</w:t>
      </w:r>
    </w:p>
    <w:p>
      <w:pPr>
        <w:keepNext/>
        <w:spacing w:after="80" w:line="240" w:lineRule="auto"/>
        <w:jc w:val="center"/>
      </w:pPr>
      <w:r>
        <w:drawing>
          <wp:inline xmlns:a="http://schemas.openxmlformats.org/drawingml/2006/main" xmlns:pic="http://schemas.openxmlformats.org/drawingml/2006/picture">
            <wp:extent cx="4686450" cy="5508000"/>
            <wp:docPr id="21" name="Picture 21" descr="Baja de producto y auditoría DEL. Parte 1 de 1."/>
            <wp:cNvGraphicFramePr>
              <a:graphicFrameLocks noChangeAspect="1"/>
            </wp:cNvGraphicFramePr>
            <a:graphic>
              <a:graphicData uri="http://schemas.openxmlformats.org/drawingml/2006/picture">
                <pic:pic>
                  <pic:nvPicPr>
                    <pic:cNvPr id="0" name="F08_Baja_antes_ejecucion_despues_P01.jpg"/>
                    <pic:cNvPicPr/>
                  </pic:nvPicPr>
                  <pic:blipFill>
                    <a:blip r:embed="rId18"/>
                    <a:stretch>
                      <a:fillRect/>
                    </a:stretch>
                  </pic:blipFill>
                  <pic:spPr>
                    <a:xfrm>
                      <a:off x="0" y="0"/>
                      <a:ext cx="4686450" cy="5508000"/>
                    </a:xfrm>
                    <a:prstGeom prst="rect"/>
                  </pic:spPr>
                </pic:pic>
              </a:graphicData>
            </a:graphic>
          </wp:inline>
        </w:drawing>
      </w:r>
    </w:p>
    <w:p>
      <w:pPr>
        <w:spacing w:after="120" w:line="264" w:lineRule="auto"/>
        <w:jc w:val="left"/>
      </w:pPr>
      <w:r>
        <w:rPr>
          <w:sz w:val="18"/>
        </w:rPr>
        <w:t>Figura 2. Baja de producto y auditoría DEL. Evidencia F08, parte 1/1. Fuente: ejecución SQL del 8 de octubre de 2026, visor local capturado el 9 de octubre de 2026.</w:t>
      </w:r>
    </w:p>
    <w:p>
      <w:pPr>
        <w:pStyle w:val="Ttulo2"/>
        <w:keepNext/>
        <w:pageBreakBefore/>
        <w:spacing w:after="120"/>
      </w:pPr>
      <w:r>
        <w:t>Figura 3 Baja con identificador inexistente</w:t>
      </w:r>
    </w:p>
    <w:p>
      <w:pPr>
        <w:keepNext/>
        <w:spacing w:after="120"/>
      </w:pPr>
      <w:r>
        <w:rPr>
          <w:sz w:val="20"/>
        </w:rPr>
        <w:t>El ID consultado no existe; el mensaje y la auditoría confirman la ausencia de cambios.</w:t>
      </w:r>
    </w:p>
    <w:p>
      <w:pPr>
        <w:keepNext/>
        <w:spacing w:after="80" w:line="240" w:lineRule="auto"/>
        <w:jc w:val="center"/>
      </w:pPr>
      <w:r>
        <w:drawing>
          <wp:inline xmlns:a="http://schemas.openxmlformats.org/drawingml/2006/main" xmlns:pic="http://schemas.openxmlformats.org/drawingml/2006/picture">
            <wp:extent cx="4980287" cy="5508000"/>
            <wp:docPr id="22" name="Picture 22" descr="Baja con identificador inexistente. Parte 1 de 1."/>
            <wp:cNvGraphicFramePr>
              <a:graphicFrameLocks noChangeAspect="1"/>
            </wp:cNvGraphicFramePr>
            <a:graphic>
              <a:graphicData uri="http://schemas.openxmlformats.org/drawingml/2006/picture">
                <pic:pic>
                  <pic:nvPicPr>
                    <pic:cNvPr id="0" name="F09_Baja_ID_inexistente_P01.jpg"/>
                    <pic:cNvPicPr/>
                  </pic:nvPicPr>
                  <pic:blipFill>
                    <a:blip r:embed="rId19"/>
                    <a:stretch>
                      <a:fillRect/>
                    </a:stretch>
                  </pic:blipFill>
                  <pic:spPr>
                    <a:xfrm>
                      <a:off x="0" y="0"/>
                      <a:ext cx="4980287" cy="5508000"/>
                    </a:xfrm>
                    <a:prstGeom prst="rect"/>
                  </pic:spPr>
                </pic:pic>
              </a:graphicData>
            </a:graphic>
          </wp:inline>
        </w:drawing>
      </w:r>
    </w:p>
    <w:p>
      <w:pPr>
        <w:spacing w:after="120" w:line="264" w:lineRule="auto"/>
        <w:jc w:val="left"/>
      </w:pPr>
      <w:r>
        <w:rPr>
          <w:sz w:val="18"/>
        </w:rPr>
        <w:t>Figura 3. Baja con identificador inexistente. Evidencia F09, parte 1/1. Fuente: ejecución SQL del 8 de octubre de 2026, visor local capturado el 9 de octubre de 2026.</w:t>
      </w:r>
    </w:p>
    <w:p>
      <w:pPr>
        <w:pStyle w:val="Ttulo2"/>
        <w:keepNext/>
        <w:pageBreakBefore/>
        <w:spacing w:after="120"/>
      </w:pPr>
      <w:r>
        <w:t>Figura 4 Verificación de triggers</w:t>
      </w:r>
    </w:p>
    <w:p>
      <w:pPr>
        <w:keepNext/>
        <w:spacing w:after="120"/>
      </w:pPr>
      <w:r>
        <w:rPr>
          <w:sz w:val="20"/>
        </w:rPr>
        <w:t>sp_helptrigger informa los cuatro triggers y sus eventos.</w:t>
      </w:r>
    </w:p>
    <w:p>
      <w:pPr>
        <w:keepNext/>
        <w:spacing w:after="80" w:line="240" w:lineRule="auto"/>
        <w:jc w:val="center"/>
      </w:pPr>
      <w:r>
        <w:drawing>
          <wp:inline xmlns:a="http://schemas.openxmlformats.org/drawingml/2006/main" xmlns:pic="http://schemas.openxmlformats.org/drawingml/2006/picture">
            <wp:extent cx="5652000" cy="3955152"/>
            <wp:docPr id="23" name="Picture 23" descr="Verificación de triggers. Parte 1 de 1."/>
            <wp:cNvGraphicFramePr>
              <a:graphicFrameLocks noChangeAspect="1"/>
            </wp:cNvGraphicFramePr>
            <a:graphic>
              <a:graphicData uri="http://schemas.openxmlformats.org/drawingml/2006/picture">
                <pic:pic>
                  <pic:nvPicPr>
                    <pic:cNvPr id="0" name="F10_Triggers_registrados_P01.jpg"/>
                    <pic:cNvPicPr/>
                  </pic:nvPicPr>
                  <pic:blipFill>
                    <a:blip r:embed="rId20"/>
                    <a:stretch>
                      <a:fillRect/>
                    </a:stretch>
                  </pic:blipFill>
                  <pic:spPr>
                    <a:xfrm>
                      <a:off x="0" y="0"/>
                      <a:ext cx="5652000" cy="3955152"/>
                    </a:xfrm>
                    <a:prstGeom prst="rect"/>
                  </pic:spPr>
                </pic:pic>
              </a:graphicData>
            </a:graphic>
          </wp:inline>
        </w:drawing>
      </w:r>
    </w:p>
    <w:p>
      <w:pPr>
        <w:spacing w:after="120" w:line="264" w:lineRule="auto"/>
        <w:jc w:val="left"/>
      </w:pPr>
      <w:r>
        <w:rPr>
          <w:sz w:val="18"/>
        </w:rPr>
        <w:t>Figura 4. Verificación de triggers. Evidencia F10, parte 1/1. Fuente: ejecución SQL del 8 de octubre de 2026, visor local capturado el 9 de octubre de 2026.</w:t>
      </w:r>
    </w:p>
    <w:p>
      <w:pPr>
        <w:pStyle w:val="Ttulo2"/>
        <w:keepNext/>
        <w:pageBreakBefore/>
        <w:spacing w:after="120"/>
      </w:pPr>
      <w:r>
        <w:t>Figura 5 Excepciones de alta y baja</w:t>
      </w:r>
    </w:p>
    <w:p>
      <w:pPr>
        <w:keepNext/>
        <w:spacing w:after="120"/>
      </w:pPr>
      <w:r>
        <w:rPr>
          <w:sz w:val="20"/>
        </w:rPr>
        <w:t>Stock negativo e ID negativo rechazados; se muestran los mensajes y el estado posterior.</w:t>
      </w:r>
    </w:p>
    <w:p>
      <w:pPr>
        <w:keepNext/>
        <w:spacing w:after="80" w:line="240" w:lineRule="auto"/>
        <w:jc w:val="center"/>
      </w:pPr>
      <w:r>
        <w:drawing>
          <wp:inline xmlns:a="http://schemas.openxmlformats.org/drawingml/2006/main" xmlns:pic="http://schemas.openxmlformats.org/drawingml/2006/picture">
            <wp:extent cx="4612059" cy="5508000"/>
            <wp:docPr id="24" name="Picture 24" descr="Excepciones de alta y baja. Parte 1 de 2."/>
            <wp:cNvGraphicFramePr>
              <a:graphicFrameLocks noChangeAspect="1"/>
            </wp:cNvGraphicFramePr>
            <a:graphic>
              <a:graphicData uri="http://schemas.openxmlformats.org/drawingml/2006/picture">
                <pic:pic>
                  <pic:nvPicPr>
                    <pic:cNvPr id="0" name="F13_Excepciones_alta_y_baja_P01.jpg"/>
                    <pic:cNvPicPr/>
                  </pic:nvPicPr>
                  <pic:blipFill>
                    <a:blip r:embed="rId21"/>
                    <a:stretch>
                      <a:fillRect/>
                    </a:stretch>
                  </pic:blipFill>
                  <pic:spPr>
                    <a:xfrm>
                      <a:off x="0" y="0"/>
                      <a:ext cx="4612059" cy="5508000"/>
                    </a:xfrm>
                    <a:prstGeom prst="rect"/>
                  </pic:spPr>
                </pic:pic>
              </a:graphicData>
            </a:graphic>
          </wp:inline>
        </w:drawing>
      </w:r>
    </w:p>
    <w:p>
      <w:pPr>
        <w:spacing w:after="120" w:line="264" w:lineRule="auto"/>
        <w:jc w:val="left"/>
      </w:pPr>
      <w:r>
        <w:rPr>
          <w:sz w:val="18"/>
        </w:rPr>
        <w:t>Figura 5. Excepciones de alta y baja. Evidencia F13, parte 1/2. Fuente: ejecución SQL del 8 de octubre de 2026, visor local capturado el 9 de octubre de 2026.</w:t>
      </w:r>
    </w:p>
    <w:p>
      <w:pPr>
        <w:pStyle w:val="Ttulo2"/>
        <w:keepNext/>
        <w:pageBreakBefore/>
        <w:spacing w:after="120"/>
      </w:pPr>
      <w:r>
        <w:t>Figura 5 Excepciones de alta y baja</w:t>
      </w:r>
    </w:p>
    <w:p>
      <w:pPr>
        <w:keepNext/>
        <w:spacing w:after="120"/>
      </w:pPr>
      <w:r>
        <w:rPr>
          <w:sz w:val="20"/>
        </w:rPr>
        <w:t>Stock negativo e ID negativo rechazados; se muestran los mensajes y el estado posterior.</w:t>
      </w:r>
    </w:p>
    <w:p>
      <w:pPr>
        <w:keepNext/>
        <w:spacing w:after="80" w:line="240" w:lineRule="auto"/>
        <w:jc w:val="center"/>
      </w:pPr>
      <w:r>
        <w:drawing>
          <wp:inline xmlns:a="http://schemas.openxmlformats.org/drawingml/2006/main" xmlns:pic="http://schemas.openxmlformats.org/drawingml/2006/picture">
            <wp:extent cx="5652000" cy="4354411"/>
            <wp:docPr id="25" name="Picture 25" descr="Excepciones de alta y baja. Parte 2 de 2."/>
            <wp:cNvGraphicFramePr>
              <a:graphicFrameLocks noChangeAspect="1"/>
            </wp:cNvGraphicFramePr>
            <a:graphic>
              <a:graphicData uri="http://schemas.openxmlformats.org/drawingml/2006/picture">
                <pic:pic>
                  <pic:nvPicPr>
                    <pic:cNvPr id="0" name="F13_Excepciones_alta_y_baja_P02.jpg"/>
                    <pic:cNvPicPr/>
                  </pic:nvPicPr>
                  <pic:blipFill>
                    <a:blip r:embed="rId22"/>
                    <a:stretch>
                      <a:fillRect/>
                    </a:stretch>
                  </pic:blipFill>
                  <pic:spPr>
                    <a:xfrm>
                      <a:off x="0" y="0"/>
                      <a:ext cx="5652000" cy="4354411"/>
                    </a:xfrm>
                    <a:prstGeom prst="rect"/>
                  </pic:spPr>
                </pic:pic>
              </a:graphicData>
            </a:graphic>
          </wp:inline>
        </w:drawing>
      </w:r>
    </w:p>
    <w:p>
      <w:pPr>
        <w:spacing w:after="120" w:line="264" w:lineRule="auto"/>
        <w:jc w:val="left"/>
      </w:pPr>
      <w:r>
        <w:rPr>
          <w:sz w:val="18"/>
        </w:rPr>
        <w:t>Figura 5. Excepciones de alta y baja. Evidencia F13, parte 2/2. Fuente: ejecución SQL del 8 de octubre de 2026, visor local capturado el 9 de octubre de 2026.</w:t>
      </w:r>
    </w:p>
    <w:p>
      <w:pPr>
        <w:pStyle w:val="Ttulo2"/>
        <w:keepNext/>
        <w:pageBreakBefore/>
        <w:spacing w:after="120"/>
      </w:pPr>
      <w:r>
        <w:t>Figura 6 Inserción de varias filas</w:t>
      </w:r>
    </w:p>
    <w:p>
      <w:pPr>
        <w:keepNext/>
        <w:spacing w:after="120"/>
      </w:pPr>
      <w:r>
        <w:rPr>
          <w:sz w:val="20"/>
        </w:rPr>
        <w:t>Dos productos nuevos generan dos registros INS adicionales.</w:t>
      </w:r>
    </w:p>
    <w:p>
      <w:pPr>
        <w:keepNext/>
        <w:spacing w:after="80" w:line="240" w:lineRule="auto"/>
        <w:jc w:val="center"/>
      </w:pPr>
      <w:r>
        <w:drawing>
          <wp:inline xmlns:a="http://schemas.openxmlformats.org/drawingml/2006/main" xmlns:pic="http://schemas.openxmlformats.org/drawingml/2006/picture">
            <wp:extent cx="4908011" cy="5507999"/>
            <wp:docPr id="26" name="Picture 26" descr="Inserción de varias filas. Parte 1 de 1."/>
            <wp:cNvGraphicFramePr>
              <a:graphicFrameLocks noChangeAspect="1"/>
            </wp:cNvGraphicFramePr>
            <a:graphic>
              <a:graphicData uri="http://schemas.openxmlformats.org/drawingml/2006/picture">
                <pic:pic>
                  <pic:nvPicPr>
                    <pic:cNvPr id="0" name="F14_Insercion_multiple_P01.jpg"/>
                    <pic:cNvPicPr/>
                  </pic:nvPicPr>
                  <pic:blipFill>
                    <a:blip r:embed="rId23"/>
                    <a:stretch>
                      <a:fillRect/>
                    </a:stretch>
                  </pic:blipFill>
                  <pic:spPr>
                    <a:xfrm>
                      <a:off x="0" y="0"/>
                      <a:ext cx="4908011" cy="5507999"/>
                    </a:xfrm>
                    <a:prstGeom prst="rect"/>
                  </pic:spPr>
                </pic:pic>
              </a:graphicData>
            </a:graphic>
          </wp:inline>
        </w:drawing>
      </w:r>
    </w:p>
    <w:p>
      <w:pPr>
        <w:spacing w:after="120" w:line="264" w:lineRule="auto"/>
        <w:jc w:val="left"/>
      </w:pPr>
      <w:r>
        <w:rPr>
          <w:sz w:val="18"/>
        </w:rPr>
        <w:t>Figura 6. Inserción de varias filas. Evidencia F14, parte 1/1. Fuente: ejecución SQL del 8 de octubre de 2026, visor local capturado el 9 de octubre de 2026.</w:t>
      </w:r>
    </w:p>
    <w:p>
      <w:pPr>
        <w:pStyle w:val="Ttulo2"/>
        <w:keepNext/>
        <w:pageBreakBefore/>
        <w:spacing w:after="120"/>
      </w:pPr>
      <w:r>
        <w:t>Figura 7 Cursor con productos</w:t>
      </w:r>
    </w:p>
    <w:p>
      <w:pPr>
        <w:keepNext/>
        <w:spacing w:after="120"/>
      </w:pPr>
      <w:r>
        <w:rPr>
          <w:sz w:val="20"/>
        </w:rPr>
        <w:t>Se muestran los dos productos y sus stocks antes de actualizar.</w:t>
      </w:r>
    </w:p>
    <w:p>
      <w:pPr>
        <w:keepNext/>
        <w:spacing w:after="80" w:line="240" w:lineRule="auto"/>
        <w:jc w:val="center"/>
      </w:pPr>
      <w:r>
        <w:drawing>
          <wp:inline xmlns:a="http://schemas.openxmlformats.org/drawingml/2006/main" xmlns:pic="http://schemas.openxmlformats.org/drawingml/2006/picture">
            <wp:extent cx="5514079" cy="5508000"/>
            <wp:docPr id="27" name="Picture 27" descr="Cursor con productos. Parte 1 de 1."/>
            <wp:cNvGraphicFramePr>
              <a:graphicFrameLocks noChangeAspect="1"/>
            </wp:cNvGraphicFramePr>
            <a:graphic>
              <a:graphicData uri="http://schemas.openxmlformats.org/drawingml/2006/picture">
                <pic:pic>
                  <pic:nvPicPr>
                    <pic:cNvPr id="0" name="F15_Cursor_con_productos_P01.jpg"/>
                    <pic:cNvPicPr/>
                  </pic:nvPicPr>
                  <pic:blipFill>
                    <a:blip r:embed="rId24"/>
                    <a:stretch>
                      <a:fillRect/>
                    </a:stretch>
                  </pic:blipFill>
                  <pic:spPr>
                    <a:xfrm>
                      <a:off x="0" y="0"/>
                      <a:ext cx="5514079" cy="5508000"/>
                    </a:xfrm>
                    <a:prstGeom prst="rect"/>
                  </pic:spPr>
                </pic:pic>
              </a:graphicData>
            </a:graphic>
          </wp:inline>
        </w:drawing>
      </w:r>
    </w:p>
    <w:p>
      <w:pPr>
        <w:spacing w:after="120" w:line="264" w:lineRule="auto"/>
        <w:jc w:val="left"/>
      </w:pPr>
      <w:r>
        <w:rPr>
          <w:sz w:val="18"/>
        </w:rPr>
        <w:t>Figura 7. Cursor con productos. Evidencia F15, parte 1/1. Fuente: ejecución SQL del 8 de octubre de 2026, visor local capturado el 9 de octubre de 2026.</w:t>
      </w:r>
    </w:p>
    <w:p>
      <w:pPr>
        <w:pStyle w:val="Ttulo2"/>
        <w:keepNext/>
        <w:pageBreakBefore/>
        <w:spacing w:after="120"/>
      </w:pPr>
      <w:r>
        <w:t>Figura 8 Actualización válida</w:t>
      </w:r>
    </w:p>
    <w:p>
      <w:pPr>
        <w:keepNext/>
        <w:spacing w:after="120"/>
      </w:pPr>
      <w:r>
        <w:rPr>
          <w:sz w:val="20"/>
        </w:rPr>
        <w:t>Los stocks pasan a 4 y 6; se registran dos acciones UPD.</w:t>
      </w:r>
    </w:p>
    <w:p>
      <w:pPr>
        <w:keepNext/>
        <w:spacing w:after="80" w:line="240" w:lineRule="auto"/>
        <w:jc w:val="center"/>
      </w:pPr>
      <w:r>
        <w:drawing>
          <wp:inline xmlns:a="http://schemas.openxmlformats.org/drawingml/2006/main" xmlns:pic="http://schemas.openxmlformats.org/drawingml/2006/picture">
            <wp:extent cx="4686450" cy="5508000"/>
            <wp:docPr id="28" name="Picture 28" descr="Actualización válida. Parte 1 de 2."/>
            <wp:cNvGraphicFramePr>
              <a:graphicFrameLocks noChangeAspect="1"/>
            </wp:cNvGraphicFramePr>
            <a:graphic>
              <a:graphicData uri="http://schemas.openxmlformats.org/drawingml/2006/picture">
                <pic:pic>
                  <pic:nvPicPr>
                    <pic:cNvPr id="0" name="F16_Actualizacion_valida_P01.jpg"/>
                    <pic:cNvPicPr/>
                  </pic:nvPicPr>
                  <pic:blipFill>
                    <a:blip r:embed="rId25"/>
                    <a:stretch>
                      <a:fillRect/>
                    </a:stretch>
                  </pic:blipFill>
                  <pic:spPr>
                    <a:xfrm>
                      <a:off x="0" y="0"/>
                      <a:ext cx="4686450" cy="5508000"/>
                    </a:xfrm>
                    <a:prstGeom prst="rect"/>
                  </pic:spPr>
                </pic:pic>
              </a:graphicData>
            </a:graphic>
          </wp:inline>
        </w:drawing>
      </w:r>
    </w:p>
    <w:p>
      <w:pPr>
        <w:spacing w:after="120" w:line="264" w:lineRule="auto"/>
        <w:jc w:val="left"/>
      </w:pPr>
      <w:r>
        <w:rPr>
          <w:sz w:val="18"/>
        </w:rPr>
        <w:t>Figura 8. Actualización válida. Evidencia F16, parte 1/2. Fuente: ejecución SQL del 8 de octubre de 2026, visor local capturado el 9 de octubre de 2026.</w:t>
      </w:r>
    </w:p>
    <w:p>
      <w:pPr>
        <w:pStyle w:val="Ttulo2"/>
        <w:keepNext/>
        <w:pageBreakBefore/>
        <w:spacing w:after="120"/>
      </w:pPr>
      <w:r>
        <w:t>Figura 8 Actualización válida</w:t>
      </w:r>
    </w:p>
    <w:p>
      <w:pPr>
        <w:keepNext/>
        <w:spacing w:after="120"/>
      </w:pPr>
      <w:r>
        <w:rPr>
          <w:sz w:val="20"/>
        </w:rPr>
        <w:t>Los stocks pasan a 4 y 6; se registran dos acciones UPD.</w:t>
      </w:r>
    </w:p>
    <w:p>
      <w:pPr>
        <w:keepNext/>
        <w:spacing w:after="80" w:line="240" w:lineRule="auto"/>
        <w:jc w:val="center"/>
      </w:pPr>
      <w:r>
        <w:drawing>
          <wp:inline xmlns:a="http://schemas.openxmlformats.org/drawingml/2006/main" xmlns:pic="http://schemas.openxmlformats.org/drawingml/2006/picture">
            <wp:extent cx="5652000" cy="2957007"/>
            <wp:docPr id="29" name="Picture 29" descr="Actualización válida. Parte 2 de 2."/>
            <wp:cNvGraphicFramePr>
              <a:graphicFrameLocks noChangeAspect="1"/>
            </wp:cNvGraphicFramePr>
            <a:graphic>
              <a:graphicData uri="http://schemas.openxmlformats.org/drawingml/2006/picture">
                <pic:pic>
                  <pic:nvPicPr>
                    <pic:cNvPr id="0" name="F16_Actualizacion_valida_P02.jpg"/>
                    <pic:cNvPicPr/>
                  </pic:nvPicPr>
                  <pic:blipFill>
                    <a:blip r:embed="rId26"/>
                    <a:stretch>
                      <a:fillRect/>
                    </a:stretch>
                  </pic:blipFill>
                  <pic:spPr>
                    <a:xfrm>
                      <a:off x="0" y="0"/>
                      <a:ext cx="5652000" cy="2957007"/>
                    </a:xfrm>
                    <a:prstGeom prst="rect"/>
                  </pic:spPr>
                </pic:pic>
              </a:graphicData>
            </a:graphic>
          </wp:inline>
        </w:drawing>
      </w:r>
    </w:p>
    <w:p>
      <w:pPr>
        <w:spacing w:after="120" w:line="264" w:lineRule="auto"/>
        <w:jc w:val="left"/>
      </w:pPr>
      <w:r>
        <w:rPr>
          <w:sz w:val="18"/>
        </w:rPr>
        <w:t>Figura 8. Actualización válida. Evidencia F16, parte 2/2. Fuente: ejecución SQL del 8 de octubre de 2026, visor local capturado el 9 de octubre de 2026.</w:t>
      </w:r>
    </w:p>
    <w:p>
      <w:pPr>
        <w:pStyle w:val="Ttulo2"/>
        <w:keepNext/>
        <w:pageBreakBefore/>
        <w:spacing w:after="120"/>
      </w:pPr>
      <w:r>
        <w:t>Figura 9 Actualización sin cambios</w:t>
      </w:r>
    </w:p>
    <w:p>
      <w:pPr>
        <w:keepNext/>
        <w:spacing w:after="120"/>
      </w:pPr>
      <w:r>
        <w:rPr>
          <w:sz w:val="20"/>
        </w:rPr>
        <w:t>Se mantienen los valores y no se agregan acciones UPD.</w:t>
      </w:r>
    </w:p>
    <w:p>
      <w:pPr>
        <w:keepNext/>
        <w:spacing w:after="80" w:line="240" w:lineRule="auto"/>
        <w:jc w:val="center"/>
      </w:pPr>
      <w:r>
        <w:drawing>
          <wp:inline xmlns:a="http://schemas.openxmlformats.org/drawingml/2006/main" xmlns:pic="http://schemas.openxmlformats.org/drawingml/2006/picture">
            <wp:extent cx="4826158" cy="5507999"/>
            <wp:docPr id="30" name="Picture 30" descr="Actualización sin cambios. Parte 1 de 2."/>
            <wp:cNvGraphicFramePr>
              <a:graphicFrameLocks noChangeAspect="1"/>
            </wp:cNvGraphicFramePr>
            <a:graphic>
              <a:graphicData uri="http://schemas.openxmlformats.org/drawingml/2006/picture">
                <pic:pic>
                  <pic:nvPicPr>
                    <pic:cNvPr id="0" name="F17_Actualizacion_sin_cambios_P01.jpg"/>
                    <pic:cNvPicPr/>
                  </pic:nvPicPr>
                  <pic:blipFill>
                    <a:blip r:embed="rId27"/>
                    <a:stretch>
                      <a:fillRect/>
                    </a:stretch>
                  </pic:blipFill>
                  <pic:spPr>
                    <a:xfrm>
                      <a:off x="0" y="0"/>
                      <a:ext cx="4826158" cy="5507999"/>
                    </a:xfrm>
                    <a:prstGeom prst="rect"/>
                  </pic:spPr>
                </pic:pic>
              </a:graphicData>
            </a:graphic>
          </wp:inline>
        </w:drawing>
      </w:r>
    </w:p>
    <w:p>
      <w:pPr>
        <w:spacing w:after="120" w:line="264" w:lineRule="auto"/>
        <w:jc w:val="left"/>
      </w:pPr>
      <w:r>
        <w:rPr>
          <w:sz w:val="18"/>
        </w:rPr>
        <w:t>Figura 9. Actualización sin cambios. Evidencia F17, parte 1/2. Fuente: ejecución SQL del 8 de octubre de 2026, visor local capturado el 9 de octubre de 2026.</w:t>
      </w:r>
    </w:p>
    <w:p>
      <w:pPr>
        <w:pStyle w:val="Ttulo2"/>
        <w:keepNext/>
        <w:pageBreakBefore/>
        <w:spacing w:after="120"/>
      </w:pPr>
      <w:r>
        <w:t>Figura 9 Actualización sin cambios</w:t>
      </w:r>
    </w:p>
    <w:p>
      <w:pPr>
        <w:keepNext/>
        <w:spacing w:after="120"/>
      </w:pPr>
      <w:r>
        <w:rPr>
          <w:sz w:val="20"/>
        </w:rPr>
        <w:t>Se mantienen los valores y no se agregan acciones UPD.</w:t>
      </w:r>
    </w:p>
    <w:p>
      <w:pPr>
        <w:keepNext/>
        <w:spacing w:after="80" w:line="240" w:lineRule="auto"/>
        <w:jc w:val="center"/>
      </w:pPr>
      <w:r>
        <w:drawing>
          <wp:inline xmlns:a="http://schemas.openxmlformats.org/drawingml/2006/main" xmlns:pic="http://schemas.openxmlformats.org/drawingml/2006/picture">
            <wp:extent cx="5652000" cy="3256450"/>
            <wp:docPr id="31" name="Picture 31" descr="Actualización sin cambios. Parte 2 de 2."/>
            <wp:cNvGraphicFramePr>
              <a:graphicFrameLocks noChangeAspect="1"/>
            </wp:cNvGraphicFramePr>
            <a:graphic>
              <a:graphicData uri="http://schemas.openxmlformats.org/drawingml/2006/picture">
                <pic:pic>
                  <pic:nvPicPr>
                    <pic:cNvPr id="0" name="F17_Actualizacion_sin_cambios_P02.jpg"/>
                    <pic:cNvPicPr/>
                  </pic:nvPicPr>
                  <pic:blipFill>
                    <a:blip r:embed="rId28"/>
                    <a:stretch>
                      <a:fillRect/>
                    </a:stretch>
                  </pic:blipFill>
                  <pic:spPr>
                    <a:xfrm>
                      <a:off x="0" y="0"/>
                      <a:ext cx="5652000" cy="3256450"/>
                    </a:xfrm>
                    <a:prstGeom prst="rect"/>
                  </pic:spPr>
                </pic:pic>
              </a:graphicData>
            </a:graphic>
          </wp:inline>
        </w:drawing>
      </w:r>
    </w:p>
    <w:p>
      <w:pPr>
        <w:spacing w:after="120" w:line="264" w:lineRule="auto"/>
        <w:jc w:val="left"/>
      </w:pPr>
      <w:r>
        <w:rPr>
          <w:sz w:val="18"/>
        </w:rPr>
        <w:t>Figura 9. Actualización sin cambios. Evidencia F17, parte 2/2. Fuente: ejecución SQL del 8 de octubre de 2026, visor local capturado el 9 de octubre de 2026.</w:t>
      </w:r>
    </w:p>
    <w:p>
      <w:pPr>
        <w:pStyle w:val="Ttulo2"/>
        <w:keepNext/>
        <w:pageBreakBefore/>
        <w:spacing w:after="120"/>
      </w:pPr>
      <w:r>
        <w:t>Figura 10 Actualización rechazada</w:t>
      </w:r>
    </w:p>
    <w:p>
      <w:pPr>
        <w:keepNext/>
        <w:spacing w:after="120"/>
      </w:pPr>
      <w:r>
        <w:rPr>
          <w:sz w:val="20"/>
        </w:rPr>
        <w:t>El stock negativo genera un error y conserva los datos válidos.</w:t>
      </w:r>
    </w:p>
    <w:p>
      <w:pPr>
        <w:keepNext/>
        <w:spacing w:after="80" w:line="240" w:lineRule="auto"/>
        <w:jc w:val="center"/>
      </w:pPr>
      <w:r>
        <w:drawing>
          <wp:inline xmlns:a="http://schemas.openxmlformats.org/drawingml/2006/main" xmlns:pic="http://schemas.openxmlformats.org/drawingml/2006/picture">
            <wp:extent cx="4686450" cy="5508000"/>
            <wp:docPr id="32" name="Picture 32" descr="Actualización rechazada. Parte 1 de 2."/>
            <wp:cNvGraphicFramePr>
              <a:graphicFrameLocks noChangeAspect="1"/>
            </wp:cNvGraphicFramePr>
            <a:graphic>
              <a:graphicData uri="http://schemas.openxmlformats.org/drawingml/2006/picture">
                <pic:pic>
                  <pic:nvPicPr>
                    <pic:cNvPr id="0" name="F18_Actualizacion_invalida_P01.jpg"/>
                    <pic:cNvPicPr/>
                  </pic:nvPicPr>
                  <pic:blipFill>
                    <a:blip r:embed="rId29"/>
                    <a:stretch>
                      <a:fillRect/>
                    </a:stretch>
                  </pic:blipFill>
                  <pic:spPr>
                    <a:xfrm>
                      <a:off x="0" y="0"/>
                      <a:ext cx="4686450" cy="5508000"/>
                    </a:xfrm>
                    <a:prstGeom prst="rect"/>
                  </pic:spPr>
                </pic:pic>
              </a:graphicData>
            </a:graphic>
          </wp:inline>
        </w:drawing>
      </w:r>
    </w:p>
    <w:p>
      <w:pPr>
        <w:spacing w:after="120" w:line="264" w:lineRule="auto"/>
        <w:jc w:val="left"/>
      </w:pPr>
      <w:r>
        <w:rPr>
          <w:sz w:val="18"/>
        </w:rPr>
        <w:t>Figura 10. Actualización rechazada. Evidencia F18, parte 1/2. Fuente: ejecución SQL del 8 de octubre de 2026, visor local capturado el 9 de octubre de 2026.</w:t>
      </w:r>
    </w:p>
    <w:p>
      <w:pPr>
        <w:pStyle w:val="Ttulo2"/>
        <w:keepNext/>
        <w:pageBreakBefore/>
        <w:spacing w:after="120"/>
      </w:pPr>
      <w:r>
        <w:t>Figura 10 Actualización rechazada</w:t>
      </w:r>
    </w:p>
    <w:p>
      <w:pPr>
        <w:keepNext/>
        <w:spacing w:after="120"/>
      </w:pPr>
      <w:r>
        <w:rPr>
          <w:sz w:val="20"/>
        </w:rPr>
        <w:t>El stock negativo genera un error y conserva los datos válidos.</w:t>
      </w:r>
    </w:p>
    <w:p>
      <w:pPr>
        <w:keepNext/>
        <w:spacing w:after="80" w:line="240" w:lineRule="auto"/>
        <w:jc w:val="center"/>
      </w:pPr>
      <w:r>
        <w:drawing>
          <wp:inline xmlns:a="http://schemas.openxmlformats.org/drawingml/2006/main" xmlns:pic="http://schemas.openxmlformats.org/drawingml/2006/picture">
            <wp:extent cx="5652000" cy="4254596"/>
            <wp:docPr id="33" name="Picture 33" descr="Actualización rechazada. Parte 2 de 2."/>
            <wp:cNvGraphicFramePr>
              <a:graphicFrameLocks noChangeAspect="1"/>
            </wp:cNvGraphicFramePr>
            <a:graphic>
              <a:graphicData uri="http://schemas.openxmlformats.org/drawingml/2006/picture">
                <pic:pic>
                  <pic:nvPicPr>
                    <pic:cNvPr id="0" name="F18_Actualizacion_invalida_P02.jpg"/>
                    <pic:cNvPicPr/>
                  </pic:nvPicPr>
                  <pic:blipFill>
                    <a:blip r:embed="rId30"/>
                    <a:stretch>
                      <a:fillRect/>
                    </a:stretch>
                  </pic:blipFill>
                  <pic:spPr>
                    <a:xfrm>
                      <a:off x="0" y="0"/>
                      <a:ext cx="5652000" cy="4254596"/>
                    </a:xfrm>
                    <a:prstGeom prst="rect"/>
                  </pic:spPr>
                </pic:pic>
              </a:graphicData>
            </a:graphic>
          </wp:inline>
        </w:drawing>
      </w:r>
    </w:p>
    <w:p>
      <w:pPr>
        <w:spacing w:after="120" w:line="264" w:lineRule="auto"/>
        <w:jc w:val="left"/>
      </w:pPr>
      <w:r>
        <w:rPr>
          <w:sz w:val="18"/>
        </w:rPr>
        <w:t>Figura 10. Actualización rechazada. Evidencia F18, parte 2/2. Fuente: ejecución SQL del 8 de octubre de 2026, visor local capturado el 9 de octubre de 2026.</w:t>
      </w:r>
    </w:p>
    <w:p>
      <w:pPr>
        <w:pStyle w:val="Ttulo2"/>
        <w:keepNext/>
        <w:pageBreakBefore/>
        <w:spacing w:after="120"/>
      </w:pPr>
      <w:r>
        <w:t>Figura 11 Cursor con inventario vacío</w:t>
      </w:r>
    </w:p>
    <w:p>
      <w:pPr>
        <w:keepNext/>
        <w:spacing w:after="120"/>
      </w:pPr>
      <w:r>
        <w:rPr>
          <w:sz w:val="20"/>
        </w:rPr>
        <w:t>La consulta confirma cero productos; el cursor no emite mensajes de filas.</w:t>
      </w:r>
    </w:p>
    <w:p>
      <w:pPr>
        <w:keepNext/>
        <w:spacing w:after="80" w:line="240" w:lineRule="auto"/>
        <w:jc w:val="center"/>
      </w:pPr>
      <w:r>
        <w:drawing>
          <wp:inline xmlns:a="http://schemas.openxmlformats.org/drawingml/2006/main" xmlns:pic="http://schemas.openxmlformats.org/drawingml/2006/picture">
            <wp:extent cx="5144585" cy="5507999"/>
            <wp:docPr id="34" name="Picture 34" descr="Cursor con inventario vacío. Parte 1 de 1."/>
            <wp:cNvGraphicFramePr>
              <a:graphicFrameLocks noChangeAspect="1"/>
            </wp:cNvGraphicFramePr>
            <a:graphic>
              <a:graphicData uri="http://schemas.openxmlformats.org/drawingml/2006/picture">
                <pic:pic>
                  <pic:nvPicPr>
                    <pic:cNvPr id="0" name="F20_Cursor_sin_productos_P01.jpg"/>
                    <pic:cNvPicPr/>
                  </pic:nvPicPr>
                  <pic:blipFill>
                    <a:blip r:embed="rId31"/>
                    <a:stretch>
                      <a:fillRect/>
                    </a:stretch>
                  </pic:blipFill>
                  <pic:spPr>
                    <a:xfrm>
                      <a:off x="0" y="0"/>
                      <a:ext cx="5144585" cy="5507999"/>
                    </a:xfrm>
                    <a:prstGeom prst="rect"/>
                  </pic:spPr>
                </pic:pic>
              </a:graphicData>
            </a:graphic>
          </wp:inline>
        </w:drawing>
      </w:r>
    </w:p>
    <w:p>
      <w:pPr>
        <w:spacing w:after="120" w:line="264" w:lineRule="auto"/>
        <w:jc w:val="left"/>
      </w:pPr>
      <w:r>
        <w:rPr>
          <w:sz w:val="18"/>
        </w:rPr>
        <w:t>Figura 11. Cursor con inventario vacío. Evidencia F20, parte 1/1. Fuente: ejecución SQL del 8 de octubre de 2026, visor local capturado el 9 de octubre de 2026.</w:t>
      </w:r>
    </w:p>
    <w:p>
      <w:pPr>
        <w:pStyle w:val="Ttulo2"/>
        <w:keepNext/>
        <w:pageBreakBefore/>
        <w:spacing w:after="120"/>
      </w:pPr>
      <w:r>
        <w:t>Figura 12 Comprobación final</w:t>
      </w:r>
    </w:p>
    <w:p>
      <w:pPr>
        <w:keepNext/>
        <w:spacing w:after="120"/>
      </w:pPr>
      <w:r>
        <w:rPr>
          <w:sz w:val="20"/>
        </w:rPr>
        <w:t>La validación automática confirma cero productos, cuatro INS, cuatro DEL y dos UPD.</w:t>
      </w:r>
    </w:p>
    <w:p>
      <w:pPr>
        <w:keepNext/>
        <w:spacing w:after="80" w:line="240" w:lineRule="auto"/>
        <w:jc w:val="center"/>
      </w:pPr>
      <w:r>
        <w:drawing>
          <wp:inline xmlns:a="http://schemas.openxmlformats.org/drawingml/2006/main" xmlns:pic="http://schemas.openxmlformats.org/drawingml/2006/picture">
            <wp:extent cx="4511978" cy="5508000"/>
            <wp:docPr id="35" name="Picture 35" descr="Comprobación final. Parte 1 de 1."/>
            <wp:cNvGraphicFramePr>
              <a:graphicFrameLocks noChangeAspect="1"/>
            </wp:cNvGraphicFramePr>
            <a:graphic>
              <a:graphicData uri="http://schemas.openxmlformats.org/drawingml/2006/picture">
                <pic:pic>
                  <pic:nvPicPr>
                    <pic:cNvPr id="0" name="F35_Comprobacion_final_P01.jpg"/>
                    <pic:cNvPicPr/>
                  </pic:nvPicPr>
                  <pic:blipFill>
                    <a:blip r:embed="rId32"/>
                    <a:stretch>
                      <a:fillRect/>
                    </a:stretch>
                  </pic:blipFill>
                  <pic:spPr>
                    <a:xfrm>
                      <a:off x="0" y="0"/>
                      <a:ext cx="4511978" cy="5508000"/>
                    </a:xfrm>
                    <a:prstGeom prst="rect"/>
                  </pic:spPr>
                </pic:pic>
              </a:graphicData>
            </a:graphic>
          </wp:inline>
        </w:drawing>
      </w:r>
    </w:p>
    <w:p>
      <w:pPr>
        <w:spacing w:after="120" w:line="264" w:lineRule="auto"/>
        <w:jc w:val="left"/>
      </w:pPr>
      <w:r>
        <w:rPr>
          <w:sz w:val="18"/>
        </w:rPr>
        <w:t>Figura 12. Comprobación final. Evidencia F35, parte 1/1. Fuente: ejecución SQL del 8 de octubre de 2026, visor local capturado el 9 de octubre de 2026.</w:t>
      </w:r>
    </w:p>
    <w:sectPr w:rsidR="005D53D3" w:rsidRPr="00325C35" w:rsidSect="00641E85">
      <w:headerReference w:type="default" r:id="rId13"/>
      <w:footerReference w:type="default" r:id="rId14"/>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83425" w14:textId="77777777" w:rsidR="0026585F" w:rsidRDefault="0026585F" w:rsidP="00E36C24">
      <w:pPr>
        <w:spacing w:line="240" w:lineRule="auto"/>
      </w:pPr>
      <w:r>
        <w:separator/>
      </w:r>
    </w:p>
  </w:endnote>
  <w:endnote w:type="continuationSeparator" w:id="0">
    <w:p w14:paraId="279852BE" w14:textId="77777777" w:rsidR="0026585F" w:rsidRDefault="0026585F" w:rsidP="00E36C24">
      <w:pPr>
        <w:spacing w:line="240" w:lineRule="auto"/>
      </w:pPr>
      <w:r>
        <w:continuationSeparator/>
      </w:r>
    </w:p>
  </w:endnote>
  <w:endnote w:type="continuationNotice" w:id="1">
    <w:p w14:paraId="545C9D82" w14:textId="77777777" w:rsidR="0026585F" w:rsidRDefault="002658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panose1 w:val="020B0402020204020303"/>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panose1 w:val="020B0602020204020303"/>
    <w:charset w:val="00"/>
    <w:family w:val="swiss"/>
    <w:pitch w:val="variable"/>
    <w:sig w:usb0="00000087" w:usb1="00000000" w:usb2="00000000" w:usb3="00000000" w:csb0="0000001B" w:csb1="00000000"/>
  </w:font>
  <w:font w:name="Futura Hv BT">
    <w:panose1 w:val="020B0702020204020204"/>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panose1 w:val="020B0502040204020203"/>
    <w:charset w:val="00"/>
    <w:family w:val="swiss"/>
    <w:pitch w:val="variable"/>
    <w:sig w:usb0="E4002EFF" w:usb1="C000E47F" w:usb2="00000009" w:usb3="00000000" w:csb0="000001FF" w:csb1="00000000"/>
  </w:font>
  <w:font w:name="Futura Bk BT">
    <w:panose1 w:val="020B0502020204020303"/>
    <w:charset w:val="00"/>
    <w:family w:val="swiss"/>
    <w:pitch w:val="variable"/>
    <w:sig w:usb0="00000087" w:usb1="00000000" w:usb2="00000000" w:usb3="00000000" w:csb0="0000001B"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12518" w14:textId="77777777" w:rsidR="0026585F" w:rsidRDefault="0026585F" w:rsidP="00E36C24">
      <w:pPr>
        <w:spacing w:line="240" w:lineRule="auto"/>
      </w:pPr>
      <w:r>
        <w:separator/>
      </w:r>
    </w:p>
  </w:footnote>
  <w:footnote w:type="continuationSeparator" w:id="0">
    <w:p w14:paraId="699D11B9" w14:textId="77777777" w:rsidR="0026585F" w:rsidRDefault="0026585F" w:rsidP="00E36C24">
      <w:pPr>
        <w:spacing w:line="240" w:lineRule="auto"/>
      </w:pPr>
      <w:r>
        <w:continuationSeparator/>
      </w:r>
    </w:p>
  </w:footnote>
  <w:footnote w:type="continuationNotice" w:id="1">
    <w:p w14:paraId="0FF338BB" w14:textId="77777777" w:rsidR="0026585F" w:rsidRDefault="0026585F">
      <w:pPr>
        <w:spacing w:line="240" w:lineRule="auto"/>
      </w:pPr>
    </w:p>
  </w:footnote>
  <w:footnote w:id="2">
    <w:p w14:paraId="1BF342BE" w14:textId="6ED359E1" w:rsidR="00325C35" w:rsidRDefault="00325C35">
      <w:pPr>
        <w:pStyle w:val="Textonotapie"/>
      </w:pPr>
      <w:r>
        <w:rPr>
          <w:rStyle w:val="Refdenotaalpie"/>
        </w:rPr>
        <w:footnoteRef/>
      </w:r>
      <w:r>
        <w:t xml:space="preserve"> </w:t>
      </w:r>
      <w:r w:rsidRPr="00C036B8">
        <w:rPr>
          <w:bCs/>
        </w:rPr>
        <w:t>*En caso de ser necesario, omitir esta sección, con el fin de simplificar el trabajo, sobre todo si consiste en elaborar mapa mental, adjuntar imágenes como evidencia, etc.</w:t>
      </w:r>
    </w:p>
  </w:footnote>
  <w:footnote w:id="3">
    <w:p w14:paraId="0D40BF0B" w14:textId="0331E21A" w:rsidR="00325C35" w:rsidRDefault="00325C35">
      <w:pPr>
        <w:pStyle w:val="Textonotapie"/>
      </w:pPr>
      <w:r>
        <w:rPr>
          <w:rStyle w:val="Refdenotaalpie"/>
        </w:rPr>
        <w:footnoteRef/>
      </w:r>
      <w:r>
        <w:t xml:space="preserve"> </w:t>
      </w:r>
      <w:r w:rsidRPr="00C036B8">
        <w:rPr>
          <w:bCs/>
        </w:rPr>
        <w:t>**En caso de ser necesario, omitir esta sección, con el fin de simplificar el trabajo</w:t>
      </w:r>
      <w:r w:rsidR="00401190" w:rsidRPr="00C036B8">
        <w:rPr>
          <w:bCs/>
        </w:rPr>
        <w:t>, con el fin de simplificar el trabajo, sobre todo si consiste en elaborar mapa mental, adjuntar imágenes como evidencia,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5"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5"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7141054">
    <w:abstractNumId w:val="23"/>
  </w:num>
  <w:num w:numId="2" w16cid:durableId="514539696">
    <w:abstractNumId w:val="17"/>
  </w:num>
  <w:num w:numId="3" w16cid:durableId="1813210135">
    <w:abstractNumId w:val="41"/>
  </w:num>
  <w:num w:numId="4" w16cid:durableId="1326858328">
    <w:abstractNumId w:val="45"/>
  </w:num>
  <w:num w:numId="5" w16cid:durableId="685255892">
    <w:abstractNumId w:val="15"/>
  </w:num>
  <w:num w:numId="6" w16cid:durableId="50924919">
    <w:abstractNumId w:val="2"/>
  </w:num>
  <w:num w:numId="7" w16cid:durableId="35663876">
    <w:abstractNumId w:val="0"/>
  </w:num>
  <w:num w:numId="8" w16cid:durableId="648481381">
    <w:abstractNumId w:val="3"/>
  </w:num>
  <w:num w:numId="9" w16cid:durableId="7564634">
    <w:abstractNumId w:val="12"/>
  </w:num>
  <w:num w:numId="10" w16cid:durableId="1170677125">
    <w:abstractNumId w:val="30"/>
  </w:num>
  <w:num w:numId="11" w16cid:durableId="1991865296">
    <w:abstractNumId w:val="7"/>
  </w:num>
  <w:num w:numId="12" w16cid:durableId="472603702">
    <w:abstractNumId w:val="48"/>
  </w:num>
  <w:num w:numId="13" w16cid:durableId="2145461347">
    <w:abstractNumId w:val="8"/>
  </w:num>
  <w:num w:numId="14" w16cid:durableId="2022662378">
    <w:abstractNumId w:val="32"/>
  </w:num>
  <w:num w:numId="15" w16cid:durableId="1275748010">
    <w:abstractNumId w:val="24"/>
  </w:num>
  <w:num w:numId="16" w16cid:durableId="1003125091">
    <w:abstractNumId w:val="22"/>
  </w:num>
  <w:num w:numId="17" w16cid:durableId="1372538780">
    <w:abstractNumId w:val="36"/>
  </w:num>
  <w:num w:numId="18" w16cid:durableId="1002851706">
    <w:abstractNumId w:val="34"/>
  </w:num>
  <w:num w:numId="19" w16cid:durableId="1783070012">
    <w:abstractNumId w:val="38"/>
  </w:num>
  <w:num w:numId="20" w16cid:durableId="510295910">
    <w:abstractNumId w:val="21"/>
  </w:num>
  <w:num w:numId="21" w16cid:durableId="1574075516">
    <w:abstractNumId w:val="14"/>
  </w:num>
  <w:num w:numId="22" w16cid:durableId="1770927919">
    <w:abstractNumId w:val="27"/>
  </w:num>
  <w:num w:numId="23" w16cid:durableId="530730715">
    <w:abstractNumId w:val="46"/>
  </w:num>
  <w:num w:numId="24" w16cid:durableId="1415129822">
    <w:abstractNumId w:val="13"/>
  </w:num>
  <w:num w:numId="25" w16cid:durableId="603463011">
    <w:abstractNumId w:val="35"/>
  </w:num>
  <w:num w:numId="26" w16cid:durableId="1117026687">
    <w:abstractNumId w:val="19"/>
  </w:num>
  <w:num w:numId="27" w16cid:durableId="936181951">
    <w:abstractNumId w:val="44"/>
  </w:num>
  <w:num w:numId="28" w16cid:durableId="422262619">
    <w:abstractNumId w:val="11"/>
  </w:num>
  <w:num w:numId="29" w16cid:durableId="1288582968">
    <w:abstractNumId w:val="25"/>
  </w:num>
  <w:num w:numId="30" w16cid:durableId="1341355626">
    <w:abstractNumId w:val="26"/>
  </w:num>
  <w:num w:numId="31" w16cid:durableId="2017077018">
    <w:abstractNumId w:val="16"/>
  </w:num>
  <w:num w:numId="32" w16cid:durableId="1491218552">
    <w:abstractNumId w:val="18"/>
  </w:num>
  <w:num w:numId="33" w16cid:durableId="179928735">
    <w:abstractNumId w:val="29"/>
  </w:num>
  <w:num w:numId="34" w16cid:durableId="204098483">
    <w:abstractNumId w:val="5"/>
  </w:num>
  <w:num w:numId="35" w16cid:durableId="158277085">
    <w:abstractNumId w:val="43"/>
  </w:num>
  <w:num w:numId="36" w16cid:durableId="676421569">
    <w:abstractNumId w:val="42"/>
  </w:num>
  <w:num w:numId="37" w16cid:durableId="2009479032">
    <w:abstractNumId w:val="4"/>
  </w:num>
  <w:num w:numId="38" w16cid:durableId="173806180">
    <w:abstractNumId w:val="9"/>
  </w:num>
  <w:num w:numId="39" w16cid:durableId="71199285">
    <w:abstractNumId w:val="37"/>
  </w:num>
  <w:num w:numId="40" w16cid:durableId="1857035695">
    <w:abstractNumId w:val="1"/>
  </w:num>
  <w:num w:numId="41" w16cid:durableId="255135481">
    <w:abstractNumId w:val="33"/>
  </w:num>
  <w:num w:numId="42" w16cid:durableId="1854176902">
    <w:abstractNumId w:val="31"/>
  </w:num>
  <w:num w:numId="43" w16cid:durableId="1765571426">
    <w:abstractNumId w:val="40"/>
  </w:num>
  <w:num w:numId="44" w16cid:durableId="1949116682">
    <w:abstractNumId w:val="47"/>
  </w:num>
  <w:num w:numId="45" w16cid:durableId="1990672067">
    <w:abstractNumId w:val="20"/>
  </w:num>
  <w:num w:numId="46" w16cid:durableId="1991207525">
    <w:abstractNumId w:val="39"/>
  </w:num>
  <w:num w:numId="47" w16cid:durableId="1261910666">
    <w:abstractNumId w:val="10"/>
  </w:num>
  <w:num w:numId="48" w16cid:durableId="203489564">
    <w:abstractNumId w:val="6"/>
  </w:num>
  <w:num w:numId="49" w16cid:durableId="1917322347">
    <w:abstractNumId w:val="2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Textoennegrita">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91335A-2C48-5D43-BA4A-E90AEAB96D02}">
  <ds:schemaRefs>
    <ds:schemaRef ds:uri="http://schemas.openxmlformats.org/officeDocument/2006/bibliography"/>
  </ds:schemaRefs>
</ds:datastoreItem>
</file>

<file path=customXml/itemProps3.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4.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5.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Pages>
  <Words>90</Words>
  <Characters>499</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CharactersWithSpaces>
  <SharedDoc>false</SharedDoc>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description>Elaborado con asistencia de Codex; resultados SQL reales.</dc:description>
  <cp:lastModifiedBy>Alexandra Stephania Contreras Basic</cp:lastModifiedBy>
  <cp:revision>8</cp:revision>
  <cp:lastPrinted>2022-01-04T21:01:00Z</cp:lastPrinted>
  <dcterms:created xsi:type="dcterms:W3CDTF">2023-01-10T01:06:00Z</dcterms:created>
  <dcterms:modified xsi:type="dcterms:W3CDTF">2025-02-11T20:49:00Z</dcterms:modified>
  <dc:creator>Blas Pinto</dc:creator>
  <dc:title>Automatización del inventario con SQL Server</dc:title>
  <dc:subject>Taller de Bases de Datos PRO202 actividad sumativa semana 9</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