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emriq-kelmis--briefing-und-endbericht"/>
    <w:p>
      <w:pPr>
        <w:pStyle w:val="Heading1"/>
      </w:pPr>
      <w:r>
        <w:t xml:space="preserve">EMRIQ Kelmis – Briefing und Endbericht</w:t>
      </w:r>
    </w:p>
    <w:p>
      <w:pPr>
        <w:pStyle w:val="FirstParagraph"/>
      </w:pPr>
      <w:r>
        <w:rPr>
          <w:bCs/>
          <w:b/>
        </w:rPr>
        <w:t xml:space="preserve">Standort-, Markt- und Branchenclusteranalyse für das Euregio Maas-Rhein Innovations-Quartier in Kelmis, mit Empfehlungen zu Quartierskonzept, Umsetzung und Mandatsgewinnung</w:t>
      </w:r>
    </w:p>
    <w:p>
      <w:pPr>
        <w:pStyle w:val="BodyText"/>
      </w:pPr>
      <w:r>
        <w:t xml:space="preserve">Stand: 14.10.2026 · Grundlage: Lastenheft und Forum FbRAUM.KaR/39.02-01/26.128, Gewerbeflächenstrategie Ostbelgien (HJPplan+, 2024), OBL'EU-Dokumentation Meilenstein 3 (2026), Leitbild „Ostbelgien leben 2040“ sowie Desk-Research (Teilberichte 01–05 in diesem Repository) ·</w:t>
      </w:r>
      <w:r>
        <w:t xml:space="preserve"> </w:t>
      </w:r>
      <w:r>
        <w:rPr>
          <w:bCs/>
          <w:b/>
        </w:rPr>
        <w:t xml:space="preserve">intern/vertraulich</w:t>
      </w:r>
    </w:p>
    <w:p>
      <w:pPr>
        <w:pStyle w:val="BlockText"/>
      </w:pPr>
      <w:r>
        <w:rPr>
          <w:bCs/>
          <w:b/>
        </w:rPr>
        <w:t xml:space="preserve">Lesehinweis.</w:t>
      </w:r>
      <w:r>
        <w:t xml:space="preserve"> </w:t>
      </w:r>
      <w:r>
        <w:t xml:space="preserve">Dieser Bericht verdichtet fünf parallel erarbeitete Teilanalysen. Belegte Fakten stehen mit Quelle in den Teilberichten. Einschätzungen und Schätzungen sind als solche formuliert; Werte mit „(zu verifizieren)“ vor externer Verwendung gegen Primärquellen prüfen. Kapitel 1–7 sind kundentauglich formuliert. Kapitel 8–9 (Bieter- und Workshopstrategie) sind</w:t>
      </w:r>
      <w:r>
        <w:t xml:space="preserve"> </w:t>
      </w:r>
      <w:r>
        <w:rPr>
          <w:bCs/>
          <w:b/>
        </w:rPr>
        <w:t xml:space="preserve">nur intern</w:t>
      </w:r>
      <w:r>
        <w:t xml:space="preserve">.</w:t>
      </w:r>
    </w:p>
    <w:p>
      <w:r>
        <w:pict>
          <v:rect style="width:0;height:1.5pt" o:hralign="center" o:hrstd="t" o:hr="t"/>
        </w:pict>
      </w:r>
    </w:p>
    <w:bookmarkStart w:id="20" w:name="auf-einen-blick"/>
    <w:p>
      <w:pPr>
        <w:pStyle w:val="Heading2"/>
      </w:pPr>
      <w:r>
        <w:t xml:space="preserve">Auf einen Blick</w:t>
      </w:r>
    </w:p>
    <w:p>
      <w:pPr>
        <w:numPr>
          <w:ilvl w:val="0"/>
          <w:numId w:val="1001"/>
        </w:numPr>
      </w:pPr>
      <w:r>
        <w:rPr>
          <w:bCs/>
          <w:b/>
        </w:rPr>
        <w:t xml:space="preserve">Der Auftrag:</w:t>
      </w:r>
      <w:r>
        <w:t xml:space="preserve"> </w:t>
      </w:r>
      <w:r>
        <w:t xml:space="preserve">Das Ministerium der DG sucht kein weiteres Gutachten, sondern ein</w:t>
      </w:r>
      <w:r>
        <w:t xml:space="preserve"> </w:t>
      </w:r>
      <w:r>
        <w:rPr>
          <w:bCs/>
          <w:b/>
        </w:rPr>
        <w:t xml:space="preserve">vermarktungsfähiges, rechenbares Quartierskonzept</w:t>
      </w:r>
      <w:r>
        <w:t xml:space="preserve"> </w:t>
      </w:r>
      <w:r>
        <w:t xml:space="preserve">mit genau</w:t>
      </w:r>
      <w:r>
        <w:t xml:space="preserve"> </w:t>
      </w:r>
      <w:r>
        <w:rPr>
          <w:bCs/>
          <w:b/>
        </w:rPr>
        <w:t xml:space="preserve">einem Thema</w:t>
      </w:r>
      <w:r>
        <w:t xml:space="preserve"> </w:t>
      </w:r>
      <w:r>
        <w:t xml:space="preserve">(„keine Campusstrategie“). Arbeit, Forschung, Fertigung und</w:t>
      </w:r>
      <w:r>
        <w:t xml:space="preserve"> </w:t>
      </w:r>
      <w:r>
        <w:rPr>
          <w:bCs/>
          <w:b/>
        </w:rPr>
        <w:t xml:space="preserve">Wohnen</w:t>
      </w:r>
      <w:r>
        <w:t xml:space="preserve"> </w:t>
      </w:r>
      <w:r>
        <w:t xml:space="preserve">sollen im Ort verankert sein, und die Lieferprodukte erscheinen in DE, FR und EN. Laufzeit bis spätestens 31.10.2028.</w:t>
      </w:r>
    </w:p>
    <w:p>
      <w:pPr>
        <w:numPr>
          <w:ilvl w:val="0"/>
          <w:numId w:val="1001"/>
        </w:numPr>
      </w:pPr>
      <w:r>
        <w:rPr>
          <w:bCs/>
          <w:b/>
        </w:rPr>
        <w:t xml:space="preserve">Der Standort:</w:t>
      </w:r>
      <w:r>
        <w:t xml:space="preserve"> </w:t>
      </w:r>
      <w:r>
        <w:t xml:space="preserve">Kelmis ist ein</w:t>
      </w:r>
      <w:r>
        <w:t xml:space="preserve"> </w:t>
      </w:r>
      <w:r>
        <w:rPr>
          <w:bCs/>
          <w:b/>
        </w:rPr>
        <w:t xml:space="preserve">Wohnort ohne Arbeitsplatzbasis</w:t>
      </w:r>
      <w:r>
        <w:t xml:space="preserve">. Auf rund 11.350 Einwohner kommen nur ~1.130 Arbeitnehmerstellen, etwa 0,10 je Einwohner gegenüber ~0,28 im DG-Schnitt. Das EMRIQ kehrt die Pendlerlogik um und bringt Arbeitsplätze dorthin, wo Fachkräfte bereits wohnen.</w:t>
      </w:r>
    </w:p>
    <w:p>
      <w:pPr>
        <w:numPr>
          <w:ilvl w:val="0"/>
          <w:numId w:val="1001"/>
        </w:numPr>
      </w:pPr>
      <w:r>
        <w:rPr>
          <w:bCs/>
          <w:b/>
        </w:rPr>
        <w:t xml:space="preserve">Lage top, ÖPNV Engpass.</w:t>
      </w:r>
      <w:r>
        <w:t xml:space="preserve"> </w:t>
      </w:r>
      <w:r>
        <w:t xml:space="preserve">Aachen liegt ~8 km entfernt, Lüttich und Maastricht in Reichweite, und das Einstein-Teleskop-Kandidatengebiet (Plombières, Welkenraedt, Aubel) grenzt unmittelbar an. Hergenrath hat aber höchstens einen Stundentakt (RE29), Bus 24 braucht ~30 Minuten, und an der Grenze bricht der Tarif.</w:t>
      </w:r>
      <w:r>
        <w:t xml:space="preserve"> </w:t>
      </w:r>
      <w:r>
        <w:rPr>
          <w:bCs/>
          <w:b/>
        </w:rPr>
        <w:t xml:space="preserve">Das Mobilitätskonzept ist erfolgskritisch.</w:t>
      </w:r>
    </w:p>
    <w:p>
      <w:pPr>
        <w:numPr>
          <w:ilvl w:val="0"/>
          <w:numId w:val="1001"/>
        </w:numPr>
      </w:pPr>
      <w:r>
        <w:rPr>
          <w:bCs/>
          <w:b/>
        </w:rPr>
        <w:t xml:space="preserve">Marktfenster:</w:t>
      </w:r>
      <w:r>
        <w:t xml:space="preserve"> </w:t>
      </w:r>
      <w:r>
        <w:t xml:space="preserve">In Aachen fehlen kleine, flexible Büro-, Labor- und Hallenflächen bis 1.000 m², und Brightlands Maastricht ist zu ~95 % belegt. Belgien bietet starke Innovationssteueranreize (85 % Innovationsabzug, 80 % Lohnsteuerbefreiung für Forschende, Expat-Regime). Wohnen ist in Kelmis 15–25 % günstiger als in Aachen. Positionierung:</w:t>
      </w:r>
      <w:r>
        <w:t xml:space="preserve"> </w:t>
      </w:r>
      <w:r>
        <w:rPr>
          <w:bCs/>
          <w:b/>
        </w:rPr>
        <w:t xml:space="preserve">„Scale-up- und Pilotfertigungsquartier der Euregio, mit Wohnen“</w:t>
      </w:r>
      <w:r>
        <w:t xml:space="preserve">, komplementär zu RWTH-Campus und TPH.</w:t>
      </w:r>
    </w:p>
    <w:p>
      <w:pPr>
        <w:numPr>
          <w:ilvl w:val="0"/>
          <w:numId w:val="1001"/>
        </w:numPr>
      </w:pPr>
      <w:r>
        <w:rPr>
          <w:bCs/>
          <w:b/>
        </w:rPr>
        <w:t xml:space="preserve">Themenempfehlung nach Bewertung von 11 Clustern:</w:t>
      </w:r>
      <w:r>
        <w:t xml:space="preserve"> </w:t>
      </w:r>
      <w:r>
        <w:t xml:space="preserve">Hauptthema</w:t>
      </w:r>
      <w:r>
        <w:t xml:space="preserve"> </w:t>
      </w:r>
      <w:r>
        <w:rPr>
          <w:bCs/>
          <w:b/>
        </w:rPr>
        <w:t xml:space="preserve">„Precision &amp; Resilience Tech“</w:t>
      </w:r>
      <w:r>
        <w:t xml:space="preserve">, also Präzisions-, Sensor- und Photoniktechnik mit den Anwendungsmärkten Großforschung/Einstein-Teleskop, Space und zivile Resilienz. Es ist zivil geführt und dual-use-fähig; Waffen, Munition und Explosivstoffe sind ausgeschlossen. Der Score liegt bei 4,25/5 und ohne Teleskop-Zuschlag noch bei 3,80, die Empfehlung ist also auch ohne Zuschlag tragfähig („no regret“).</w:t>
      </w:r>
    </w:p>
    <w:p>
      <w:pPr>
        <w:numPr>
          <w:ilvl w:val="0"/>
          <w:numId w:val="1001"/>
        </w:numPr>
      </w:pPr>
      <w:r>
        <w:rPr>
          <w:bCs/>
          <w:b/>
        </w:rPr>
        <w:t xml:space="preserve">Rollenverteilung der übrigen Cluster:</w:t>
      </w:r>
      <w:r>
        <w:t xml:space="preserve"> </w:t>
      </w:r>
      <w:r>
        <w:t xml:space="preserve">Zirkulärer Holz-Hybridbau (4,25) wird verbindliche</w:t>
      </w:r>
      <w:r>
        <w:t xml:space="preserve"> </w:t>
      </w:r>
      <w:r>
        <w:rPr>
          <w:bCs/>
          <w:b/>
        </w:rPr>
        <w:t xml:space="preserve">Bauweise und Demonstrator</w:t>
      </w:r>
      <w:r>
        <w:t xml:space="preserve"> </w:t>
      </w:r>
      <w:r>
        <w:t xml:space="preserve">und zugleich Alternativ-Hauptthema. Eine Energiegemeinschaft (4,35) wird</w:t>
      </w:r>
      <w:r>
        <w:t xml:space="preserve"> </w:t>
      </w:r>
      <w:r>
        <w:rPr>
          <w:bCs/>
          <w:b/>
        </w:rPr>
        <w:t xml:space="preserve">Quartiersreallabor</w:t>
      </w:r>
      <w:r>
        <w:t xml:space="preserve">, Digital (4,05)</w:t>
      </w:r>
      <w:r>
        <w:t xml:space="preserve"> </w:t>
      </w:r>
      <w:r>
        <w:rPr>
          <w:bCs/>
          <w:b/>
        </w:rPr>
        <w:t xml:space="preserve">Enabler</w:t>
      </w:r>
      <w:r>
        <w:t xml:space="preserve">, Kultur und Neutral-Moresnet werden</w:t>
      </w:r>
      <w:r>
        <w:t xml:space="preserve"> </w:t>
      </w:r>
      <w:r>
        <w:rPr>
          <w:bCs/>
          <w:b/>
        </w:rPr>
        <w:t xml:space="preserve">Identität</w:t>
      </w:r>
      <w:r>
        <w:t xml:space="preserve">. Daraus folgt eine klare Arbeitsteilung zwischen den beiden prioritären Standorten der DG:</w:t>
      </w:r>
      <w:r>
        <w:t xml:space="preserve"> </w:t>
      </w:r>
      <w:r>
        <w:rPr>
          <w:bCs/>
          <w:b/>
        </w:rPr>
        <w:t xml:space="preserve">Kaiserbaracke für Holz und Fläche, Kelmis für Präzision und Quartier.</w:t>
      </w:r>
    </w:p>
    <w:p>
      <w:pPr>
        <w:numPr>
          <w:ilvl w:val="0"/>
          <w:numId w:val="1001"/>
        </w:numPr>
      </w:pPr>
      <w:r>
        <w:rPr>
          <w:bCs/>
          <w:b/>
        </w:rPr>
        <w:t xml:space="preserve">Räumlich empfehlen wir einen Zwei-Pole-Ansatz:</w:t>
      </w:r>
    </w:p>
    <w:p>
      <w:pPr>
        <w:numPr>
          <w:ilvl w:val="1"/>
          <w:numId w:val="1002"/>
        </w:numPr>
        <w:pStyle w:val="Compact"/>
      </w:pPr>
      <w:r>
        <w:t xml:space="preserve">Kernquartier „Museumsachse Lütticher Straße“ (Nord + Süd, ~13 ha Planbereich) mit dem EMRIQ-Haus gegenüber dem Museum Vieille Montagne</w:t>
      </w:r>
    </w:p>
    <w:p>
      <w:pPr>
        <w:numPr>
          <w:ilvl w:val="1"/>
          <w:numId w:val="1002"/>
        </w:numPr>
        <w:pStyle w:val="Compact"/>
      </w:pPr>
      <w:r>
        <w:t xml:space="preserve">Gateway-Pol Bahnhof Hergenrath/Hochheid für Mobilität, Werkstätten und Automation</w:t>
      </w:r>
    </w:p>
    <w:p>
      <w:pPr>
        <w:numPr>
          <w:ilvl w:val="1"/>
          <w:numId w:val="1002"/>
        </w:numPr>
        <w:pStyle w:val="Compact"/>
      </w:pPr>
      <w:r>
        <w:t xml:space="preserve">Verbindung beider Pole über eine 3–4 km lange Innovationsachse mit Shuttle und Radroute</w:t>
      </w:r>
    </w:p>
    <w:p>
      <w:pPr>
        <w:numPr>
          <w:ilvl w:val="0"/>
          <w:numId w:val="1001"/>
        </w:numPr>
      </w:pPr>
      <w:r>
        <w:rPr>
          <w:bCs/>
          <w:b/>
        </w:rPr>
        <w:t xml:space="preserve">„Kleiner Start, große Story“:</w:t>
      </w:r>
      <w:r>
        <w:t xml:space="preserve"> </w:t>
      </w:r>
      <w:r>
        <w:t xml:space="preserve">Phase 1 umfasst rund 3.000–4.800 m² BGF gewerblich und 40–70 Wohneinheiten, Ziel sind 80–150 Arbeitsplätze. Vor Baubeginn sollen mindestens 40 % vorvermietet sein, mit Ankermieter. Das Gesamtpotenzial über drei Stufen liegt bei 17.000–30.000 m² und 270–520 Wohneinheiten, also in der Größenordnung des Technologieparks Herzogenrath.</w:t>
      </w:r>
    </w:p>
    <w:p>
      <w:pPr>
        <w:numPr>
          <w:ilvl w:val="0"/>
          <w:numId w:val="1001"/>
        </w:numPr>
      </w:pPr>
      <w:r>
        <w:rPr>
          <w:bCs/>
          <w:b/>
        </w:rPr>
        <w:t xml:space="preserve">Wirtschaftlichkeit (Musterrechnung):</w:t>
      </w:r>
    </w:p>
    <w:p>
      <w:pPr>
        <w:numPr>
          <w:ilvl w:val="1"/>
          <w:numId w:val="1003"/>
        </w:numPr>
        <w:pStyle w:val="Compact"/>
      </w:pPr>
      <w:r>
        <w:t xml:space="preserve">Phase 1 kostet je nach Programm ~38–48 Mio. € netto; etwa zwei Drittel sind öffentlich oder öffentlich gebunden.</w:t>
      </w:r>
    </w:p>
    <w:p>
      <w:pPr>
        <w:numPr>
          <w:ilvl w:val="1"/>
          <w:numId w:val="1003"/>
        </w:numPr>
        <w:pStyle w:val="Compact"/>
      </w:pPr>
      <w:r>
        <w:t xml:space="preserve">Für die Gemeinde ist das Projekt folgekostenneutral, aber nur</w:t>
      </w:r>
      <w:r>
        <w:t xml:space="preserve"> </w:t>
      </w:r>
      <w:r>
        <w:rPr>
          <w:bCs/>
          <w:b/>
        </w:rPr>
        <w:t xml:space="preserve">mit Wohnanteil</w:t>
      </w:r>
      <w:r>
        <w:t xml:space="preserve">, weil Belgien keine Gewerbesteuer kennt.</w:t>
      </w:r>
    </w:p>
    <w:p>
      <w:pPr>
        <w:numPr>
          <w:ilvl w:val="1"/>
          <w:numId w:val="1003"/>
        </w:numPr>
        <w:pStyle w:val="Compact"/>
      </w:pPr>
      <w:r>
        <w:t xml:space="preserve">Das Technologiezentrum braucht in der Anlaufphase einen Betriebszuschuss von DG/WFG (~100–205 T€/Jahr).</w:t>
      </w:r>
    </w:p>
    <w:p>
      <w:pPr>
        <w:numPr>
          <w:ilvl w:val="1"/>
          <w:numId w:val="1003"/>
        </w:numPr>
        <w:pStyle w:val="Compact"/>
      </w:pPr>
      <w:r>
        <w:t xml:space="preserve">Governance: zuerst eine Allianz aus DG, AGR Kelmis und WFG, später eine Entwicklungsgesellschaft Ostbelgien; Erbpacht als Kerninstrument.</w:t>
      </w:r>
    </w:p>
    <w:p>
      <w:pPr>
        <w:numPr>
          <w:ilvl w:val="0"/>
          <w:numId w:val="1001"/>
        </w:numPr>
      </w:pPr>
      <w:r>
        <w:rPr>
          <w:bCs/>
          <w:b/>
        </w:rPr>
        <w:t xml:space="preserve">Zeitfenster jetzt:</w:t>
      </w:r>
    </w:p>
    <w:p>
      <w:pPr>
        <w:numPr>
          <w:ilvl w:val="1"/>
          <w:numId w:val="1004"/>
        </w:numPr>
        <w:pStyle w:val="Compact"/>
      </w:pPr>
      <w:r>
        <w:t xml:space="preserve">OBL'EU-Ausstellung im Museum Vieille Montagne im</w:t>
      </w:r>
      <w:r>
        <w:t xml:space="preserve"> </w:t>
      </w:r>
      <w:r>
        <w:rPr>
          <w:bCs/>
          <w:b/>
        </w:rPr>
        <w:t xml:space="preserve">November 2026</w:t>
      </w:r>
    </w:p>
    <w:p>
      <w:pPr>
        <w:numPr>
          <w:ilvl w:val="1"/>
          <w:numId w:val="1004"/>
        </w:numPr>
        <w:pStyle w:val="Compact"/>
      </w:pPr>
      <w:r>
        <w:rPr>
          <w:bCs/>
          <w:b/>
        </w:rPr>
        <w:t xml:space="preserve">Interreg-Call 8</w:t>
      </w:r>
      <w:r>
        <w:t xml:space="preserve"> </w:t>
      </w:r>
      <w:r>
        <w:t xml:space="preserve">mit dem Thema „Innovation rund um das Einstein-Teleskop“, Frist</w:t>
      </w:r>
      <w:r>
        <w:t xml:space="preserve"> </w:t>
      </w:r>
      <w:r>
        <w:rPr>
          <w:bCs/>
          <w:b/>
        </w:rPr>
        <w:t xml:space="preserve">16.12.2026</w:t>
      </w:r>
    </w:p>
    <w:p>
      <w:pPr>
        <w:numPr>
          <w:ilvl w:val="1"/>
          <w:numId w:val="1004"/>
        </w:numPr>
        <w:pStyle w:val="Compact"/>
      </w:pPr>
      <w:r>
        <w:t xml:space="preserve">Redaktionsschluss des</w:t>
      </w:r>
      <w:r>
        <w:t xml:space="preserve"> </w:t>
      </w:r>
      <w:r>
        <w:rPr>
          <w:bCs/>
          <w:b/>
        </w:rPr>
        <w:t xml:space="preserve">ET-Bid-Books im Dezember 2026</w:t>
      </w:r>
    </w:p>
    <w:p>
      <w:pPr>
        <w:numPr>
          <w:ilvl w:val="1"/>
          <w:numId w:val="1004"/>
        </w:numPr>
        <w:pStyle w:val="Compact"/>
      </w:pPr>
      <w:r>
        <w:t xml:space="preserve">EU-Programmierung 2028–34 im Jahr 2027</w:t>
      </w:r>
    </w:p>
    <w:p>
      <w:pPr>
        <w:numPr>
          <w:ilvl w:val="0"/>
          <w:numId w:val="1000"/>
        </w:numPr>
      </w:pPr>
      <w:r>
        <w:t xml:space="preserve">Das EMRIQ sollte in all diesen Prozessen auftauchen.</w:t>
      </w:r>
    </w:p>
    <w:p>
      <w:pPr>
        <w:numPr>
          <w:ilvl w:val="0"/>
          <w:numId w:val="1001"/>
        </w:numPr>
      </w:pPr>
      <w:r>
        <w:rPr>
          <w:bCs/>
          <w:b/>
        </w:rPr>
        <w:t xml:space="preserve">Für das Mandat</w:t>
      </w:r>
      <w:r>
        <w:t xml:space="preserve"> </w:t>
      </w:r>
      <w:r>
        <w:t xml:space="preserve">(intern, Kap. 8):</w:t>
      </w:r>
    </w:p>
    <w:p>
      <w:pPr>
        <w:numPr>
          <w:ilvl w:val="1"/>
          <w:numId w:val="1005"/>
        </w:numPr>
        <w:pStyle w:val="Compact"/>
      </w:pPr>
      <w:r>
        <w:t xml:space="preserve">Das Verfahren deckelt das Honorar bei</w:t>
      </w:r>
      <w:r>
        <w:t xml:space="preserve"> </w:t>
      </w:r>
      <w:r>
        <w:rPr>
          <w:bCs/>
          <w:b/>
        </w:rPr>
        <w:t xml:space="preserve">140.000 € netto</w:t>
      </w:r>
      <w:r>
        <w:t xml:space="preserve">.</w:t>
      </w:r>
    </w:p>
    <w:p>
      <w:pPr>
        <w:numPr>
          <w:ilvl w:val="1"/>
          <w:numId w:val="1005"/>
        </w:numPr>
        <w:pStyle w:val="Compact"/>
      </w:pPr>
      <w:r>
        <w:t xml:space="preserve">60 der 100 Punkte entfallen nicht auf den Preis.</w:t>
      </w:r>
    </w:p>
    <w:p>
      <w:pPr>
        <w:numPr>
          <w:ilvl w:val="1"/>
          <w:numId w:val="1005"/>
        </w:numPr>
        <w:pStyle w:val="Compact"/>
      </w:pPr>
      <w:r>
        <w:t xml:space="preserve">Wir gewinnen mit</w:t>
      </w:r>
      <w:r>
        <w:t xml:space="preserve"> </w:t>
      </w:r>
      <w:r>
        <w:rPr>
          <w:bCs/>
          <w:b/>
        </w:rPr>
        <w:t xml:space="preserve">Musterlieferobjekten</w:t>
      </w:r>
      <w:r>
        <w:t xml:space="preserve">, einer</w:t>
      </w:r>
      <w:r>
        <w:t xml:space="preserve"> </w:t>
      </w:r>
      <w:r>
        <w:rPr>
          <w:bCs/>
          <w:b/>
        </w:rPr>
        <w:t xml:space="preserve">Endabgabe nach 13 Monaten</w:t>
      </w:r>
      <w:r>
        <w:t xml:space="preserve"> </w:t>
      </w:r>
      <w:r>
        <w:t xml:space="preserve">und der Botschaft „Wir analysieren nicht noch einmal, wir fokussieren, rechnen und vermarkten.“</w:t>
      </w:r>
    </w:p>
    <w:p>
      <w:r>
        <w:pict>
          <v:rect style="width:0;height:1.5pt" o:hralign="center" o:hrstd="t" o:hr="t"/>
        </w:pict>
      </w:r>
    </w:p>
    <w:bookmarkEnd w:id="20"/>
    <w:bookmarkStart w:id="23" w:name="X2caf9b9e865a74548ec4b9d73fb9235c616fc88"/>
    <w:p>
      <w:pPr>
        <w:pStyle w:val="Heading2"/>
      </w:pPr>
      <w:r>
        <w:t xml:space="preserve">1. Auftrag und Ausgangslage</w:t>
      </w:r>
    </w:p>
    <w:bookmarkStart w:id="21" w:name="Xe13bd28693a42522b9c3c0c6a3aaabce3b5db82"/>
    <w:p>
      <w:pPr>
        <w:pStyle w:val="Heading3"/>
      </w:pPr>
      <w:r>
        <w:t xml:space="preserve">1.1 Was der Auftraggeber will</w:t>
      </w:r>
    </w:p>
    <w:p>
      <w:pPr>
        <w:pStyle w:val="FirstParagraph"/>
      </w:pPr>
      <w:r>
        <w:t xml:space="preserve">Das Ministerium der Deutschsprachigen Gemeinschaft (MDG, FB Raumordnung, Wohnen und Energie) vergibt im Verhandlungsverfahren ohne Bekanntmachung ein</w:t>
      </w:r>
      <w:r>
        <w:t xml:space="preserve"> </w:t>
      </w:r>
      <w:r>
        <w:rPr>
          <w:bCs/>
          <w:b/>
        </w:rPr>
        <w:t xml:space="preserve">städtebauliches Entwicklungskonzept mit Umsetzungsplan</w:t>
      </w:r>
      <w:r>
        <w:t xml:space="preserve"> </w:t>
      </w:r>
      <w:r>
        <w:t xml:space="preserve">für ein erstes</w:t>
      </w:r>
      <w:r>
        <w:t xml:space="preserve"> </w:t>
      </w:r>
      <w:r>
        <w:rPr>
          <w:bCs/>
          <w:b/>
        </w:rPr>
        <w:t xml:space="preserve">Euregio Maas-Rhein Innovations-Quartier (EMRIQ)</w:t>
      </w:r>
      <w:r>
        <w:t xml:space="preserve"> </w:t>
      </w:r>
      <w:r>
        <w:t xml:space="preserve">in Kelmis. Kern des Auftrags:</w:t>
      </w:r>
    </w:p>
    <w:p>
      <w:pPr>
        <w:numPr>
          <w:ilvl w:val="0"/>
          <w:numId w:val="1006"/>
        </w:numPr>
        <w:pStyle w:val="Compact"/>
      </w:pPr>
      <w:r>
        <w:rPr>
          <w:bCs/>
          <w:b/>
        </w:rPr>
        <w:t xml:space="preserve">Themenspezifisches Quartier statt Campus.</w:t>
      </w:r>
      <w:r>
        <w:t xml:space="preserve"> </w:t>
      </w:r>
      <w:r>
        <w:t xml:space="preserve">Ein Thema, das Forschung, Arbeit/Fertigung und Wohnen vereint und eine Brücke zwischen deutschen und belgischen Partnern in Wirtschaft und Innovation schlägt.</w:t>
      </w:r>
    </w:p>
    <w:p>
      <w:pPr>
        <w:numPr>
          <w:ilvl w:val="0"/>
          <w:numId w:val="1006"/>
        </w:numPr>
        <w:pStyle w:val="Compact"/>
      </w:pPr>
      <w:r>
        <w:rPr>
          <w:bCs/>
          <w:b/>
        </w:rPr>
        <w:t xml:space="preserve">Ökosphäre und Einbettung.</w:t>
      </w:r>
      <w:r>
        <w:t xml:space="preserve"> </w:t>
      </w:r>
      <w:r>
        <w:t xml:space="preserve">Lokale Unternehmen und Akteure werden eingebunden. Ausdrücklich</w:t>
      </w:r>
      <w:r>
        <w:t xml:space="preserve"> </w:t>
      </w:r>
      <w:r>
        <w:rPr>
          <w:bCs/>
          <w:b/>
        </w:rPr>
        <w:t xml:space="preserve">kein</w:t>
      </w:r>
      <w:r>
        <w:t xml:space="preserve"> </w:t>
      </w:r>
      <w:r>
        <w:t xml:space="preserve">von Ort und Bevölkerung entkoppelter Standort.</w:t>
      </w:r>
    </w:p>
    <w:p>
      <w:pPr>
        <w:numPr>
          <w:ilvl w:val="0"/>
          <w:numId w:val="1006"/>
        </w:numPr>
        <w:pStyle w:val="Compact"/>
      </w:pPr>
      <w:r>
        <w:rPr>
          <w:bCs/>
          <w:b/>
        </w:rPr>
        <w:t xml:space="preserve">Umsetzungsplan mit Wirtschaftlichkeitsbetrachtung.</w:t>
      </w:r>
      <w:r>
        <w:t xml:space="preserve"> </w:t>
      </w:r>
      <w:r>
        <w:t xml:space="preserve">Kosten je Maßnahme bzw. Phase (Pflicht), Kosten</w:t>
      </w:r>
      <w:r>
        <w:t xml:space="preserve"> </w:t>
      </w:r>
      <w:r>
        <w:rPr>
          <w:bCs/>
          <w:b/>
        </w:rPr>
        <w:t xml:space="preserve">pro Gebäude</w:t>
      </w:r>
      <w:r>
        <w:t xml:space="preserve"> </w:t>
      </w:r>
      <w:r>
        <w:t xml:space="preserve">sowie getrennt für Infrastruktur und Hochbau. Dazu Folgekosten für die Gemeinde und direkte bzw. indirekte Einnahmen der öffentlichen Hand.</w:t>
      </w:r>
    </w:p>
    <w:p>
      <w:pPr>
        <w:numPr>
          <w:ilvl w:val="0"/>
          <w:numId w:val="1006"/>
        </w:numPr>
        <w:pStyle w:val="Compact"/>
      </w:pPr>
      <w:r>
        <w:rPr>
          <w:bCs/>
          <w:b/>
        </w:rPr>
        <w:t xml:space="preserve">Strukturplan</w:t>
      </w:r>
      <w:r>
        <w:t xml:space="preserve"> </w:t>
      </w:r>
      <w:r>
        <w:t xml:space="preserve">mit Geschossigkeit, Höhen, Dachformen, Kantenlängen, Abständen, Verkehrsquerschnitten, Mobilitätskonzept, öffentlichem Raum und punktuellen 3D-Ansichten. Karten GIS-fähig im belgischen</w:t>
      </w:r>
      <w:r>
        <w:t xml:space="preserve"> </w:t>
      </w:r>
      <w:r>
        <w:rPr>
          <w:bCs/>
          <w:b/>
        </w:rPr>
        <w:t xml:space="preserve">Lambert</w:t>
      </w:r>
      <w:r>
        <w:t xml:space="preserve">-System.</w:t>
      </w:r>
    </w:p>
    <w:p>
      <w:pPr>
        <w:numPr>
          <w:ilvl w:val="0"/>
          <w:numId w:val="1006"/>
        </w:numPr>
        <w:pStyle w:val="Compact"/>
      </w:pPr>
      <w:r>
        <w:rPr>
          <w:bCs/>
          <w:b/>
        </w:rPr>
        <w:t xml:space="preserve">Vermarktungsfähige Lieferprodukte</w:t>
      </w:r>
      <w:r>
        <w:t xml:space="preserve"> </w:t>
      </w:r>
      <w:r>
        <w:t xml:space="preserve">in</w:t>
      </w:r>
      <w:r>
        <w:t xml:space="preserve"> </w:t>
      </w:r>
      <w:r>
        <w:rPr>
          <w:bCs/>
          <w:b/>
        </w:rPr>
        <w:t xml:space="preserve">DE/FR/EN</w:t>
      </w:r>
      <w:r>
        <w:t xml:space="preserve">, die Investoren und Akteuren Potenziale und Alleinstellungsmerkmale vermitteln.</w:t>
      </w:r>
    </w:p>
    <w:p>
      <w:pPr>
        <w:numPr>
          <w:ilvl w:val="0"/>
          <w:numId w:val="1006"/>
        </w:numPr>
        <w:pStyle w:val="Compact"/>
      </w:pPr>
      <w:r>
        <w:rPr>
          <w:bCs/>
          <w:b/>
        </w:rPr>
        <w:t xml:space="preserve">Kontext laut Lastenheft:</w:t>
      </w:r>
      <w:r>
        <w:t xml:space="preserve"> </w:t>
      </w:r>
      <w:r>
        <w:t xml:space="preserve">europäische Industriestandorte, Sicherheit und Verteidigung (erhebliche Finanzmittel), Kandidatur für das</w:t>
      </w:r>
      <w:r>
        <w:t xml:space="preserve"> </w:t>
      </w:r>
      <w:r>
        <w:rPr>
          <w:bCs/>
          <w:b/>
        </w:rPr>
        <w:t xml:space="preserve">Einstein-Teleskop</w:t>
      </w:r>
      <w:r>
        <w:t xml:space="preserve">, Strategie „Euregio Meuse-Rhine Innovation District“ (dazu ist kein veröffentlichtes Strategiedokument auffindbar; im Workshop klären).</w:t>
      </w:r>
    </w:p>
    <w:bookmarkEnd w:id="21"/>
    <w:bookmarkStart w:id="22" w:name="Xb0c5cabfed37f7fa59ecfde1c3e01ebb15f2948"/>
    <w:p>
      <w:pPr>
        <w:pStyle w:val="Heading3"/>
      </w:pPr>
      <w:r>
        <w:t xml:space="preserve">1.2 Worauf das Konzept aufbauen kann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Vorarbeit</w:t>
            </w:r>
          </w:p>
        </w:tc>
        <w:tc>
          <w:tcPr/>
          <w:p>
            <w:pPr>
              <w:pStyle w:val="Compact"/>
              <w:jc w:val="left"/>
            </w:pPr>
            <w:r>
              <w:t xml:space="preserve">Relevanter Inhalt für das EMRIQ</w:t>
            </w:r>
          </w:p>
        </w:tc>
      </w:tr>
      <w:tr>
        <w:tc>
          <w:tcPr/>
          <w:p>
            <w:pPr>
              <w:pStyle w:val="Compact"/>
              <w:jc w:val="left"/>
            </w:pPr>
            <w:r>
              <w:rPr>
                <w:bCs/>
                <w:b/>
              </w:rPr>
              <w:t xml:space="preserve">Gewerbeflächenstrategie Ostbelgien</w:t>
            </w:r>
            <w:r>
              <w:t xml:space="preserve"> </w:t>
            </w:r>
            <w:r>
              <w:t xml:space="preserve">(HJPplan+, 04/2024)</w:t>
            </w:r>
          </w:p>
        </w:tc>
        <w:tc>
          <w:tcPr/>
          <w:p>
            <w:pPr>
              <w:pStyle w:val="Compact"/>
              <w:jc w:val="left"/>
            </w:pPr>
            <w:r>
              <w:rPr>
                <w:bCs/>
                <w:b/>
              </w:rPr>
              <w:t xml:space="preserve">Musterprojekt Kelmis</w:t>
            </w:r>
            <w:r>
              <w:t xml:space="preserve"> </w:t>
            </w:r>
            <w:r>
              <w:t xml:space="preserve">Lütticher Straße (132.511 m²): Unter- und Fehlnutzungen (Busbetriebshof Keolis, Baustoffhandel, ehemalige Tankstelle), Nachverdichtungslogik,</w:t>
            </w:r>
            <w:r>
              <w:t xml:space="preserve"> </w:t>
            </w:r>
            <w:r>
              <w:rPr>
                <w:bCs/>
                <w:b/>
              </w:rPr>
              <w:t xml:space="preserve">Technologie- und Gründerzentrum gegenüber dem Museum Vieille Montagne</w:t>
            </w:r>
            <w:r>
              <w:t xml:space="preserve">, AGR Kelmis als Pilotakteur, Benchmark Technologiepark Herzogenrath</w:t>
            </w:r>
          </w:p>
        </w:tc>
      </w:tr>
      <w:tr>
        <w:tc>
          <w:tcPr/>
          <w:p>
            <w:pPr>
              <w:pStyle w:val="Compact"/>
              <w:jc w:val="left"/>
            </w:pPr>
            <w:r>
              <w:rPr>
                <w:bCs/>
                <w:b/>
              </w:rPr>
              <w:t xml:space="preserve">OBL'EU – Ostbelgien als Raumlabor</w:t>
            </w:r>
            <w:r>
              <w:t xml:space="preserve"> </w:t>
            </w:r>
            <w:r>
              <w:t xml:space="preserve">(MDG, RWTH, Parkstad; 2025–2026)</w:t>
            </w:r>
          </w:p>
        </w:tc>
        <w:tc>
          <w:tcPr/>
          <w:p>
            <w:pPr>
              <w:pStyle w:val="Compact"/>
              <w:jc w:val="left"/>
            </w:pPr>
            <w:r>
              <w:t xml:space="preserve">Schlüsselprojekte Digital Hub Ostbelgien,</w:t>
            </w:r>
            <w:r>
              <w:t xml:space="preserve"> </w:t>
            </w:r>
            <w:r>
              <w:rPr>
                <w:bCs/>
                <w:b/>
              </w:rPr>
              <w:t xml:space="preserve">Scale-up Innovation Center</w:t>
            </w:r>
            <w:r>
              <w:t xml:space="preserve">, Modellregion autonomes Fahren,</w:t>
            </w:r>
            <w:r>
              <w:t xml:space="preserve"> </w:t>
            </w:r>
            <w:r>
              <w:rPr>
                <w:bCs/>
                <w:b/>
              </w:rPr>
              <w:t xml:space="preserve">Radschnellweg Eupen–Aachen mit Abzweig Hergenrath</w:t>
            </w:r>
            <w:r>
              <w:t xml:space="preserve">, HOLZ+ Reallabor, Erbpacht-Modelle;</w:t>
            </w:r>
            <w:r>
              <w:t xml:space="preserve"> </w:t>
            </w:r>
            <w:r>
              <w:rPr>
                <w:bCs/>
                <w:b/>
              </w:rPr>
              <w:t xml:space="preserve">Abschlussausstellung im Museum Vieille Montagne, November 2026</w:t>
            </w:r>
          </w:p>
        </w:tc>
      </w:tr>
      <w:tr>
        <w:tc>
          <w:tcPr/>
          <w:p>
            <w:pPr>
              <w:pStyle w:val="Compact"/>
              <w:jc w:val="left"/>
            </w:pPr>
            <w:r>
              <w:rPr>
                <w:bCs/>
                <w:b/>
              </w:rPr>
              <w:t xml:space="preserve">Ostbelgien leben 2040</w:t>
            </w:r>
          </w:p>
        </w:tc>
        <w:tc>
          <w:tcPr/>
          <w:p>
            <w:pPr>
              <w:pStyle w:val="Compact"/>
              <w:jc w:val="left"/>
            </w:pPr>
            <w:r>
              <w:t xml:space="preserve">Leitziele „Nachhaltige Wirtschafts- und Arbeitsregion“, „Viertelstunden-Region“, „resiliente Siedlungsentwicklung“, Fachkräftesicherung; Raumbild KOMMpaktLAND (Innen- vor Außenentwicklung)</w:t>
            </w:r>
          </w:p>
        </w:tc>
      </w:tr>
      <w:tr>
        <w:tc>
          <w:tcPr/>
          <w:p>
            <w:pPr>
              <w:pStyle w:val="Compact"/>
              <w:jc w:val="left"/>
            </w:pPr>
            <w:r>
              <w:rPr>
                <w:bCs/>
                <w:b/>
              </w:rPr>
              <w:t xml:space="preserve">Modellvorhaben der Raumordnung (DE)</w:t>
            </w:r>
          </w:p>
        </w:tc>
        <w:tc>
          <w:tcPr/>
          <w:p>
            <w:pPr>
              <w:pStyle w:val="Compact"/>
              <w:jc w:val="left"/>
            </w:pPr>
            <w:r>
              <w:t xml:space="preserve">Kelmis als Potenzialstandort genannt (Bericht wird nach Auftragserteilung bereitgestellt)</w:t>
            </w:r>
          </w:p>
        </w:tc>
      </w:tr>
    </w:tbl>
    <w:p>
      <w:pPr>
        <w:pStyle w:val="BodyText"/>
      </w:pPr>
      <w:r>
        <w:rPr>
          <w:bCs/>
          <w:b/>
        </w:rPr>
        <w:t xml:space="preserve">Folgerung:</w:t>
      </w:r>
      <w:r>
        <w:t xml:space="preserve"> </w:t>
      </w:r>
      <w:r>
        <w:t xml:space="preserve">Die Analysephase muss nicht von vorn beginnen. Der Mehrwert des neuen Konzepts liegt in</w:t>
      </w:r>
      <w:r>
        <w:t xml:space="preserve"> </w:t>
      </w:r>
      <w:r>
        <w:rPr>
          <w:bCs/>
          <w:b/>
        </w:rPr>
        <w:t xml:space="preserve">Fokussierung, Programm, Zahlen, Trägerschaft und Vermarktung</w:t>
      </w:r>
      <w:r>
        <w:t xml:space="preserve">.</w:t>
      </w:r>
    </w:p>
    <w:p>
      <w:r>
        <w:pict>
          <v:rect style="width:0;height:1.5pt" o:hralign="center" o:hrstd="t" o:hr="t"/>
        </w:pict>
      </w:r>
    </w:p>
    <w:bookmarkEnd w:id="22"/>
    <w:bookmarkEnd w:id="23"/>
    <w:bookmarkStart w:id="31" w:name="Xaf351436d18e4f7de301f23243218bea6c3e0e0"/>
    <w:p>
      <w:pPr>
        <w:pStyle w:val="Heading2"/>
      </w:pPr>
      <w:r>
        <w:t xml:space="preserve">2. Standortanalyse Kelmis (Kurzfassung von Teilbericht 01)</w:t>
      </w:r>
    </w:p>
    <w:bookmarkStart w:id="24" w:name="X1fc70a6a8ed652f6d87c74ac817e7fde0b15381"/>
    <w:p>
      <w:pPr>
        <w:pStyle w:val="Heading3"/>
      </w:pPr>
      <w:r>
        <w:t xml:space="preserve">2.1 Makrolage und Erreichbarkeit</w:t>
      </w:r>
    </w:p>
    <w:p>
      <w:pPr>
        <w:numPr>
          <w:ilvl w:val="0"/>
          <w:numId w:val="1007"/>
        </w:numPr>
        <w:pStyle w:val="Compact"/>
      </w:pPr>
      <w:r>
        <w:rPr>
          <w:bCs/>
          <w:b/>
        </w:rPr>
        <w:t xml:space="preserve">Dreiländereck:</w:t>
      </w:r>
      <w:r>
        <w:t xml:space="preserve"> </w:t>
      </w:r>
      <w:r>
        <w:t xml:space="preserve">Aachen (~8 km, RWTH und Uniklinik in 15–20 Pkw-Minuten), Maastricht/Heerlen, Lüttich (ULiège), Eupen. Das Kandidatengebiet für das</w:t>
      </w:r>
      <w:r>
        <w:t xml:space="preserve"> </w:t>
      </w:r>
      <w:r>
        <w:rPr>
          <w:bCs/>
          <w:b/>
        </w:rPr>
        <w:t xml:space="preserve">Einstein-Teleskop</w:t>
      </w:r>
      <w:r>
        <w:t xml:space="preserve"> </w:t>
      </w:r>
      <w:r>
        <w:t xml:space="preserve">liegt in den Nachbargemeinden Plombières, Welkenraedt und Aubel (Probebohrungen 2024). Der Güterbahnhof Montzen ist als Logistikdrehkreuz vorgesehen (Vereinbarung 06/2026).</w:t>
      </w:r>
    </w:p>
    <w:p>
      <w:pPr>
        <w:numPr>
          <w:ilvl w:val="0"/>
          <w:numId w:val="1007"/>
        </w:numPr>
        <w:pStyle w:val="Compact"/>
      </w:pPr>
      <w:r>
        <w:rPr>
          <w:bCs/>
          <w:b/>
        </w:rPr>
        <w:t xml:space="preserve">Schiene:</w:t>
      </w:r>
      <w:r>
        <w:t xml:space="preserve"> </w:t>
      </w:r>
      <w:r>
        <w:t xml:space="preserve">Der Bahnhof Hergenrath wird nur vom RE29 (Aachen–Welkenraedt–Lüttich) bedient, höchstens stündlich und störanfällig; der Dreiländerzug hält nicht. Fahrzeit Hergenrath–Aachen Hbf etwa 8–10 Minuten (zu verifizieren).</w:t>
      </w:r>
    </w:p>
    <w:p>
      <w:pPr>
        <w:numPr>
          <w:ilvl w:val="0"/>
          <w:numId w:val="1007"/>
        </w:numPr>
        <w:pStyle w:val="Compact"/>
      </w:pPr>
      <w:r>
        <w:rPr>
          <w:bCs/>
          <w:b/>
        </w:rPr>
        <w:t xml:space="preserve">Bus:</w:t>
      </w:r>
      <w:r>
        <w:t xml:space="preserve"> </w:t>
      </w:r>
      <w:r>
        <w:t xml:space="preserve">Die Linie 24 Aachen–Kelmis braucht ~30 Minuten zum Bushof Aachen. An der Grenze bricht der Tarif; ob Deutschland- und Semesterticket auf dem belgischen Abschnitt gelten, ist offen. Für Studierende ist das entscheidend.</w:t>
      </w:r>
    </w:p>
    <w:p>
      <w:pPr>
        <w:numPr>
          <w:ilvl w:val="0"/>
          <w:numId w:val="1007"/>
        </w:numPr>
        <w:pStyle w:val="Compact"/>
      </w:pPr>
      <w:r>
        <w:rPr>
          <w:bCs/>
          <w:b/>
        </w:rPr>
        <w:t xml:space="preserve">Straße und Rad:</w:t>
      </w:r>
      <w:r>
        <w:t xml:space="preserve"> </w:t>
      </w:r>
      <w:r>
        <w:t xml:space="preserve">A3/E40 in 5–9 km. Der Radschnellweg Eupen–Aachen mit Abzweig Hergenrath ist als Konzept bis 2028 und Bau bis 2035 skizziert (OBL'EU).</w:t>
      </w:r>
    </w:p>
    <w:bookmarkEnd w:id="24"/>
    <w:bookmarkStart w:id="25" w:name="Xa33be441ebaf8391e24e5bab9d9bcb09dcc9027"/>
    <w:p>
      <w:pPr>
        <w:pStyle w:val="Heading3"/>
      </w:pPr>
      <w:r>
        <w:t xml:space="preserve">2.2 Sozio-Demografie</w:t>
      </w:r>
    </w:p>
    <w:p>
      <w:pPr>
        <w:numPr>
          <w:ilvl w:val="0"/>
          <w:numId w:val="1008"/>
        </w:numPr>
        <w:pStyle w:val="Compact"/>
      </w:pPr>
      <w:r>
        <w:t xml:space="preserve">Rund</w:t>
      </w:r>
      <w:r>
        <w:t xml:space="preserve"> </w:t>
      </w:r>
      <w:r>
        <w:rPr>
          <w:bCs/>
          <w:b/>
        </w:rPr>
        <w:t xml:space="preserve">11.350 Einwohner</w:t>
      </w:r>
      <w:r>
        <w:t xml:space="preserve"> </w:t>
      </w:r>
      <w:r>
        <w:t xml:space="preserve">(01.01.2024), davon etwa</w:t>
      </w:r>
      <w:r>
        <w:t xml:space="preserve"> </w:t>
      </w:r>
      <w:r>
        <w:rPr>
          <w:bCs/>
          <w:b/>
        </w:rPr>
        <w:t xml:space="preserve">39 % Nicht-Belgier</w:t>
      </w:r>
      <w:r>
        <w:t xml:space="preserve">, überwiegend Deutsche. Hauptgrund ist die Grenzwanderung: Man wohnt in Belgien und arbeitet in Aachen.</w:t>
      </w:r>
    </w:p>
    <w:p>
      <w:pPr>
        <w:numPr>
          <w:ilvl w:val="0"/>
          <w:numId w:val="1008"/>
        </w:numPr>
        <w:pStyle w:val="Compact"/>
      </w:pPr>
      <w:r>
        <w:t xml:space="preserve">Nur</w:t>
      </w:r>
      <w:r>
        <w:t xml:space="preserve"> </w:t>
      </w:r>
      <w:r>
        <w:rPr>
          <w:bCs/>
          <w:b/>
        </w:rPr>
        <w:t xml:space="preserve">154 Arbeitgeber und ~1.130 Arbeitnehmerstellen</w:t>
      </w:r>
      <w:r>
        <w:t xml:space="preserve">. Die Tagesbevölkerung ist gering, die Pendlerströme gehen nach Deutschland.</w:t>
      </w:r>
    </w:p>
    <w:p>
      <w:pPr>
        <w:numPr>
          <w:ilvl w:val="0"/>
          <w:numId w:val="1008"/>
        </w:numPr>
        <w:pStyle w:val="Compact"/>
      </w:pPr>
      <w:r>
        <w:rPr>
          <w:bCs/>
          <w:b/>
        </w:rPr>
        <w:t xml:space="preserve">Folgerung:</w:t>
      </w:r>
      <w:r>
        <w:t xml:space="preserve"> </w:t>
      </w:r>
      <w:r>
        <w:t xml:space="preserve">Der Talentpool ist bereits vor Ort. Das EMRIQ kann ihn mit dem Angebot „15 statt 45 Minuten zur Arbeit“ ansprechen, etwa über Co-Working für Grenzgänger und Quartiersarbeitsplätze.</w:t>
      </w:r>
    </w:p>
    <w:bookmarkEnd w:id="25"/>
    <w:bookmarkStart w:id="26" w:name="X219344444ca62dadb3586d43713a0f82ddade0f"/>
    <w:p>
      <w:pPr>
        <w:pStyle w:val="Heading3"/>
      </w:pPr>
      <w:r>
        <w:t xml:space="preserve">2.3 Identität als Alleinstellungsmerkmal</w:t>
      </w:r>
    </w:p>
    <w:p>
      <w:pPr>
        <w:pStyle w:val="FirstParagraph"/>
      </w:pPr>
      <w:r>
        <w:rPr>
          <w:bCs/>
          <w:b/>
        </w:rPr>
        <w:t xml:space="preserve">Neutral-Moresnet</w:t>
      </w:r>
      <w:r>
        <w:t xml:space="preserve"> </w:t>
      </w:r>
      <w:r>
        <w:t xml:space="preserve">(1816–1920), die</w:t>
      </w:r>
      <w:r>
        <w:t xml:space="preserve"> </w:t>
      </w:r>
      <w:r>
        <w:rPr>
          <w:bCs/>
          <w:b/>
        </w:rPr>
        <w:t xml:space="preserve">Vieille Montagne</w:t>
      </w:r>
      <w:r>
        <w:t xml:space="preserve"> </w:t>
      </w:r>
      <w:r>
        <w:t xml:space="preserve">(Zinkhütte mit Sozialsystem, Vorläufer von Umicore),</w:t>
      </w:r>
      <w:r>
        <w:t xml:space="preserve"> </w:t>
      </w:r>
      <w:r>
        <w:rPr>
          <w:bCs/>
          <w:b/>
        </w:rPr>
        <w:t xml:space="preserve">Esperanto</w:t>
      </w:r>
      <w:r>
        <w:t xml:space="preserve"> </w:t>
      </w:r>
      <w:r>
        <w:t xml:space="preserve">(„Amikejo“, Ort der Freundschaft) und das Galmei bilden zusammen ein in Europa einzigartiges Narrativ:</w:t>
      </w:r>
      <w:r>
        <w:t xml:space="preserve"> </w:t>
      </w:r>
      <w:r>
        <w:rPr>
          <w:bCs/>
          <w:b/>
        </w:rPr>
        <w:t xml:space="preserve">Materialien – Grenzen überwinden – Verständigung.</w:t>
      </w:r>
      <w:r>
        <w:t xml:space="preserve"> </w:t>
      </w:r>
      <w:r>
        <w:t xml:space="preserve">Es trägt jedes technologische Hauptthema und liefert mit dem</w:t>
      </w:r>
      <w:r>
        <w:t xml:space="preserve"> </w:t>
      </w:r>
      <w:r>
        <w:rPr>
          <w:bCs/>
          <w:b/>
        </w:rPr>
        <w:t xml:space="preserve">Museum Vieille Montagne</w:t>
      </w:r>
      <w:r>
        <w:t xml:space="preserve"> </w:t>
      </w:r>
      <w:r>
        <w:t xml:space="preserve">eine fertige Adresse.</w:t>
      </w:r>
    </w:p>
    <w:bookmarkEnd w:id="26"/>
    <w:bookmarkStart w:id="27" w:name="X643cd509779a37eaab3bd60fae96f8f37daeffe"/>
    <w:p>
      <w:pPr>
        <w:pStyle w:val="Heading3"/>
      </w:pPr>
      <w:r>
        <w:t xml:space="preserve">2.4 Restriktionen (Kostentreiber)</w:t>
      </w:r>
    </w:p>
    <w:p>
      <w:pPr>
        <w:numPr>
          <w:ilvl w:val="0"/>
          <w:numId w:val="1009"/>
        </w:numPr>
        <w:pStyle w:val="Compact"/>
      </w:pPr>
      <w:r>
        <w:rPr>
          <w:bCs/>
          <w:b/>
        </w:rPr>
        <w:t xml:space="preserve">Schwermetalle und Bergbau-Altlasten</w:t>
      </w:r>
      <w:r>
        <w:t xml:space="preserve"> </w:t>
      </w:r>
      <w:r>
        <w:t xml:space="preserve">(Zink, Blei). Die Gemeinde hat einen Sonderausschuss Bergbau. Die ehemalige Tankstelle ist Sanierungsfläche.</w:t>
      </w:r>
    </w:p>
    <w:p>
      <w:pPr>
        <w:numPr>
          <w:ilvl w:val="0"/>
          <w:numId w:val="1009"/>
        </w:numPr>
        <w:pStyle w:val="Compact"/>
      </w:pPr>
      <w:r>
        <w:rPr>
          <w:bCs/>
          <w:b/>
        </w:rPr>
        <w:t xml:space="preserve">Natura 2000 / Galmeirasen</w:t>
      </w:r>
      <w:r>
        <w:t xml:space="preserve"> </w:t>
      </w:r>
      <w:r>
        <w:t xml:space="preserve">im Göhltal, Schutzgebiet am Casinoweiher.</w:t>
      </w:r>
    </w:p>
    <w:p>
      <w:pPr>
        <w:numPr>
          <w:ilvl w:val="0"/>
          <w:numId w:val="1009"/>
        </w:numPr>
        <w:pStyle w:val="Compact"/>
      </w:pPr>
      <w:r>
        <w:rPr>
          <w:bCs/>
          <w:b/>
        </w:rPr>
        <w:t xml:space="preserve">Hochwasser</w:t>
      </w:r>
      <w:r>
        <w:t xml:space="preserve"> </w:t>
      </w:r>
      <w:r>
        <w:t xml:space="preserve">der Göhl (Erfahrung 2021), Trinkwasserfassung „Casino“.</w:t>
      </w:r>
    </w:p>
    <w:p>
      <w:pPr>
        <w:numPr>
          <w:ilvl w:val="0"/>
          <w:numId w:val="1009"/>
        </w:numPr>
        <w:pStyle w:val="Compact"/>
      </w:pPr>
      <w:r>
        <w:rPr>
          <w:bCs/>
          <w:b/>
        </w:rPr>
        <w:t xml:space="preserve">Empfehlung:</w:t>
      </w:r>
      <w:r>
        <w:t xml:space="preserve"> </w:t>
      </w:r>
      <w:r>
        <w:t xml:space="preserve">In der ersten Projektphase ein Boden- und Baugrundscreening einplanen (als Empfehlung, keine Primärerhebung des Auftraggebers).</w:t>
      </w:r>
    </w:p>
    <w:bookmarkEnd w:id="27"/>
    <w:bookmarkStart w:id="28" w:name="X185ea31161d68d690a05d38861ab88e6cab3ddb"/>
    <w:p>
      <w:pPr>
        <w:pStyle w:val="Heading3"/>
      </w:pPr>
      <w:r>
        <w:t xml:space="preserve">2.5 Planungsrecht und Flächen</w:t>
      </w:r>
    </w:p>
    <w:p>
      <w:pPr>
        <w:numPr>
          <w:ilvl w:val="0"/>
          <w:numId w:val="1010"/>
        </w:numPr>
        <w:pStyle w:val="Compact"/>
      </w:pPr>
      <w:r>
        <w:rPr>
          <w:bCs/>
          <w:b/>
        </w:rPr>
        <w:t xml:space="preserve">Lütticher Straße Nord</w:t>
      </w:r>
      <w:r>
        <w:t xml:space="preserve"> </w:t>
      </w:r>
      <w:r>
        <w:t xml:space="preserve">liegt im Sektorenplan als gemischtes Gewerbegebiet (inkl. Flächen außerhalb des Sektorenplans),</w:t>
      </w:r>
      <w:r>
        <w:t xml:space="preserve"> </w:t>
      </w:r>
      <w:r>
        <w:rPr>
          <w:bCs/>
          <w:b/>
        </w:rPr>
        <w:t xml:space="preserve">Süd als Wohngebiet</w:t>
      </w:r>
      <w:r>
        <w:t xml:space="preserve"> </w:t>
      </w:r>
      <w:r>
        <w:t xml:space="preserve">mit real gewerblicher Nutzung.</w:t>
      </w:r>
    </w:p>
    <w:p>
      <w:pPr>
        <w:numPr>
          <w:ilvl w:val="0"/>
          <w:numId w:val="1010"/>
        </w:numPr>
        <w:pStyle w:val="Compact"/>
      </w:pPr>
      <w:r>
        <w:rPr>
          <w:bCs/>
          <w:b/>
        </w:rPr>
        <w:t xml:space="preserve">Zielkonflikt:</w:t>
      </w:r>
      <w:r>
        <w:t xml:space="preserve"> </w:t>
      </w:r>
      <w:r>
        <w:t xml:space="preserve">Die Gewerbeflächenstrategie empfiehlt, Süd zur Gewerbezone umzuwidmen. Für ein Quartier</w:t>
      </w:r>
      <w:r>
        <w:t xml:space="preserve"> </w:t>
      </w:r>
      <w:r>
        <w:rPr>
          <w:bCs/>
          <w:b/>
        </w:rPr>
        <w:t xml:space="preserve">mit Wohnanteil</w:t>
      </w:r>
      <w:r>
        <w:t xml:space="preserve"> </w:t>
      </w:r>
      <w:r>
        <w:t xml:space="preserve">wäre das kontraproduktiv. Die Wohngebietsausweisung erlaubt voraussichtlich eine Mischung aus Wohnen und nicht störender F&amp;E bzw. Dienstleistung (rechtlich zu prüfen). →</w:t>
      </w:r>
      <w:r>
        <w:t xml:space="preserve"> </w:t>
      </w:r>
      <w:r>
        <w:rPr>
          <w:bCs/>
          <w:b/>
        </w:rPr>
        <w:t xml:space="preserve">Im Workshop klären.</w:t>
      </w:r>
    </w:p>
    <w:p>
      <w:pPr>
        <w:numPr>
          <w:ilvl w:val="0"/>
          <w:numId w:val="1010"/>
        </w:numPr>
        <w:pStyle w:val="Compact"/>
      </w:pPr>
      <w:r>
        <w:t xml:space="preserve">Die Reform des Gesetzbuchs über die räumliche Entwicklung (GRE) war 2026 im DG-Parlament in Beratung; der aktuelle Stand ist zu klären. In Kelmis gibt es außerdem ein GKKR-Gebiet, dessen Lage noch offen ist.</w:t>
      </w:r>
    </w:p>
    <w:bookmarkEnd w:id="28"/>
    <w:bookmarkStart w:id="29" w:name="X69dd9b9a6c0c9cea60357f7317b43fc7ae81a58"/>
    <w:p>
      <w:pPr>
        <w:pStyle w:val="Heading3"/>
      </w:pPr>
      <w:r>
        <w:t xml:space="preserve">2.6 Suchräume und Empfehlung</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Kriterium (1–5)</w:t>
            </w:r>
          </w:p>
        </w:tc>
        <w:tc>
          <w:tcPr/>
          <w:p>
            <w:pPr>
              <w:pStyle w:val="Compact"/>
              <w:jc w:val="center"/>
            </w:pPr>
            <w:r>
              <w:t xml:space="preserve">A Museumsachse Nord</w:t>
            </w:r>
          </w:p>
        </w:tc>
        <w:tc>
          <w:tcPr/>
          <w:p>
            <w:pPr>
              <w:pStyle w:val="Compact"/>
              <w:jc w:val="center"/>
            </w:pPr>
            <w:r>
              <w:rPr>
                <w:bCs/>
                <w:b/>
              </w:rPr>
              <w:t xml:space="preserve">B Lütticher Str. Süd</w:t>
            </w:r>
          </w:p>
        </w:tc>
        <w:tc>
          <w:tcPr/>
          <w:p>
            <w:pPr>
              <w:pStyle w:val="Compact"/>
              <w:jc w:val="center"/>
            </w:pPr>
            <w:r>
              <w:t xml:space="preserve">C Bahnhof Hergenrath / Hochheid</w:t>
            </w:r>
          </w:p>
        </w:tc>
        <w:tc>
          <w:tcPr/>
          <w:p>
            <w:pPr>
              <w:pStyle w:val="Compact"/>
              <w:jc w:val="center"/>
            </w:pPr>
            <w:r>
              <w:t xml:space="preserve">D Lütticher Str. 63 (Heimbach)</w:t>
            </w:r>
          </w:p>
        </w:tc>
      </w:tr>
      <w:tr>
        <w:tc>
          <w:tcPr/>
          <w:p>
            <w:pPr>
              <w:pStyle w:val="Compact"/>
              <w:jc w:val="left"/>
            </w:pPr>
            <w:r>
              <w:t xml:space="preserve">ÖV-Erreichbarkeit</w:t>
            </w:r>
          </w:p>
        </w:tc>
        <w:tc>
          <w:tcPr/>
          <w:p>
            <w:pPr>
              <w:pStyle w:val="Compact"/>
              <w:jc w:val="center"/>
            </w:pPr>
            <w:r>
              <w:t xml:space="preserve">3</w:t>
            </w:r>
          </w:p>
        </w:tc>
        <w:tc>
          <w:tcPr/>
          <w:p>
            <w:pPr>
              <w:pStyle w:val="Compact"/>
              <w:jc w:val="center"/>
            </w:pPr>
            <w:r>
              <w:t xml:space="preserve">3</w:t>
            </w:r>
          </w:p>
        </w:tc>
        <w:tc>
          <w:tcPr/>
          <w:p>
            <w:pPr>
              <w:pStyle w:val="Compact"/>
              <w:jc w:val="center"/>
            </w:pPr>
            <w:r>
              <w:rPr>
                <w:bCs/>
                <w:b/>
              </w:rPr>
              <w:t xml:space="preserve">5</w:t>
            </w:r>
          </w:p>
        </w:tc>
        <w:tc>
          <w:tcPr/>
          <w:p>
            <w:pPr>
              <w:pStyle w:val="Compact"/>
              <w:jc w:val="center"/>
            </w:pPr>
            <w:r>
              <w:t xml:space="preserve">2</w:t>
            </w:r>
          </w:p>
        </w:tc>
      </w:tr>
      <w:tr>
        <w:tc>
          <w:tcPr/>
          <w:p>
            <w:pPr>
              <w:pStyle w:val="Compact"/>
              <w:jc w:val="left"/>
            </w:pPr>
            <w:r>
              <w:t xml:space="preserve">Flächengröße</w:t>
            </w:r>
          </w:p>
        </w:tc>
        <w:tc>
          <w:tcPr/>
          <w:p>
            <w:pPr>
              <w:pStyle w:val="Compact"/>
              <w:jc w:val="center"/>
            </w:pPr>
            <w:r>
              <w:rPr>
                <w:bCs/>
                <w:b/>
              </w:rPr>
              <w:t xml:space="preserve">5</w:t>
            </w:r>
            <w:r>
              <w:t xml:space="preserve"> </w:t>
            </w:r>
            <w:r>
              <w:t xml:space="preserve">(~7,2 ha)</w:t>
            </w:r>
          </w:p>
        </w:tc>
        <w:tc>
          <w:tcPr/>
          <w:p>
            <w:pPr>
              <w:pStyle w:val="Compact"/>
              <w:jc w:val="center"/>
            </w:pPr>
            <w:r>
              <w:t xml:space="preserve">4 (~6,0 ha)</w:t>
            </w:r>
          </w:p>
        </w:tc>
        <w:tc>
          <w:tcPr/>
          <w:p>
            <w:pPr>
              <w:pStyle w:val="Compact"/>
              <w:jc w:val="center"/>
            </w:pPr>
            <w:r>
              <w:t xml:space="preserve">2</w:t>
            </w:r>
          </w:p>
        </w:tc>
        <w:tc>
          <w:tcPr/>
          <w:p>
            <w:pPr>
              <w:pStyle w:val="Compact"/>
              <w:jc w:val="center"/>
            </w:pPr>
            <w:r>
              <w:t xml:space="preserve">4 (belegt)</w:t>
            </w:r>
          </w:p>
        </w:tc>
      </w:tr>
      <w:tr>
        <w:tc>
          <w:tcPr/>
          <w:p>
            <w:pPr>
              <w:pStyle w:val="Compact"/>
              <w:jc w:val="left"/>
            </w:pPr>
            <w:r>
              <w:t xml:space="preserve">Verfügbarkeit/Eigentum</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2</w:t>
            </w:r>
          </w:p>
        </w:tc>
        <w:tc>
          <w:tcPr/>
          <w:p>
            <w:pPr>
              <w:pStyle w:val="Compact"/>
              <w:jc w:val="center"/>
            </w:pPr>
            <w:r>
              <w:t xml:space="preserve">1</w:t>
            </w:r>
          </w:p>
        </w:tc>
      </w:tr>
      <w:tr>
        <w:tc>
          <w:tcPr/>
          <w:p>
            <w:pPr>
              <w:pStyle w:val="Compact"/>
              <w:jc w:val="left"/>
            </w:pPr>
            <w:r>
              <w:t xml:space="preserve">Restriktionen (5 = gering)</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3</w:t>
            </w:r>
          </w:p>
        </w:tc>
        <w:tc>
          <w:tcPr/>
          <w:p>
            <w:pPr>
              <w:pStyle w:val="Compact"/>
              <w:jc w:val="center"/>
            </w:pPr>
            <w:r>
              <w:t xml:space="preserve">2</w:t>
            </w:r>
          </w:p>
        </w:tc>
      </w:tr>
      <w:tr>
        <w:tc>
          <w:tcPr/>
          <w:p>
            <w:pPr>
              <w:pStyle w:val="Compact"/>
              <w:jc w:val="left"/>
            </w:pPr>
            <w:r>
              <w:t xml:space="preserve">Einbettung in den Ort</w:t>
            </w:r>
          </w:p>
        </w:tc>
        <w:tc>
          <w:tcPr/>
          <w:p>
            <w:pPr>
              <w:pStyle w:val="Compact"/>
              <w:jc w:val="center"/>
            </w:pPr>
            <w:r>
              <w:t xml:space="preserve">4</w:t>
            </w:r>
          </w:p>
        </w:tc>
        <w:tc>
          <w:tcPr/>
          <w:p>
            <w:pPr>
              <w:pStyle w:val="Compact"/>
              <w:jc w:val="center"/>
            </w:pPr>
            <w:r>
              <w:rPr>
                <w:bCs/>
                <w:b/>
              </w:rPr>
              <w:t xml:space="preserve">5</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Adresse/Sichtbarkeit</w:t>
            </w:r>
          </w:p>
        </w:tc>
        <w:tc>
          <w:tcPr/>
          <w:p>
            <w:pPr>
              <w:pStyle w:val="Compact"/>
              <w:jc w:val="center"/>
            </w:pPr>
            <w:r>
              <w:rPr>
                <w:bCs/>
                <w:b/>
              </w:rPr>
              <w:t xml:space="preserve">5</w:t>
            </w:r>
          </w:p>
        </w:tc>
        <w:tc>
          <w:tcPr/>
          <w:p>
            <w:pPr>
              <w:pStyle w:val="Compact"/>
              <w:jc w:val="center"/>
            </w:pPr>
            <w:r>
              <w:t xml:space="preserve">4</w:t>
            </w:r>
          </w:p>
        </w:tc>
        <w:tc>
          <w:tcPr/>
          <w:p>
            <w:pPr>
              <w:pStyle w:val="Compact"/>
              <w:jc w:val="center"/>
            </w:pPr>
            <w:r>
              <w:t xml:space="preserve">3</w:t>
            </w:r>
          </w:p>
        </w:tc>
        <w:tc>
          <w:tcPr/>
          <w:p>
            <w:pPr>
              <w:pStyle w:val="Compact"/>
              <w:jc w:val="center"/>
            </w:pPr>
            <w:r>
              <w:t xml:space="preserve">3</w:t>
            </w:r>
          </w:p>
        </w:tc>
      </w:tr>
      <w:tr>
        <w:tc>
          <w:tcPr/>
          <w:p>
            <w:pPr>
              <w:pStyle w:val="Compact"/>
              <w:jc w:val="left"/>
            </w:pPr>
            <w:r>
              <w:t xml:space="preserve">Wohnanteil möglich</w:t>
            </w:r>
          </w:p>
        </w:tc>
        <w:tc>
          <w:tcPr/>
          <w:p>
            <w:pPr>
              <w:pStyle w:val="Compact"/>
              <w:jc w:val="center"/>
            </w:pPr>
            <w:r>
              <w:t xml:space="preserve">2</w:t>
            </w:r>
          </w:p>
        </w:tc>
        <w:tc>
          <w:tcPr/>
          <w:p>
            <w:pPr>
              <w:pStyle w:val="Compact"/>
              <w:jc w:val="center"/>
            </w:pPr>
            <w:r>
              <w:rPr>
                <w:bCs/>
                <w:b/>
              </w:rPr>
              <w:t xml:space="preserve">5</w:t>
            </w:r>
          </w:p>
        </w:tc>
        <w:tc>
          <w:tcPr/>
          <w:p>
            <w:pPr>
              <w:pStyle w:val="Compact"/>
              <w:jc w:val="center"/>
            </w:pPr>
            <w:r>
              <w:t xml:space="preserve">3</w:t>
            </w:r>
          </w:p>
        </w:tc>
        <w:tc>
          <w:tcPr/>
          <w:p>
            <w:pPr>
              <w:pStyle w:val="Compact"/>
              <w:jc w:val="center"/>
            </w:pPr>
            <w:r>
              <w:t xml:space="preserve">2</w:t>
            </w:r>
          </w:p>
        </w:tc>
      </w:tr>
      <w:tr>
        <w:tc>
          <w:tcPr/>
          <w:p>
            <w:pPr>
              <w:pStyle w:val="Compact"/>
              <w:jc w:val="left"/>
            </w:pPr>
            <w:r>
              <w:rPr>
                <w:bCs/>
                <w:b/>
              </w:rPr>
              <w:t xml:space="preserve">Summe (max. 35)</w:t>
            </w:r>
          </w:p>
        </w:tc>
        <w:tc>
          <w:tcPr/>
          <w:p>
            <w:pPr>
              <w:pStyle w:val="Compact"/>
              <w:jc w:val="center"/>
            </w:pPr>
            <w:r>
              <w:rPr>
                <w:bCs/>
                <w:b/>
              </w:rPr>
              <w:t xml:space="preserve">24</w:t>
            </w:r>
          </w:p>
        </w:tc>
        <w:tc>
          <w:tcPr/>
          <w:p>
            <w:pPr>
              <w:pStyle w:val="Compact"/>
              <w:jc w:val="center"/>
            </w:pPr>
            <w:r>
              <w:rPr>
                <w:bCs/>
                <w:b/>
              </w:rPr>
              <w:t xml:space="preserve">27</w:t>
            </w:r>
          </w:p>
        </w:tc>
        <w:tc>
          <w:tcPr/>
          <w:p>
            <w:pPr>
              <w:pStyle w:val="Compact"/>
              <w:jc w:val="center"/>
            </w:pPr>
            <w:r>
              <w:rPr>
                <w:bCs/>
                <w:b/>
              </w:rPr>
              <w:t xml:space="preserve">21</w:t>
            </w:r>
          </w:p>
        </w:tc>
        <w:tc>
          <w:tcPr/>
          <w:p>
            <w:pPr>
              <w:pStyle w:val="Compact"/>
              <w:jc w:val="center"/>
            </w:pPr>
            <w:r>
              <w:rPr>
                <w:bCs/>
                <w:b/>
              </w:rPr>
              <w:t xml:space="preserve">17</w:t>
            </w:r>
          </w:p>
        </w:tc>
      </w:tr>
    </w:tbl>
    <w:p>
      <w:pPr>
        <w:pStyle w:val="BodyText"/>
      </w:pPr>
      <w:r>
        <w:rPr>
          <w:bCs/>
          <w:b/>
        </w:rPr>
        <w:t xml:space="preserve">Zwei-Pole-Ansatz:</w:t>
      </w:r>
    </w:p>
    <w:p>
      <w:pPr>
        <w:numPr>
          <w:ilvl w:val="0"/>
          <w:numId w:val="1011"/>
        </w:numPr>
        <w:pStyle w:val="Compact"/>
      </w:pPr>
      <w:r>
        <w:rPr>
          <w:bCs/>
          <w:b/>
        </w:rPr>
        <w:t xml:space="preserve">Pol 1, Kernquartier „Museumsachse Lütticher Straße“ (A + B):</w:t>
      </w:r>
    </w:p>
    <w:p>
      <w:pPr>
        <w:numPr>
          <w:ilvl w:val="1"/>
          <w:numId w:val="1012"/>
        </w:numPr>
        <w:pStyle w:val="Compact"/>
      </w:pPr>
      <w:r>
        <w:t xml:space="preserve">Nord ist Adresse und Arbeitsort: EMRIQ-Haus gegenüber dem Museum, Nachverdichtung des Bauhofs, später das Bushof-Areal.</w:t>
      </w:r>
    </w:p>
    <w:p>
      <w:pPr>
        <w:numPr>
          <w:ilvl w:val="1"/>
          <w:numId w:val="1012"/>
        </w:numPr>
        <w:pStyle w:val="Compact"/>
      </w:pPr>
      <w:r>
        <w:t xml:space="preserve">Süd ist Mischquartier: Wohnen für Forschende und Gründende, Werkstattwohnen, Quartiersplatz, Kita.</w:t>
      </w:r>
    </w:p>
    <w:p>
      <w:pPr>
        <w:numPr>
          <w:ilvl w:val="0"/>
          <w:numId w:val="1011"/>
        </w:numPr>
        <w:pStyle w:val="Compact"/>
      </w:pPr>
      <w:r>
        <w:rPr>
          <w:bCs/>
          <w:b/>
        </w:rPr>
        <w:t xml:space="preserve">Pol 2, Gateway Bahnhof Hergenrath/Hochheid (C):</w:t>
      </w:r>
      <w:r>
        <w:t xml:space="preserve"> </w:t>
      </w:r>
      <w:r>
        <w:t xml:space="preserve">Mobilitätshub mit Bahn, Radschnellweg-Abzweig und Sharing, kleines Arrival-Co-Working, Automations- und Werkstattlabor mit dem ansässigen Betrieb</w:t>
      </w:r>
      <w:r>
        <w:t xml:space="preserve"> </w:t>
      </w:r>
      <w:r>
        <w:rPr>
          <w:bCs/>
          <w:b/>
        </w:rPr>
        <w:t xml:space="preserve">HAHN Automation/Robotics</w:t>
      </w:r>
      <w:r>
        <w:t xml:space="preserve">.</w:t>
      </w:r>
    </w:p>
    <w:p>
      <w:pPr>
        <w:numPr>
          <w:ilvl w:val="0"/>
          <w:numId w:val="1011"/>
        </w:numPr>
        <w:pStyle w:val="Compact"/>
      </w:pPr>
      <w:r>
        <w:rPr>
          <w:bCs/>
          <w:b/>
        </w:rPr>
        <w:t xml:space="preserve">Innovationsachse:</w:t>
      </w:r>
      <w:r>
        <w:t xml:space="preserve"> </w:t>
      </w:r>
      <w:r>
        <w:t xml:space="preserve">3–4 km mit On-Demand- bzw. Shuttle-Takt und hochwertiger Radroute.</w:t>
      </w:r>
    </w:p>
    <w:p>
      <w:pPr>
        <w:numPr>
          <w:ilvl w:val="0"/>
          <w:numId w:val="1011"/>
        </w:numPr>
        <w:pStyle w:val="Compact"/>
      </w:pPr>
      <w:r>
        <w:rPr>
          <w:bCs/>
          <w:b/>
        </w:rPr>
        <w:t xml:space="preserve">Heimbach (D)</w:t>
      </w:r>
      <w:r>
        <w:t xml:space="preserve"> </w:t>
      </w:r>
      <w:r>
        <w:t xml:space="preserve">wird als Unternehmenspartner eingebunden (technische Textilien, Filtration), nicht als Entwicklungsfläche.</w:t>
      </w:r>
    </w:p>
    <w:bookmarkEnd w:id="29"/>
    <w:bookmarkStart w:id="30" w:name="X6c74663db7c6958e5e6a1721b8932030d3d0d19"/>
    <w:p>
      <w:pPr>
        <w:pStyle w:val="Heading3"/>
      </w:pPr>
      <w:r>
        <w:t xml:space="preserve">2.7 SWOT (verdichtet)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Stärken</w:t>
            </w:r>
          </w:p>
        </w:tc>
        <w:tc>
          <w:tcPr/>
          <w:p>
            <w:pPr>
              <w:pStyle w:val="Compact"/>
              <w:jc w:val="left"/>
            </w:pPr>
            <w:r>
              <w:t xml:space="preserve">Schwächen</w:t>
            </w:r>
          </w:p>
        </w:tc>
      </w:tr>
      <w:tr>
        <w:tc>
          <w:tcPr/>
          <w:p>
            <w:pPr>
              <w:pStyle w:val="Compact"/>
              <w:jc w:val="left"/>
            </w:pPr>
            <w:r>
              <w:t xml:space="preserve">Lage zwischen drei Universitäten; Narrativ Neutral-Moresnet; Museum als Adresse; untergenutzte Flächen im Ortskern; Mehrsprachigkeit; günstigeres Wohnen; kurze Wege zwischen Gemeinde und DG</w:t>
            </w:r>
          </w:p>
        </w:tc>
        <w:tc>
          <w:tcPr/>
          <w:p>
            <w:pPr>
              <w:pStyle w:val="Compact"/>
              <w:jc w:val="left"/>
            </w:pPr>
            <w:r>
              <w:t xml:space="preserve">Kaum Arbeitsplätze und kein Innovationsimage; ÖPNV-Takt und Tarifbruch; Altlasten, Natur- und Hochwasserrestriktionen; kleinteiliges Eigentum; Bushof als Fehlnutzung</w:t>
            </w:r>
          </w:p>
        </w:tc>
      </w:tr>
      <w:tr>
        <w:tc>
          <w:tcPr/>
          <w:p>
            <w:pPr>
              <w:pStyle w:val="Compact"/>
              <w:jc w:val="left"/>
            </w:pPr>
            <w:r>
              <w:rPr>
                <w:bCs/>
                <w:b/>
              </w:rPr>
              <w:t xml:space="preserve">Chancen</w:t>
            </w:r>
          </w:p>
        </w:tc>
        <w:tc>
          <w:tcPr/>
          <w:p>
            <w:pPr>
              <w:pStyle w:val="Compact"/>
              <w:jc w:val="left"/>
            </w:pPr>
            <w:r>
              <w:rPr>
                <w:bCs/>
                <w:b/>
              </w:rPr>
              <w:t xml:space="preserve">Risiken</w:t>
            </w:r>
          </w:p>
        </w:tc>
      </w:tr>
      <w:tr>
        <w:tc>
          <w:tcPr/>
          <w:p>
            <w:pPr>
              <w:pStyle w:val="Compact"/>
              <w:jc w:val="left"/>
            </w:pPr>
            <w:r>
              <w:t xml:space="preserve">Flächenengpass in Aachen; Einstein-Teleskop; Hochlauf der EU-Mittel für Resilienz und Verteidigung; belgische Steueranreize; OBL'EU-Schlüsselprojekte; Radschnellweg</w:t>
            </w:r>
          </w:p>
        </w:tc>
        <w:tc>
          <w:tcPr/>
          <w:p>
            <w:pPr>
              <w:pStyle w:val="Compact"/>
              <w:jc w:val="left"/>
            </w:pPr>
            <w:r>
              <w:t xml:space="preserve">ET-Zuschlag geht an Sardinien oder die Lausitz; Konkurrenz durch TPH, Avantis, Brightlands und Liège Science Park; Akzeptanz (Dual-Use, Verdichtung); Legislaturwechsel; Finanzierungslücke beim Labor-Neubau</w:t>
            </w:r>
          </w:p>
        </w:tc>
      </w:tr>
    </w:tbl>
    <w:p>
      <w:r>
        <w:pict>
          <v:rect style="width:0;height:1.5pt" o:hralign="center" o:hrstd="t" o:hr="t"/>
        </w:pict>
      </w:r>
    </w:p>
    <w:bookmarkEnd w:id="30"/>
    <w:bookmarkEnd w:id="31"/>
    <w:bookmarkStart w:id="38" w:name="X86baf8121fbaf7155e85ba6bb73ddc5ee811536"/>
    <w:p>
      <w:pPr>
        <w:pStyle w:val="Heading2"/>
      </w:pPr>
      <w:r>
        <w:t xml:space="preserve">3. Marktanalyse (Kurzfassung von Teilbericht 02)</w:t>
      </w:r>
    </w:p>
    <w:bookmarkStart w:id="32" w:name="Xa8df52f43ec8ae4e219479297e674f257807e68"/>
    <w:p>
      <w:pPr>
        <w:pStyle w:val="Heading3"/>
      </w:pPr>
      <w:r>
        <w:t xml:space="preserve">3.1 Wohnen</w:t>
      </w:r>
    </w:p>
    <w:p>
      <w:pPr>
        <w:numPr>
          <w:ilvl w:val="0"/>
          <w:numId w:val="1013"/>
        </w:numPr>
        <w:pStyle w:val="Compact"/>
      </w:pPr>
      <w:r>
        <w:rPr>
          <w:bCs/>
          <w:b/>
        </w:rPr>
        <w:t xml:space="preserve">Preisgefälle:</w:t>
      </w:r>
      <w:r>
        <w:t xml:space="preserve"> </w:t>
      </w:r>
      <w:r>
        <w:t xml:space="preserve">Angebotsmieten in Aachen liegen bei ~11,4–11,9 €/m², in Kelmis bei ~9–10 €/m² (Einzelinserate). Häuser in Kelmis kosten 2025 überwiegend 180–255 T€, Kelmis zählt laut Statbel zu den Gemeinden mit den günstigsten Wohnungen Belgiens. Bei den Erwerbsnebenkosten zahlt man in der Wallonie 3 % für die eigene Wohnung, in NRW 6,5 %.</w:t>
      </w:r>
    </w:p>
    <w:p>
      <w:pPr>
        <w:numPr>
          <w:ilvl w:val="0"/>
          <w:numId w:val="1013"/>
        </w:numPr>
        <w:pStyle w:val="Compact"/>
      </w:pPr>
      <w:r>
        <w:rPr>
          <w:bCs/>
          <w:b/>
        </w:rPr>
        <w:t xml:space="preserve">Lücke:</w:t>
      </w:r>
      <w:r>
        <w:t xml:space="preserve"> </w:t>
      </w:r>
      <w:r>
        <w:t xml:space="preserve">Es fehlen</w:t>
      </w:r>
      <w:r>
        <w:t xml:space="preserve"> </w:t>
      </w:r>
      <w:r>
        <w:rPr>
          <w:bCs/>
          <w:b/>
        </w:rPr>
        <w:t xml:space="preserve">kleine, möblierte und flexible Einheiten</w:t>
      </w:r>
      <w:r>
        <w:t xml:space="preserve"> </w:t>
      </w:r>
      <w:r>
        <w:t xml:space="preserve">(Mikroapartments, Boarding, Co-Living) sowie gute Mietwohnungen für Doktoranden, Young Professionals, Gründende und Forschende aus dem Ausland. Später kommt Familienwohnen für das ET-Personal hinzu.</w:t>
      </w:r>
    </w:p>
    <w:p>
      <w:pPr>
        <w:numPr>
          <w:ilvl w:val="0"/>
          <w:numId w:val="1013"/>
        </w:numPr>
        <w:pStyle w:val="Compact"/>
      </w:pPr>
      <w:r>
        <w:rPr>
          <w:bCs/>
          <w:b/>
        </w:rPr>
        <w:t xml:space="preserve">Folgerung:</w:t>
      </w:r>
      <w:r>
        <w:t xml:space="preserve"> </w:t>
      </w:r>
      <w:r>
        <w:t xml:space="preserve">Der Preis allein ist kein Selbstläufer. Das Quartier muss</w:t>
      </w:r>
      <w:r>
        <w:t xml:space="preserve"> </w:t>
      </w:r>
      <w:r>
        <w:rPr>
          <w:bCs/>
          <w:b/>
        </w:rPr>
        <w:t xml:space="preserve">Qualität und Services</w:t>
      </w:r>
      <w:r>
        <w:t xml:space="preserve"> </w:t>
      </w:r>
      <w:r>
        <w:t xml:space="preserve">bieten, etwa einen Welcome Service, Kita und internationale Anschlussfähigkeit.</w:t>
      </w:r>
    </w:p>
    <w:bookmarkEnd w:id="32"/>
    <w:bookmarkStart w:id="33" w:name="X0587806a949a0e3d527b3f435dfb23a9241435b"/>
    <w:p>
      <w:pPr>
        <w:pStyle w:val="Heading3"/>
      </w:pPr>
      <w:r>
        <w:t xml:space="preserve">3.2 Gewerbe, Büro und Labor</w:t>
      </w:r>
    </w:p>
    <w:p>
      <w:pPr>
        <w:numPr>
          <w:ilvl w:val="0"/>
          <w:numId w:val="1014"/>
        </w:numPr>
        <w:pStyle w:val="Compact"/>
      </w:pPr>
      <w:r>
        <w:rPr>
          <w:bCs/>
          <w:b/>
        </w:rPr>
        <w:t xml:space="preserve">Engpass in Aachen</w:t>
      </w:r>
      <w:r>
        <w:t xml:space="preserve"> </w:t>
      </w:r>
      <w:r>
        <w:t xml:space="preserve">bei kleinen, flexiblen Flächen bis 1.000 m² („Angebot kaum vorhanden“, Initiative Aachen). Büromieten in Aachen 6,50–22 €/m², in Herzogenrath &lt; 6,50–10 €/m².</w:t>
      </w:r>
    </w:p>
    <w:p>
      <w:pPr>
        <w:numPr>
          <w:ilvl w:val="0"/>
          <w:numId w:val="1014"/>
        </w:numPr>
        <w:pStyle w:val="Compact"/>
      </w:pPr>
      <w:r>
        <w:rPr>
          <w:bCs/>
          <w:b/>
        </w:rPr>
        <w:t xml:space="preserve">Typische Bedarfe von Hardware-Scale-ups:</w:t>
      </w:r>
      <w:r>
        <w:t xml:space="preserve"> </w:t>
      </w:r>
      <w:r>
        <w:t xml:space="preserve">300–1.500 m² als Hybrid aus Büro, Labor und Halle, Werkstatt mit 6–8 m lichter Höhe, schwingungsarme Labore, geteilte Ausstattung.</w:t>
      </w:r>
    </w:p>
    <w:p>
      <w:pPr>
        <w:numPr>
          <w:ilvl w:val="0"/>
          <w:numId w:val="1014"/>
        </w:numPr>
        <w:pStyle w:val="Compact"/>
      </w:pPr>
      <w:r>
        <w:rPr>
          <w:bCs/>
          <w:b/>
        </w:rPr>
        <w:t xml:space="preserve">Positionierung:</w:t>
      </w:r>
      <w:r>
        <w:t xml:space="preserve"> </w:t>
      </w:r>
      <w:r>
        <w:rPr>
          <w:bCs/>
          <w:b/>
        </w:rPr>
        <w:t xml:space="preserve">„Scale-up- und Pilotfertigungsquartier der Euregio, wenige Bahnminuten von Aachen, in Belgien, mit Wohnen.“</w:t>
      </w:r>
      <w:r>
        <w:t xml:space="preserve"> </w:t>
      </w:r>
      <w:r>
        <w:t xml:space="preserve">Die Rollen sind komplementär: RWTH-Campus für Forschung und Gründung, TPH als Inkubator, das EMRIQ für Wachstum, Hybridflächen, Doppelmarktzugang DE+BE und Wohnen.</w:t>
      </w:r>
    </w:p>
    <w:bookmarkEnd w:id="33"/>
    <w:bookmarkStart w:id="34" w:name="X8f7d3276dee875dc5ff6940b17035664cf77499"/>
    <w:p>
      <w:pPr>
        <w:pStyle w:val="Heading3"/>
      </w:pPr>
      <w:r>
        <w:t xml:space="preserve">3.3 Wettbewerbsstandorte</w:t>
      </w:r>
    </w:p>
    <w:p>
      <w:pPr>
        <w:pStyle w:val="FirstParagraph"/>
      </w:pPr>
      <w:r>
        <w:t xml:space="preserve">RWTH Aachen Campus (knapp und teuer, kaum Wohnen), TPH Herzogenrath (Erfahrung, Bestandsbauten), Avantis (grenzüberschreitend, aber langsame Vermarktung; heute vor allem Logistik,</w:t>
      </w:r>
      <w:r>
        <w:t xml:space="preserve"> </w:t>
      </w:r>
      <w:r>
        <w:rPr>
          <w:bCs/>
          <w:b/>
        </w:rPr>
        <w:t xml:space="preserve">Warnbeispiel</w:t>
      </w:r>
      <w:r>
        <w:t xml:space="preserve">), Brightlands (thematisch Life Science, Chemie und Digital), Liège Science Park (groß, frankophon), Kaiserbaracke/Eupen (Fläche, aber kein Innovationsprofil).</w:t>
      </w:r>
      <w:r>
        <w:t xml:space="preserve"> </w:t>
      </w:r>
      <w:r>
        <w:rPr>
          <w:bCs/>
          <w:b/>
        </w:rPr>
        <w:t xml:space="preserve">Lehre aus Avantis:</w:t>
      </w:r>
      <w:r>
        <w:t xml:space="preserve"> </w:t>
      </w:r>
      <w:r>
        <w:t xml:space="preserve">Das Thema als Profil mit Nutzungskorridor festlegen,</w:t>
      </w:r>
      <w:r>
        <w:t xml:space="preserve"> </w:t>
      </w:r>
      <w:r>
        <w:rPr>
          <w:bCs/>
          <w:b/>
        </w:rPr>
        <w:t xml:space="preserve">nicht als exklusive Nutzungsbeschränkung.</w:t>
      </w:r>
    </w:p>
    <w:bookmarkEnd w:id="34"/>
    <w:bookmarkStart w:id="35" w:name="Xbe84ecc2b9b84a71c993da0234afa73a359c013"/>
    <w:p>
      <w:pPr>
        <w:pStyle w:val="Heading3"/>
      </w:pPr>
      <w:r>
        <w:t xml:space="preserve">3.4 Einstein-Teleskop als Nachfrageverstärker</w:t>
      </w:r>
    </w:p>
    <w:p>
      <w:pPr>
        <w:pStyle w:val="FirstParagraph"/>
      </w:pPr>
      <w:r>
        <w:t xml:space="preserve">Baukosten ~2,3 Mrd. € (rund ein Drittel davon Vakuumsystem), ~500 direkte und ~1.150 indirekte Arbeitsplätze. Das Bid Book wird bis 12/2026 fertig, die Entscheidung fällt in der 2. Hälfte 2027, der Bau beginnt ab ~2028, der Betrieb ~2035; Konkurrenten sind Sardinien und die Lausitz (seit 07/2026 gemeinsam). Die Nachfrage käme in</w:t>
      </w:r>
      <w:r>
        <w:t xml:space="preserve"> </w:t>
      </w:r>
      <w:r>
        <w:rPr>
          <w:bCs/>
          <w:b/>
        </w:rPr>
        <w:t xml:space="preserve">drei Wellen</w:t>
      </w:r>
      <w:r>
        <w:t xml:space="preserve">: Projektbüros 2026–28, Zulieferer und Boarding 2028–35, Forschungspersonal mit Familien ab 2035.</w:t>
      </w:r>
      <w:r>
        <w:t xml:space="preserve"> </w:t>
      </w:r>
      <w:r>
        <w:rPr>
          <w:bCs/>
          <w:b/>
        </w:rPr>
        <w:t xml:space="preserve">Im Business Case von Phase 1 setzen wir das ET nicht an; es dient als Story und Upside.</w:t>
      </w:r>
    </w:p>
    <w:bookmarkEnd w:id="35"/>
    <w:bookmarkStart w:id="36" w:name="Xf1c905f5ec6605cb1f98c408583726fa6a39c3d"/>
    <w:p>
      <w:pPr>
        <w:pStyle w:val="Heading3"/>
      </w:pPr>
      <w:r>
        <w:t xml:space="preserve">3.5 Programm und Nachfrage (Schätzung)</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pPr>
          </w:p>
        </w:tc>
        <w:tc>
          <w:tcPr/>
          <w:p>
            <w:pPr>
              <w:pStyle w:val="Compact"/>
              <w:jc w:val="left"/>
            </w:pPr>
            <w:r>
              <w:t xml:space="preserve">Phase 1 „Start“ (Bau 2028–30)</w:t>
            </w:r>
          </w:p>
        </w:tc>
        <w:tc>
          <w:tcPr/>
          <w:p>
            <w:pPr>
              <w:pStyle w:val="Compact"/>
              <w:jc w:val="left"/>
            </w:pPr>
            <w:r>
              <w:t xml:space="preserve">Phase 2 „Wachstum“ (2031–36, Bushof-Areal)</w:t>
            </w:r>
          </w:p>
        </w:tc>
        <w:tc>
          <w:tcPr/>
          <w:p>
            <w:pPr>
              <w:pStyle w:val="Compact"/>
              <w:jc w:val="left"/>
            </w:pPr>
            <w:r>
              <w:t xml:space="preserve">Phase 3 „ET-Skalierung“ (ab 2036, Option)</w:t>
            </w:r>
          </w:p>
        </w:tc>
      </w:tr>
      <w:tr>
        <w:tc>
          <w:tcPr/>
          <w:p>
            <w:pPr>
              <w:pStyle w:val="Compact"/>
              <w:jc w:val="left"/>
            </w:pPr>
            <w:r>
              <w:t xml:space="preserve">Gewerbe-BGF</w:t>
            </w:r>
          </w:p>
        </w:tc>
        <w:tc>
          <w:tcPr/>
          <w:p>
            <w:pPr>
              <w:pStyle w:val="Compact"/>
              <w:jc w:val="left"/>
            </w:pPr>
            <w:r>
              <w:t xml:space="preserve">3.100–4.800 m²</w:t>
            </w:r>
          </w:p>
        </w:tc>
        <w:tc>
          <w:tcPr/>
          <w:p>
            <w:pPr>
              <w:pStyle w:val="Compact"/>
              <w:jc w:val="left"/>
            </w:pPr>
            <w:r>
              <w:t xml:space="preserve">5.500–8.800 m²</w:t>
            </w:r>
          </w:p>
        </w:tc>
        <w:tc>
          <w:tcPr/>
          <w:p>
            <w:pPr>
              <w:pStyle w:val="Compact"/>
              <w:jc w:val="left"/>
            </w:pPr>
            <w:r>
              <w:t xml:space="preserve">8.500–16.000 m²</w:t>
            </w:r>
          </w:p>
        </w:tc>
      </w:tr>
      <w:tr>
        <w:tc>
          <w:tcPr/>
          <w:p>
            <w:pPr>
              <w:pStyle w:val="Compact"/>
              <w:jc w:val="left"/>
            </w:pPr>
            <w:r>
              <w:t xml:space="preserve">davon Büro/Co-Working</w:t>
            </w:r>
          </w:p>
        </w:tc>
        <w:tc>
          <w:tcPr/>
          <w:p>
            <w:pPr>
              <w:pStyle w:val="Compact"/>
              <w:jc w:val="left"/>
            </w:pPr>
            <w:r>
              <w:t xml:space="preserve">1.200–1.800 m²</w:t>
            </w:r>
          </w:p>
        </w:tc>
        <w:tc>
          <w:tcPr/>
          <w:p>
            <w:pPr>
              <w:pStyle w:val="Compact"/>
              <w:jc w:val="left"/>
            </w:pPr>
            <w:r>
              <w:t xml:space="preserve">2.000–3.000 m²</w:t>
            </w:r>
          </w:p>
        </w:tc>
        <w:tc>
          <w:tcPr/>
          <w:p>
            <w:pPr>
              <w:pStyle w:val="Compact"/>
              <w:jc w:val="left"/>
            </w:pPr>
            <w:r>
              <w:t xml:space="preserve">3.000–5.000 m²</w:t>
            </w:r>
          </w:p>
        </w:tc>
      </w:tr>
      <w:tr>
        <w:tc>
          <w:tcPr/>
          <w:p>
            <w:pPr>
              <w:pStyle w:val="Compact"/>
              <w:jc w:val="left"/>
            </w:pPr>
            <w:r>
              <w:t xml:space="preserve">davon Labor/Werkstatt</w:t>
            </w:r>
          </w:p>
        </w:tc>
        <w:tc>
          <w:tcPr/>
          <w:p>
            <w:pPr>
              <w:pStyle w:val="Compact"/>
              <w:jc w:val="left"/>
            </w:pPr>
            <w:r>
              <w:t xml:space="preserve">600–1.000 m²</w:t>
            </w:r>
          </w:p>
        </w:tc>
        <w:tc>
          <w:tcPr/>
          <w:p>
            <w:pPr>
              <w:pStyle w:val="Compact"/>
              <w:jc w:val="left"/>
            </w:pPr>
            <w:r>
              <w:t xml:space="preserve">1.000–2.000 m²</w:t>
            </w:r>
          </w:p>
        </w:tc>
        <w:tc>
          <w:tcPr/>
          <w:p>
            <w:pPr>
              <w:pStyle w:val="Compact"/>
              <w:jc w:val="left"/>
            </w:pPr>
            <w:r>
              <w:t xml:space="preserve">2.000–4.000 m²</w:t>
            </w:r>
          </w:p>
        </w:tc>
      </w:tr>
      <w:tr>
        <w:tc>
          <w:tcPr/>
          <w:p>
            <w:pPr>
              <w:pStyle w:val="Compact"/>
              <w:jc w:val="left"/>
            </w:pPr>
            <w:r>
              <w:t xml:space="preserve">davon skalierbare Hallen</w:t>
            </w:r>
          </w:p>
        </w:tc>
        <w:tc>
          <w:tcPr/>
          <w:p>
            <w:pPr>
              <w:pStyle w:val="Compact"/>
              <w:jc w:val="left"/>
            </w:pPr>
            <w:r>
              <w:t xml:space="preserve">1.000–1.500 m²</w:t>
            </w:r>
          </w:p>
        </w:tc>
        <w:tc>
          <w:tcPr/>
          <w:p>
            <w:pPr>
              <w:pStyle w:val="Compact"/>
              <w:jc w:val="left"/>
            </w:pPr>
            <w:r>
              <w:t xml:space="preserve">2.000–3.000 m²</w:t>
            </w:r>
          </w:p>
        </w:tc>
        <w:tc>
          <w:tcPr/>
          <w:p>
            <w:pPr>
              <w:pStyle w:val="Compact"/>
              <w:jc w:val="left"/>
            </w:pPr>
            <w:r>
              <w:t xml:space="preserve">3.000–6.000 m²</w:t>
            </w:r>
          </w:p>
        </w:tc>
      </w:tr>
      <w:tr>
        <w:tc>
          <w:tcPr/>
          <w:p>
            <w:pPr>
              <w:pStyle w:val="Compact"/>
              <w:jc w:val="left"/>
            </w:pPr>
            <w:r>
              <w:t xml:space="preserve">Wohneinheiten</w:t>
            </w:r>
          </w:p>
        </w:tc>
        <w:tc>
          <w:tcPr/>
          <w:p>
            <w:pPr>
              <w:pStyle w:val="Compact"/>
              <w:jc w:val="left"/>
            </w:pPr>
            <w:r>
              <w:t xml:space="preserve">40–70</w:t>
            </w:r>
          </w:p>
        </w:tc>
        <w:tc>
          <w:tcPr/>
          <w:p>
            <w:pPr>
              <w:pStyle w:val="Compact"/>
              <w:jc w:val="left"/>
            </w:pPr>
            <w:r>
              <w:t xml:space="preserve">80–150</w:t>
            </w:r>
          </w:p>
        </w:tc>
        <w:tc>
          <w:tcPr/>
          <w:p>
            <w:pPr>
              <w:pStyle w:val="Compact"/>
              <w:jc w:val="left"/>
            </w:pPr>
            <w:r>
              <w:t xml:space="preserve">150–300</w:t>
            </w:r>
          </w:p>
        </w:tc>
      </w:tr>
      <w:tr>
        <w:tc>
          <w:tcPr/>
          <w:p>
            <w:pPr>
              <w:pStyle w:val="Compact"/>
              <w:jc w:val="left"/>
            </w:pPr>
            <w:r>
              <w:t xml:space="preserve">Arbeitsplätze (brutto)</w:t>
            </w:r>
          </w:p>
        </w:tc>
        <w:tc>
          <w:tcPr/>
          <w:p>
            <w:pPr>
              <w:pStyle w:val="Compact"/>
              <w:jc w:val="left"/>
            </w:pPr>
            <w:r>
              <w:t xml:space="preserve">80–150</w:t>
            </w:r>
          </w:p>
        </w:tc>
        <w:tc>
          <w:tcPr/>
          <w:p>
            <w:pPr>
              <w:pStyle w:val="Compact"/>
              <w:jc w:val="left"/>
            </w:pPr>
            <w:r>
              <w:t xml:space="preserve">150–300</w:t>
            </w:r>
          </w:p>
        </w:tc>
        <w:tc>
          <w:tcPr/>
          <w:p>
            <w:pPr>
              <w:pStyle w:val="Compact"/>
              <w:jc w:val="left"/>
            </w:pPr>
            <w:r>
              <w:t xml:space="preserve">250–500</w:t>
            </w:r>
          </w:p>
        </w:tc>
      </w:tr>
    </w:tbl>
    <w:p>
      <w:pPr>
        <w:pStyle w:val="BodyText"/>
      </w:pPr>
      <w:r>
        <w:t xml:space="preserve">Absorptionsszenarien: vorsichtig 300–500 m² pro Jahr, Basis 600–1.000 m² pro Jahr (mit Anker und Kooperation RWTH/TPH/WFG), ambitioniert 1.500–2.500 m² pro Jahr (mit ET-Zuschlag). Zum Vergleich wuchs der TPH um durchschnittlich ~700 m² pro Jahr.</w:t>
      </w:r>
    </w:p>
    <w:bookmarkEnd w:id="36"/>
    <w:bookmarkStart w:id="37" w:name="X6975df52483772326e9888eaf217f8c2b5ed5c0"/>
    <w:p>
      <w:pPr>
        <w:pStyle w:val="Heading3"/>
      </w:pPr>
      <w:r>
        <w:t xml:space="preserve">3.6 Zielgruppen (Priorität)</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Zielgruppe</w:t>
            </w:r>
          </w:p>
        </w:tc>
        <w:tc>
          <w:tcPr/>
          <w:p>
            <w:pPr>
              <w:pStyle w:val="Compact"/>
              <w:jc w:val="left"/>
            </w:pPr>
            <w:r>
              <w:t xml:space="preserve">Arbeiten</w:t>
            </w:r>
          </w:p>
        </w:tc>
        <w:tc>
          <w:tcPr/>
          <w:p>
            <w:pPr>
              <w:pStyle w:val="Compact"/>
              <w:jc w:val="left"/>
            </w:pPr>
            <w:r>
              <w:t xml:space="preserve">Wohnen</w:t>
            </w:r>
          </w:p>
        </w:tc>
        <w:tc>
          <w:tcPr/>
          <w:p>
            <w:pPr>
              <w:pStyle w:val="Compact"/>
              <w:jc w:val="left"/>
            </w:pPr>
            <w:r>
              <w:t xml:space="preserve">Prio</w:t>
            </w:r>
          </w:p>
        </w:tc>
      </w:tr>
      <w:tr>
        <w:tc>
          <w:tcPr/>
          <w:p>
            <w:pPr>
              <w:pStyle w:val="Compact"/>
              <w:jc w:val="left"/>
            </w:pPr>
            <w:r>
              <w:t xml:space="preserve">Gründende (RWTH, FH, ULiège, UM)</w:t>
            </w:r>
          </w:p>
        </w:tc>
        <w:tc>
          <w:tcPr/>
          <w:p>
            <w:pPr>
              <w:pStyle w:val="Compact"/>
              <w:jc w:val="left"/>
            </w:pPr>
            <w:r>
              <w:t xml:space="preserve">20–150 m², Co-Working, Shared Lab</w:t>
            </w:r>
          </w:p>
        </w:tc>
        <w:tc>
          <w:tcPr/>
          <w:p>
            <w:pPr>
              <w:pStyle w:val="Compact"/>
              <w:jc w:val="left"/>
            </w:pPr>
            <w:r>
              <w:t xml:space="preserve">Co-Living, Mikroapartment</w:t>
            </w:r>
          </w:p>
        </w:tc>
        <w:tc>
          <w:tcPr/>
          <w:p>
            <w:pPr>
              <w:pStyle w:val="Compact"/>
              <w:jc w:val="left"/>
            </w:pPr>
            <w:r>
              <w:t xml:space="preserve">P1</w:t>
            </w:r>
          </w:p>
        </w:tc>
      </w:tr>
      <w:tr>
        <w:tc>
          <w:tcPr/>
          <w:p>
            <w:pPr>
              <w:pStyle w:val="Compact"/>
              <w:jc w:val="left"/>
            </w:pPr>
            <w:r>
              <w:t xml:space="preserve">Scale-ups (10–60 MA)</w:t>
            </w:r>
          </w:p>
        </w:tc>
        <w:tc>
          <w:tcPr/>
          <w:p>
            <w:pPr>
              <w:pStyle w:val="Compact"/>
              <w:jc w:val="left"/>
            </w:pPr>
            <w:r>
              <w:t xml:space="preserve">300–1.500 m² Hybrid</w:t>
            </w:r>
          </w:p>
        </w:tc>
        <w:tc>
          <w:tcPr/>
          <w:p>
            <w:pPr>
              <w:pStyle w:val="Compact"/>
              <w:jc w:val="left"/>
            </w:pPr>
            <w:r>
              <w:t xml:space="preserve">Mietwohnungen, Boarding</w:t>
            </w:r>
          </w:p>
        </w:tc>
        <w:tc>
          <w:tcPr/>
          <w:p>
            <w:pPr>
              <w:pStyle w:val="Compact"/>
              <w:jc w:val="left"/>
            </w:pPr>
            <w:r>
              <w:t xml:space="preserve">P1</w:t>
            </w:r>
          </w:p>
        </w:tc>
      </w:tr>
      <w:tr>
        <w:tc>
          <w:tcPr/>
          <w:p>
            <w:pPr>
              <w:pStyle w:val="Compact"/>
              <w:jc w:val="left"/>
            </w:pPr>
            <w:r>
              <w:t xml:space="preserve">KMU der DG (Innovationsprojekte)</w:t>
            </w:r>
          </w:p>
        </w:tc>
        <w:tc>
          <w:tcPr/>
          <w:p>
            <w:pPr>
              <w:pStyle w:val="Compact"/>
              <w:jc w:val="left"/>
            </w:pPr>
            <w:r>
              <w:t xml:space="preserve">50–300 m² Projektbüro/Labor</w:t>
            </w:r>
          </w:p>
        </w:tc>
        <w:tc>
          <w:tcPr/>
          <w:p>
            <w:pPr>
              <w:pStyle w:val="Compact"/>
              <w:jc w:val="left"/>
            </w:pPr>
            <w:r>
              <w:t xml:space="preserve">(ortsansässig)</w:t>
            </w:r>
          </w:p>
        </w:tc>
        <w:tc>
          <w:tcPr/>
          <w:p>
            <w:pPr>
              <w:pStyle w:val="Compact"/>
              <w:jc w:val="left"/>
            </w:pPr>
            <w:r>
              <w:t xml:space="preserve">P1</w:t>
            </w:r>
          </w:p>
        </w:tc>
      </w:tr>
      <w:tr>
        <w:tc>
          <w:tcPr/>
          <w:p>
            <w:pPr>
              <w:pStyle w:val="Compact"/>
              <w:jc w:val="left"/>
            </w:pPr>
            <w:r>
              <w:t xml:space="preserve">Forschungseinrichtungen und Außenstellen (Fraunhofer, RWTH, ULiège, ET-Konsortium)</w:t>
            </w:r>
          </w:p>
        </w:tc>
        <w:tc>
          <w:tcPr/>
          <w:p>
            <w:pPr>
              <w:pStyle w:val="Compact"/>
              <w:jc w:val="left"/>
            </w:pPr>
            <w:r>
              <w:t xml:space="preserve">200–1.000 m², Prüfstände</w:t>
            </w:r>
          </w:p>
        </w:tc>
        <w:tc>
          <w:tcPr/>
          <w:p>
            <w:pPr>
              <w:pStyle w:val="Compact"/>
              <w:jc w:val="left"/>
            </w:pPr>
            <w:r>
              <w:t xml:space="preserve">Gästewohnungen</w:t>
            </w:r>
          </w:p>
        </w:tc>
        <w:tc>
          <w:tcPr/>
          <w:p>
            <w:pPr>
              <w:pStyle w:val="Compact"/>
              <w:jc w:val="left"/>
            </w:pPr>
            <w:r>
              <w:t xml:space="preserve">P1–P2</w:t>
            </w:r>
          </w:p>
        </w:tc>
      </w:tr>
      <w:tr>
        <w:tc>
          <w:tcPr/>
          <w:p>
            <w:pPr>
              <w:pStyle w:val="Compact"/>
              <w:jc w:val="left"/>
            </w:pPr>
            <w:r>
              <w:t xml:space="preserve">Satelliten von Großunternehmen (Photonik, Space, Dual-Use)</w:t>
            </w:r>
          </w:p>
        </w:tc>
        <w:tc>
          <w:tcPr/>
          <w:p>
            <w:pPr>
              <w:pStyle w:val="Compact"/>
              <w:jc w:val="left"/>
            </w:pPr>
            <w:r>
              <w:t xml:space="preserve">500–3.000 m²</w:t>
            </w:r>
          </w:p>
        </w:tc>
        <w:tc>
          <w:tcPr/>
          <w:p>
            <w:pPr>
              <w:pStyle w:val="Compact"/>
              <w:jc w:val="left"/>
            </w:pPr>
            <w:r>
              <w:t xml:space="preserve">Firmenwohnungen</w:t>
            </w:r>
          </w:p>
        </w:tc>
        <w:tc>
          <w:tcPr/>
          <w:p>
            <w:pPr>
              <w:pStyle w:val="Compact"/>
              <w:jc w:val="left"/>
            </w:pPr>
            <w:r>
              <w:t xml:space="preserve">P2</w:t>
            </w:r>
          </w:p>
        </w:tc>
      </w:tr>
      <w:tr>
        <w:tc>
          <w:tcPr/>
          <w:p>
            <w:pPr>
              <w:pStyle w:val="Compact"/>
              <w:jc w:val="left"/>
            </w:pPr>
            <w:r>
              <w:t xml:space="preserve">Fachkräfte und Forschende aus dem Ausland</w:t>
            </w:r>
          </w:p>
        </w:tc>
        <w:tc>
          <w:tcPr/>
          <w:p>
            <w:pPr>
              <w:pStyle w:val="Compact"/>
              <w:jc w:val="left"/>
            </w:pPr>
            <w:r>
              <w:t xml:space="preserve">–</w:t>
            </w:r>
          </w:p>
        </w:tc>
        <w:tc>
          <w:tcPr/>
          <w:p>
            <w:pPr>
              <w:pStyle w:val="Compact"/>
              <w:jc w:val="left"/>
            </w:pPr>
            <w:r>
              <w:t xml:space="preserve">Familienwohnen, Serviced Apartments</w:t>
            </w:r>
          </w:p>
        </w:tc>
        <w:tc>
          <w:tcPr/>
          <w:p>
            <w:pPr>
              <w:pStyle w:val="Compact"/>
              <w:jc w:val="left"/>
            </w:pPr>
            <w:r>
              <w:t xml:space="preserve">P2–P3</w:t>
            </w:r>
          </w:p>
        </w:tc>
      </w:tr>
      <w:tr>
        <w:tc>
          <w:tcPr/>
          <w:p>
            <w:pPr>
              <w:pStyle w:val="Compact"/>
              <w:jc w:val="left"/>
            </w:pPr>
            <w:r>
              <w:t xml:space="preserve">Studierende und Doktoranden</w:t>
            </w:r>
          </w:p>
        </w:tc>
        <w:tc>
          <w:tcPr/>
          <w:p>
            <w:pPr>
              <w:pStyle w:val="Compact"/>
              <w:jc w:val="left"/>
            </w:pPr>
            <w:r>
              <w:t xml:space="preserve">Co-Working, Abschlussarbeiten</w:t>
            </w:r>
          </w:p>
        </w:tc>
        <w:tc>
          <w:tcPr/>
          <w:p>
            <w:pPr>
              <w:pStyle w:val="Compact"/>
              <w:jc w:val="left"/>
            </w:pPr>
            <w:r>
              <w:t xml:space="preserve">Mikroapartment/WG</w:t>
            </w:r>
          </w:p>
        </w:tc>
        <w:tc>
          <w:tcPr/>
          <w:p>
            <w:pPr>
              <w:pStyle w:val="Compact"/>
              <w:jc w:val="left"/>
            </w:pPr>
            <w:r>
              <w:t xml:space="preserve">P2 (selektiv)</w:t>
            </w:r>
          </w:p>
        </w:tc>
      </w:tr>
    </w:tbl>
    <w:p>
      <w:r>
        <w:pict>
          <v:rect style="width:0;height:1.5pt" o:hralign="center" o:hrstd="t" o:hr="t"/>
        </w:pict>
      </w:r>
    </w:p>
    <w:bookmarkEnd w:id="37"/>
    <w:bookmarkEnd w:id="38"/>
    <w:bookmarkStart w:id="43" w:name="X490ff79579356b3fde1f920b262bb7f4f26bd32"/>
    <w:p>
      <w:pPr>
        <w:pStyle w:val="Heading2"/>
      </w:pPr>
      <w:r>
        <w:t xml:space="preserve">4. Branchenclusteranalysen (Kurzfassung der Teilberichte 03a/03b)</w:t>
      </w:r>
    </w:p>
    <w:bookmarkStart w:id="39" w:name="X5f5c4f849c3a580cf6b7daa2dad33f2721d8e3e"/>
    <w:p>
      <w:pPr>
        <w:pStyle w:val="Heading3"/>
      </w:pPr>
      <w:r>
        <w:t xml:space="preserve">4.1 Methode</w:t>
      </w:r>
    </w:p>
    <w:p>
      <w:pPr>
        <w:pStyle w:val="FirstParagraph"/>
      </w:pPr>
      <w:r>
        <w:t xml:space="preserve">Elf Cluster bzw. Teilcluster wurden mit</w:t>
      </w:r>
      <w:r>
        <w:t xml:space="preserve"> </w:t>
      </w:r>
      <w:r>
        <w:rPr>
          <w:bCs/>
          <w:b/>
        </w:rPr>
        <w:t xml:space="preserve">einer einheitlichen gewichteten Matrix</w:t>
      </w:r>
      <w:r>
        <w:t xml:space="preserve"> </w:t>
      </w:r>
      <w:r>
        <w:t xml:space="preserve">bewertet. Die Kriterien sind regionale Kompetenzbasis (20 %), Markt- und Fördermitteldynamik (20 %), grenzüberschreitender Brückeneffekt (15 %), städtebauliche Verträglichkeit im Ort (15 %), Flächen- und Investitionsrealismus in Kelmis (10 %), Narrativ/USP (10 %) sowie Akzeptanz/Risiko (10 %). Vorgeschaltet ist das</w:t>
      </w:r>
      <w:r>
        <w:t xml:space="preserve"> </w:t>
      </w:r>
      <w:r>
        <w:rPr>
          <w:bCs/>
          <w:b/>
        </w:rPr>
        <w:t xml:space="preserve">K.-o.-Kriterium „themenbildend“</w:t>
      </w:r>
      <w:r>
        <w:t xml:space="preserve">: Zieht das Thema Unternehmen gezielt nach Kelmis, oder beschreibt es nur, wie ein Quartier funktioniert?</w:t>
      </w:r>
    </w:p>
    <w:bookmarkEnd w:id="39"/>
    <w:bookmarkStart w:id="40" w:name="X41ac24b16537893621efb4f064d44220a4ee10b"/>
    <w:p>
      <w:pPr>
        <w:pStyle w:val="Heading3"/>
      </w:pPr>
      <w:r>
        <w:t xml:space="preserve">4.2 Gesamtergebnis</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right"/>
            </w:pPr>
            <w:r>
              <w:t xml:space="preserve">Rang</w:t>
            </w:r>
          </w:p>
        </w:tc>
        <w:tc>
          <w:tcPr/>
          <w:p>
            <w:pPr>
              <w:pStyle w:val="Compact"/>
              <w:jc w:val="left"/>
            </w:pPr>
            <w:r>
              <w:t xml:space="preserve">Cluster</w:t>
            </w:r>
          </w:p>
        </w:tc>
        <w:tc>
          <w:tcPr/>
          <w:p>
            <w:pPr>
              <w:pStyle w:val="Compact"/>
              <w:jc w:val="center"/>
            </w:pPr>
            <w:r>
              <w:t xml:space="preserve">Score</w:t>
            </w:r>
          </w:p>
        </w:tc>
        <w:tc>
          <w:tcPr/>
          <w:p>
            <w:pPr>
              <w:pStyle w:val="Compact"/>
              <w:jc w:val="center"/>
            </w:pPr>
            <w:r>
              <w:t xml:space="preserve">Themenbildend?</w:t>
            </w:r>
          </w:p>
        </w:tc>
        <w:tc>
          <w:tcPr/>
          <w:p>
            <w:pPr>
              <w:pStyle w:val="Compact"/>
              <w:jc w:val="left"/>
            </w:pPr>
            <w:r>
              <w:t xml:space="preserve">Rolle im EMRIQ</w:t>
            </w:r>
          </w:p>
        </w:tc>
      </w:tr>
      <w:tr>
        <w:tc>
          <w:tcPr/>
          <w:p>
            <w:pPr>
              <w:pStyle w:val="Compact"/>
              <w:jc w:val="right"/>
            </w:pPr>
            <w:r>
              <w:t xml:space="preserve">1</w:t>
            </w:r>
          </w:p>
        </w:tc>
        <w:tc>
          <w:tcPr/>
          <w:p>
            <w:pPr>
              <w:pStyle w:val="Compact"/>
              <w:jc w:val="left"/>
            </w:pPr>
            <w:r>
              <w:t xml:space="preserve">B4 Smart Energy/Netze</w:t>
            </w:r>
          </w:p>
        </w:tc>
        <w:tc>
          <w:tcPr/>
          <w:p>
            <w:pPr>
              <w:pStyle w:val="Compact"/>
              <w:jc w:val="center"/>
            </w:pPr>
            <w:r>
              <w:t xml:space="preserve">4,35</w:t>
            </w:r>
          </w:p>
        </w:tc>
        <w:tc>
          <w:tcPr/>
          <w:p>
            <w:pPr>
              <w:pStyle w:val="Compact"/>
              <w:jc w:val="center"/>
            </w:pPr>
            <w:r>
              <w:t xml:space="preserve">nein</w:t>
            </w:r>
          </w:p>
        </w:tc>
        <w:tc>
          <w:tcPr/>
          <w:p>
            <w:pPr>
              <w:pStyle w:val="Compact"/>
              <w:jc w:val="left"/>
            </w:pPr>
            <w:r>
              <w:rPr>
                <w:bCs/>
                <w:b/>
              </w:rPr>
              <w:t xml:space="preserve">Quartiersreallabor</w:t>
            </w:r>
            <w:r>
              <w:t xml:space="preserve"> </w:t>
            </w:r>
            <w:r>
              <w:t xml:space="preserve">„Energiegemeinschaft Neutral-Moresnet“</w:t>
            </w:r>
          </w:p>
        </w:tc>
      </w:tr>
      <w:tr>
        <w:tc>
          <w:tcPr/>
          <w:p>
            <w:pPr>
              <w:pStyle w:val="Compact"/>
              <w:jc w:val="right"/>
            </w:pPr>
            <w:r>
              <w:t xml:space="preserve">2</w:t>
            </w:r>
          </w:p>
        </w:tc>
        <w:tc>
          <w:tcPr/>
          <w:p>
            <w:pPr>
              <w:pStyle w:val="Compact"/>
              <w:jc w:val="left"/>
            </w:pPr>
            <w:r>
              <w:rPr>
                <w:bCs/>
                <w:b/>
              </w:rPr>
              <w:t xml:space="preserve">A1 Einstein-Teleskop &amp; Präzisionstechnik</w:t>
            </w:r>
          </w:p>
        </w:tc>
        <w:tc>
          <w:tcPr/>
          <w:p>
            <w:pPr>
              <w:pStyle w:val="Compact"/>
              <w:jc w:val="center"/>
            </w:pPr>
            <w:r>
              <w:rPr>
                <w:bCs/>
                <w:b/>
              </w:rPr>
              <w:t xml:space="preserve">4,25</w:t>
            </w:r>
            <w:r>
              <w:t xml:space="preserve"> </w:t>
            </w:r>
            <w:r>
              <w:t xml:space="preserve">(ohne ET-Zuschlag 3,80)</w:t>
            </w:r>
          </w:p>
        </w:tc>
        <w:tc>
          <w:tcPr/>
          <w:p>
            <w:pPr>
              <w:pStyle w:val="Compact"/>
              <w:jc w:val="center"/>
            </w:pPr>
            <w:r>
              <w:rPr>
                <w:bCs/>
                <w:b/>
              </w:rPr>
              <w:t xml:space="preserve">ja</w:t>
            </w:r>
          </w:p>
        </w:tc>
        <w:tc>
          <w:tcPr/>
          <w:p>
            <w:pPr>
              <w:pStyle w:val="Compact"/>
              <w:jc w:val="left"/>
            </w:pPr>
            <w:r>
              <w:rPr>
                <w:bCs/>
                <w:b/>
              </w:rPr>
              <w:t xml:space="preserve">Hauptthema (Technologiekern)</w:t>
            </w:r>
          </w:p>
        </w:tc>
      </w:tr>
      <w:tr>
        <w:tc>
          <w:tcPr/>
          <w:p>
            <w:pPr>
              <w:pStyle w:val="Compact"/>
              <w:jc w:val="right"/>
            </w:pPr>
            <w:r>
              <w:t xml:space="preserve">2</w:t>
            </w:r>
          </w:p>
        </w:tc>
        <w:tc>
          <w:tcPr/>
          <w:p>
            <w:pPr>
              <w:pStyle w:val="Compact"/>
              <w:jc w:val="left"/>
            </w:pPr>
            <w:r>
              <w:rPr>
                <w:bCs/>
                <w:b/>
              </w:rPr>
              <w:t xml:space="preserve">B2 Zirkuläres Bauen &amp; Holz</w:t>
            </w:r>
          </w:p>
        </w:tc>
        <w:tc>
          <w:tcPr/>
          <w:p>
            <w:pPr>
              <w:pStyle w:val="Compact"/>
              <w:jc w:val="center"/>
            </w:pPr>
            <w:r>
              <w:rPr>
                <w:bCs/>
                <w:b/>
              </w:rPr>
              <w:t xml:space="preserve">4,25</w:t>
            </w:r>
          </w:p>
        </w:tc>
        <w:tc>
          <w:tcPr/>
          <w:p>
            <w:pPr>
              <w:pStyle w:val="Compact"/>
              <w:jc w:val="center"/>
            </w:pPr>
            <w:r>
              <w:t xml:space="preserve">ja</w:t>
            </w:r>
          </w:p>
        </w:tc>
        <w:tc>
          <w:tcPr/>
          <w:p>
            <w:pPr>
              <w:pStyle w:val="Compact"/>
              <w:jc w:val="left"/>
            </w:pPr>
            <w:r>
              <w:rPr>
                <w:bCs/>
                <w:b/>
              </w:rPr>
              <w:t xml:space="preserve">Verbindliche Bauweise und Demonstrator</w:t>
            </w:r>
            <w:r>
              <w:t xml:space="preserve">; Alternativ-Hauptthema</w:t>
            </w:r>
          </w:p>
        </w:tc>
      </w:tr>
      <w:tr>
        <w:tc>
          <w:tcPr/>
          <w:p>
            <w:pPr>
              <w:pStyle w:val="Compact"/>
              <w:jc w:val="right"/>
            </w:pPr>
            <w:r>
              <w:t xml:space="preserve">4</w:t>
            </w:r>
          </w:p>
        </w:tc>
        <w:tc>
          <w:tcPr/>
          <w:p>
            <w:pPr>
              <w:pStyle w:val="Compact"/>
              <w:jc w:val="left"/>
            </w:pPr>
            <w:r>
              <w:t xml:space="preserve">B1 Digital/KI/Software</w:t>
            </w:r>
          </w:p>
        </w:tc>
        <w:tc>
          <w:tcPr/>
          <w:p>
            <w:pPr>
              <w:pStyle w:val="Compact"/>
              <w:jc w:val="center"/>
            </w:pPr>
            <w:r>
              <w:t xml:space="preserve">4,05</w:t>
            </w:r>
          </w:p>
        </w:tc>
        <w:tc>
          <w:tcPr/>
          <w:p>
            <w:pPr>
              <w:pStyle w:val="Compact"/>
              <w:jc w:val="center"/>
            </w:pPr>
            <w:r>
              <w:t xml:space="preserve">nein</w:t>
            </w:r>
          </w:p>
        </w:tc>
        <w:tc>
          <w:tcPr/>
          <w:p>
            <w:pPr>
              <w:pStyle w:val="Compact"/>
              <w:jc w:val="left"/>
            </w:pPr>
            <w:r>
              <w:t xml:space="preserve">Enabler (Grenzgänger-Co-Working, Satellit des Digital Hub, digitaler Zwilling)</w:t>
            </w:r>
          </w:p>
        </w:tc>
      </w:tr>
      <w:tr>
        <w:tc>
          <w:tcPr/>
          <w:p>
            <w:pPr>
              <w:pStyle w:val="Compact"/>
              <w:jc w:val="right"/>
            </w:pPr>
            <w:r>
              <w:t xml:space="preserve">5</w:t>
            </w:r>
          </w:p>
        </w:tc>
        <w:tc>
          <w:tcPr/>
          <w:p>
            <w:pPr>
              <w:pStyle w:val="Compact"/>
              <w:jc w:val="left"/>
            </w:pPr>
            <w:r>
              <w:t xml:space="preserve">A4 Space &amp; Robotik/Automation</w:t>
            </w:r>
          </w:p>
        </w:tc>
        <w:tc>
          <w:tcPr/>
          <w:p>
            <w:pPr>
              <w:pStyle w:val="Compact"/>
              <w:jc w:val="center"/>
            </w:pPr>
            <w:r>
              <w:t xml:space="preserve">3,65</w:t>
            </w:r>
          </w:p>
        </w:tc>
        <w:tc>
          <w:tcPr/>
          <w:p>
            <w:pPr>
              <w:pStyle w:val="Compact"/>
              <w:jc w:val="center"/>
            </w:pPr>
            <w:r>
              <w:t xml:space="preserve">teilweise</w:t>
            </w:r>
          </w:p>
        </w:tc>
        <w:tc>
          <w:tcPr/>
          <w:p>
            <w:pPr>
              <w:pStyle w:val="Compact"/>
              <w:jc w:val="left"/>
            </w:pPr>
            <w:r>
              <w:rPr>
                <w:bCs/>
                <w:b/>
              </w:rPr>
              <w:t xml:space="preserve">Anwendungsmarkt</w:t>
            </w:r>
            <w:r>
              <w:t xml:space="preserve"> </w:t>
            </w:r>
            <w:r>
              <w:t xml:space="preserve">des Hauptthemas; Automation mit HAHN in Hochheid</w:t>
            </w:r>
          </w:p>
        </w:tc>
      </w:tr>
      <w:tr>
        <w:tc>
          <w:tcPr/>
          <w:p>
            <w:pPr>
              <w:pStyle w:val="Compact"/>
              <w:jc w:val="right"/>
            </w:pPr>
            <w:r>
              <w:t xml:space="preserve">6</w:t>
            </w:r>
          </w:p>
        </w:tc>
        <w:tc>
          <w:tcPr/>
          <w:p>
            <w:pPr>
              <w:pStyle w:val="Compact"/>
              <w:jc w:val="left"/>
            </w:pPr>
            <w:r>
              <w:t xml:space="preserve">A2 Sicherheit/Verteidigung/Dual-Use</w:t>
            </w:r>
          </w:p>
        </w:tc>
        <w:tc>
          <w:tcPr/>
          <w:p>
            <w:pPr>
              <w:pStyle w:val="Compact"/>
              <w:jc w:val="center"/>
            </w:pPr>
            <w:r>
              <w:t xml:space="preserve">3,55 (nur mit Negativliste)</w:t>
            </w:r>
          </w:p>
        </w:tc>
        <w:tc>
          <w:tcPr/>
          <w:p>
            <w:pPr>
              <w:pStyle w:val="Compact"/>
              <w:jc w:val="center"/>
            </w:pPr>
            <w:r>
              <w:t xml:space="preserve">teilweise</w:t>
            </w:r>
          </w:p>
        </w:tc>
        <w:tc>
          <w:tcPr/>
          <w:p>
            <w:pPr>
              <w:pStyle w:val="Compact"/>
              <w:jc w:val="left"/>
            </w:pPr>
            <w:r>
              <w:rPr>
                <w:bCs/>
                <w:b/>
              </w:rPr>
              <w:t xml:space="preserve">Zivil geführte Dual-Use-Schicht</w:t>
            </w:r>
            <w:r>
              <w:t xml:space="preserve">; Waffen, Munition und Explosivstoffe ausgeschlossen</w:t>
            </w:r>
          </w:p>
        </w:tc>
      </w:tr>
      <w:tr>
        <w:tc>
          <w:tcPr/>
          <w:p>
            <w:pPr>
              <w:pStyle w:val="Compact"/>
              <w:jc w:val="right"/>
            </w:pPr>
            <w:r>
              <w:t xml:space="preserve">6</w:t>
            </w:r>
          </w:p>
        </w:tc>
        <w:tc>
          <w:tcPr/>
          <w:p>
            <w:pPr>
              <w:pStyle w:val="Compact"/>
              <w:jc w:val="left"/>
            </w:pPr>
            <w:r>
              <w:t xml:space="preserve">B1-Teil Autonome Mobilität</w:t>
            </w:r>
          </w:p>
        </w:tc>
        <w:tc>
          <w:tcPr/>
          <w:p>
            <w:pPr>
              <w:pStyle w:val="Compact"/>
              <w:jc w:val="center"/>
            </w:pPr>
            <w:r>
              <w:t xml:space="preserve">3,55</w:t>
            </w:r>
          </w:p>
        </w:tc>
        <w:tc>
          <w:tcPr/>
          <w:p>
            <w:pPr>
              <w:pStyle w:val="Compact"/>
              <w:jc w:val="center"/>
            </w:pPr>
            <w:r>
              <w:t xml:space="preserve">nein</w:t>
            </w:r>
          </w:p>
        </w:tc>
        <w:tc>
          <w:tcPr/>
          <w:p>
            <w:pPr>
              <w:pStyle w:val="Compact"/>
              <w:jc w:val="left"/>
            </w:pPr>
            <w:r>
              <w:t xml:space="preserve">Shuttle-Reallabor Hergenrath–Museum</w:t>
            </w:r>
          </w:p>
        </w:tc>
      </w:tr>
      <w:tr>
        <w:tc>
          <w:tcPr/>
          <w:p>
            <w:pPr>
              <w:pStyle w:val="Compact"/>
              <w:jc w:val="right"/>
            </w:pPr>
            <w:r>
              <w:t xml:space="preserve">6</w:t>
            </w:r>
          </w:p>
        </w:tc>
        <w:tc>
          <w:tcPr/>
          <w:p>
            <w:pPr>
              <w:pStyle w:val="Compact"/>
              <w:jc w:val="left"/>
            </w:pPr>
            <w:r>
              <w:t xml:space="preserve">B5 Kultur/Tourismus</w:t>
            </w:r>
          </w:p>
        </w:tc>
        <w:tc>
          <w:tcPr/>
          <w:p>
            <w:pPr>
              <w:pStyle w:val="Compact"/>
              <w:jc w:val="center"/>
            </w:pPr>
            <w:r>
              <w:t xml:space="preserve">3,55</w:t>
            </w:r>
          </w:p>
        </w:tc>
        <w:tc>
          <w:tcPr/>
          <w:p>
            <w:pPr>
              <w:pStyle w:val="Compact"/>
              <w:jc w:val="center"/>
            </w:pPr>
            <w:r>
              <w:t xml:space="preserve">nein</w:t>
            </w:r>
          </w:p>
        </w:tc>
        <w:tc>
          <w:tcPr/>
          <w:p>
            <w:pPr>
              <w:pStyle w:val="Compact"/>
              <w:jc w:val="left"/>
            </w:pPr>
            <w:r>
              <w:t xml:space="preserve">Identität und Lebensqualität (Museum, Neutral-Moresnet)</w:t>
            </w:r>
          </w:p>
        </w:tc>
      </w:tr>
      <w:tr>
        <w:tc>
          <w:tcPr/>
          <w:p>
            <w:pPr>
              <w:pStyle w:val="Compact"/>
              <w:jc w:val="right"/>
            </w:pPr>
            <w:r>
              <w:t xml:space="preserve">9</w:t>
            </w:r>
          </w:p>
        </w:tc>
        <w:tc>
          <w:tcPr/>
          <w:p>
            <w:pPr>
              <w:pStyle w:val="Compact"/>
              <w:jc w:val="left"/>
            </w:pPr>
            <w:r>
              <w:t xml:space="preserve">B3 Health/MedTech</w:t>
            </w:r>
          </w:p>
        </w:tc>
        <w:tc>
          <w:tcPr/>
          <w:p>
            <w:pPr>
              <w:pStyle w:val="Compact"/>
              <w:jc w:val="center"/>
            </w:pPr>
            <w:r>
              <w:t xml:space="preserve">3,50</w:t>
            </w:r>
          </w:p>
        </w:tc>
        <w:tc>
          <w:tcPr/>
          <w:p>
            <w:pPr>
              <w:pStyle w:val="Compact"/>
              <w:jc w:val="center"/>
            </w:pPr>
            <w:r>
              <w:t xml:space="preserve">nein (besetzt)</w:t>
            </w:r>
          </w:p>
        </w:tc>
        <w:tc>
          <w:tcPr/>
          <w:p>
            <w:pPr>
              <w:pStyle w:val="Compact"/>
              <w:jc w:val="left"/>
            </w:pPr>
            <w:r>
              <w:t xml:space="preserve">Nische „gesund wohnen und älter werden“</w:t>
            </w:r>
          </w:p>
        </w:tc>
      </w:tr>
      <w:tr>
        <w:tc>
          <w:tcPr/>
          <w:p>
            <w:pPr>
              <w:pStyle w:val="Compact"/>
              <w:jc w:val="right"/>
            </w:pPr>
            <w:r>
              <w:t xml:space="preserve">10</w:t>
            </w:r>
          </w:p>
        </w:tc>
        <w:tc>
          <w:tcPr/>
          <w:p>
            <w:pPr>
              <w:pStyle w:val="Compact"/>
              <w:jc w:val="left"/>
            </w:pPr>
            <w:r>
              <w:t xml:space="preserve">B4-Teil Wasserstoff</w:t>
            </w:r>
          </w:p>
        </w:tc>
        <w:tc>
          <w:tcPr/>
          <w:p>
            <w:pPr>
              <w:pStyle w:val="Compact"/>
              <w:jc w:val="center"/>
            </w:pPr>
            <w:r>
              <w:t xml:space="preserve">3,20</w:t>
            </w:r>
          </w:p>
        </w:tc>
        <w:tc>
          <w:tcPr/>
          <w:p>
            <w:pPr>
              <w:pStyle w:val="Compact"/>
              <w:jc w:val="center"/>
            </w:pPr>
            <w:r>
              <w:t xml:space="preserve">nein</w:t>
            </w:r>
          </w:p>
        </w:tc>
        <w:tc>
          <w:tcPr/>
          <w:p>
            <w:pPr>
              <w:pStyle w:val="Compact"/>
              <w:jc w:val="left"/>
            </w:pPr>
            <w:r>
              <w:t xml:space="preserve">Netzwerkthema, kein Standortthema</w:t>
            </w:r>
          </w:p>
        </w:tc>
      </w:tr>
      <w:tr>
        <w:tc>
          <w:tcPr/>
          <w:p>
            <w:pPr>
              <w:pStyle w:val="Compact"/>
              <w:jc w:val="right"/>
            </w:pPr>
            <w:r>
              <w:t xml:space="preserve">11</w:t>
            </w:r>
          </w:p>
        </w:tc>
        <w:tc>
          <w:tcPr/>
          <w:p>
            <w:pPr>
              <w:pStyle w:val="Compact"/>
              <w:jc w:val="left"/>
            </w:pPr>
            <w:r>
              <w:t xml:space="preserve">A3 Advanced Materials/Kreislauf-Metalle</w:t>
            </w:r>
          </w:p>
        </w:tc>
        <w:tc>
          <w:tcPr/>
          <w:p>
            <w:pPr>
              <w:pStyle w:val="Compact"/>
              <w:jc w:val="center"/>
            </w:pPr>
            <w:r>
              <w:t xml:space="preserve">3,15</w:t>
            </w:r>
          </w:p>
        </w:tc>
        <w:tc>
          <w:tcPr/>
          <w:p>
            <w:pPr>
              <w:pStyle w:val="Compact"/>
              <w:jc w:val="center"/>
            </w:pPr>
            <w:r>
              <w:t xml:space="preserve">nein (vor Ort unverträglich)</w:t>
            </w:r>
          </w:p>
        </w:tc>
        <w:tc>
          <w:tcPr/>
          <w:p>
            <w:pPr>
              <w:pStyle w:val="Compact"/>
              <w:jc w:val="left"/>
            </w:pPr>
            <w:r>
              <w:t xml:space="preserve">Narrativ (Zink → Umicore) und Werkstofflabor</w:t>
            </w:r>
          </w:p>
        </w:tc>
      </w:tr>
    </w:tbl>
    <w:bookmarkEnd w:id="40"/>
    <w:bookmarkStart w:id="41" w:name="X60f65f8520454bf91119eecd71b9335cdb5c635"/>
    <w:p>
      <w:pPr>
        <w:pStyle w:val="Heading3"/>
      </w:pPr>
      <w:r>
        <w:t xml:space="preserve">4.3 Kurzprofile der wichtigsten Cluster</w:t>
      </w:r>
    </w:p>
    <w:p>
      <w:pPr>
        <w:pStyle w:val="FirstParagraph"/>
      </w:pPr>
      <w:r>
        <w:rPr>
          <w:bCs/>
          <w:b/>
        </w:rPr>
        <w:t xml:space="preserve">A1 – Einstein-Teleskop und Präzisionstechnik (Hauptthema).</w:t>
      </w:r>
    </w:p>
    <w:p>
      <w:pPr>
        <w:numPr>
          <w:ilvl w:val="0"/>
          <w:numId w:val="1015"/>
        </w:numPr>
        <w:pStyle w:val="Compact"/>
      </w:pPr>
      <w:r>
        <w:rPr>
          <w:bCs/>
          <w:b/>
        </w:rPr>
        <w:t xml:space="preserve">Technologien:</w:t>
      </w:r>
      <w:r>
        <w:t xml:space="preserve"> </w:t>
      </w:r>
      <w:r>
        <w:t xml:space="preserve">Photonik/Laser, Vakuum, Kryotechnik, Schwingungsisolation, Sensorik, Präzisionsmontage, Datenauswertung.</w:t>
      </w:r>
    </w:p>
    <w:p>
      <w:pPr>
        <w:numPr>
          <w:ilvl w:val="0"/>
          <w:numId w:val="1015"/>
        </w:numPr>
        <w:pStyle w:val="Compact"/>
      </w:pPr>
      <w:r>
        <w:rPr>
          <w:bCs/>
          <w:b/>
        </w:rPr>
        <w:t xml:space="preserve">Basis:</w:t>
      </w:r>
      <w:r>
        <w:t xml:space="preserve"> </w:t>
      </w:r>
      <w:r>
        <w:t xml:space="preserve">RWTH, Fraunhofer ILT/IPT, ULiège/CSL, Nikhef und das NL-Konsortium (z. B. VDL ETG, Demcon), dazu das ET2SMEs-Industrieprogramm, das WFG Ostbelgien und SPI per Absichtserklärung unterstützen.</w:t>
      </w:r>
    </w:p>
    <w:p>
      <w:pPr>
        <w:numPr>
          <w:ilvl w:val="0"/>
          <w:numId w:val="1015"/>
        </w:numPr>
        <w:pStyle w:val="Compact"/>
      </w:pPr>
      <w:r>
        <w:rPr>
          <w:bCs/>
          <w:b/>
        </w:rPr>
        <w:t xml:space="preserve">No-regret:</w:t>
      </w:r>
      <w:r>
        <w:t xml:space="preserve"> </w:t>
      </w:r>
      <w:r>
        <w:t xml:space="preserve">Die Technologien haben auch ohne ET-Zuschlag Märkte, etwa Halbleiter-Equipment, Raumfahrtoptik und Sicherheitssensorik.</w:t>
      </w:r>
    </w:p>
    <w:p>
      <w:pPr>
        <w:numPr>
          <w:ilvl w:val="0"/>
          <w:numId w:val="1015"/>
        </w:numPr>
        <w:pStyle w:val="Compact"/>
      </w:pPr>
      <w:r>
        <w:rPr>
          <w:bCs/>
          <w:b/>
        </w:rPr>
        <w:t xml:space="preserve">Brücke DE–BE–NL:</w:t>
      </w:r>
      <w:r>
        <w:t xml:space="preserve"> </w:t>
      </w:r>
      <w:r>
        <w:t xml:space="preserve">maximal ausgeprägt.</w:t>
      </w:r>
    </w:p>
    <w:p>
      <w:pPr>
        <w:pStyle w:val="FirstParagraph"/>
      </w:pPr>
      <w:r>
        <w:rPr>
          <w:bCs/>
          <w:b/>
        </w:rPr>
        <w:t xml:space="preserve">B2 – Zirkulärer Holz-Hybridbau.</w:t>
      </w:r>
    </w:p>
    <w:p>
      <w:pPr>
        <w:numPr>
          <w:ilvl w:val="0"/>
          <w:numId w:val="1016"/>
        </w:numPr>
        <w:pStyle w:val="Compact"/>
      </w:pPr>
      <w:r>
        <w:t xml:space="preserve">Starker Brückeneffekt: Rohstoff und Fertigung liegen in Ostbelgien (rund 80 Holzbetriebe), Forschung und Nachfrage in DE und NL.</w:t>
      </w:r>
    </w:p>
    <w:p>
      <w:pPr>
        <w:numPr>
          <w:ilvl w:val="0"/>
          <w:numId w:val="1016"/>
        </w:numPr>
        <w:pStyle w:val="Compact"/>
      </w:pPr>
      <w:r>
        <w:t xml:space="preserve">Starkes Narrativ: „vom Zinkberg zum Holzquartier“. Das Quartier selbst wird zum Demonstrator.</w:t>
      </w:r>
    </w:p>
    <w:p>
      <w:pPr>
        <w:numPr>
          <w:ilvl w:val="0"/>
          <w:numId w:val="1016"/>
        </w:numPr>
        <w:pStyle w:val="Compact"/>
      </w:pPr>
      <w:r>
        <w:t xml:space="preserve">Die industrielle Basis liegt aber im Süden (Kaiserbaracke), deshalb ist der Cluster als Bauweise in Kelmis und als Thema an der Kaiserbaracke klüger platziert.</w:t>
      </w:r>
    </w:p>
    <w:p>
      <w:pPr>
        <w:pStyle w:val="FirstParagraph"/>
      </w:pPr>
      <w:r>
        <w:rPr>
          <w:bCs/>
          <w:b/>
        </w:rPr>
        <w:t xml:space="preserve">B4 – Smart Energy.</w:t>
      </w:r>
    </w:p>
    <w:p>
      <w:pPr>
        <w:numPr>
          <w:ilvl w:val="0"/>
          <w:numId w:val="1017"/>
        </w:numPr>
        <w:pStyle w:val="Compact"/>
      </w:pPr>
      <w:r>
        <w:t xml:space="preserve">Höchste Punktzahl dank Kompetenz- und Förderdynamik (FZ Jülich LLEC, RWTH, Rheinisches Revier mit 14,8 Mrd. €, nur über deutsche Partner nutzbar).</w:t>
      </w:r>
    </w:p>
    <w:p>
      <w:pPr>
        <w:numPr>
          <w:ilvl w:val="0"/>
          <w:numId w:val="1017"/>
        </w:numPr>
        <w:pStyle w:val="Compact"/>
      </w:pPr>
      <w:r>
        <w:t xml:space="preserve">Es ist aber eine Querschnittsfunktion. Deshalb wird es Quartiersreallabor mit PV-Hallendächern, Wärmenetz, Speicher und Energy Sharing.</w:t>
      </w:r>
    </w:p>
    <w:p>
      <w:pPr>
        <w:pStyle w:val="FirstParagraph"/>
      </w:pPr>
      <w:r>
        <w:rPr>
          <w:bCs/>
          <w:b/>
        </w:rPr>
        <w:t xml:space="preserve">A2 – Sicherheit und Dual-Use.</w:t>
      </w:r>
    </w:p>
    <w:p>
      <w:pPr>
        <w:numPr>
          <w:ilvl w:val="0"/>
          <w:numId w:val="1018"/>
        </w:numPr>
        <w:pStyle w:val="Compact"/>
      </w:pPr>
      <w:r>
        <w:t xml:space="preserve">Stärkste Finanzdynamik: SAFE-Mittel für Belgien vorläufig 8,34 Mrd. €, belgische Strategische Vision 34,8 Mrd. € (2026–2034), wallonische Verteidigungsstrategie seit 06/2026, Defence.Tech.NRW mit Aachener Beteiligung.</w:t>
      </w:r>
    </w:p>
    <w:p>
      <w:pPr>
        <w:numPr>
          <w:ilvl w:val="0"/>
          <w:numId w:val="1018"/>
        </w:numPr>
        <w:pStyle w:val="Compact"/>
      </w:pPr>
      <w:r>
        <w:t xml:space="preserve">Geringste Ortsverträglichkeit und Konflikt mit dem Narrativ „Neutral“-Moresnet. Deshalb nur als</w:t>
      </w:r>
      <w:r>
        <w:t xml:space="preserve"> </w:t>
      </w:r>
      <w:r>
        <w:rPr>
          <w:bCs/>
          <w:b/>
        </w:rPr>
        <w:t xml:space="preserve">zivil geführte, dual-use-fähige Resilienzschicht</w:t>
      </w:r>
      <w:r>
        <w:t xml:space="preserve"> </w:t>
      </w:r>
      <w:r>
        <w:t xml:space="preserve">mit Positiv-/Negativliste, Ethik- und Transparenzcharta und Quartiersbeirat.</w:t>
      </w:r>
    </w:p>
    <w:bookmarkEnd w:id="41"/>
    <w:bookmarkStart w:id="42" w:name="Xf8b9cb035195ba83b440b0c0b98582165614c8a"/>
    <w:p>
      <w:pPr>
        <w:pStyle w:val="Heading3"/>
      </w:pPr>
      <w:r>
        <w:t xml:space="preserve">4.4 Empfohlenes Themenprofil</w:t>
      </w:r>
    </w:p>
    <w:p>
      <w:pPr>
        <w:pStyle w:val="BlockText"/>
      </w:pPr>
      <w:r>
        <w:rPr>
          <w:bCs/>
          <w:b/>
        </w:rPr>
        <w:t xml:space="preserve">„Precision &amp; Resilience Tech – Messen. Verstehen. Schützen.“</w:t>
      </w:r>
      <w:r>
        <w:t xml:space="preserve"> </w:t>
      </w:r>
      <w:r>
        <w:rPr>
          <w:iCs/>
          <w:i/>
        </w:rPr>
        <w:t xml:space="preserve">FR: Précision &amp; Résilience – Mesurer. Comprendre. Protéger. · EN: Measure. Understand. Protect.</w:t>
      </w:r>
    </w:p>
    <w:p>
      <w:pPr>
        <w:numPr>
          <w:ilvl w:val="0"/>
          <w:numId w:val="1019"/>
        </w:numPr>
        <w:pStyle w:val="Compact"/>
      </w:pPr>
      <w:r>
        <w:rPr>
          <w:bCs/>
          <w:b/>
        </w:rPr>
        <w:t xml:space="preserve">Kern (ein Thema):</w:t>
      </w:r>
      <w:r>
        <w:t xml:space="preserve"> </w:t>
      </w:r>
      <w:r>
        <w:t xml:space="preserve">hochpräzise Mess-, Sensor- und Photoniksysteme.</w:t>
      </w:r>
    </w:p>
    <w:p>
      <w:pPr>
        <w:numPr>
          <w:ilvl w:val="0"/>
          <w:numId w:val="1019"/>
        </w:numPr>
        <w:pStyle w:val="Compact"/>
      </w:pPr>
      <w:r>
        <w:rPr>
          <w:bCs/>
          <w:b/>
        </w:rPr>
        <w:t xml:space="preserve">Anwendungsmärkte:</w:t>
      </w:r>
      <w:r>
        <w:t xml:space="preserve"> </w:t>
      </w:r>
      <w:r>
        <w:t xml:space="preserve">Großforschung/ET, Space und Erdbeobachtung, zivile Resilienz (KRITIS, Katastrophenschutz, dual-use-fähig).</w:t>
      </w:r>
    </w:p>
    <w:p>
      <w:pPr>
        <w:numPr>
          <w:ilvl w:val="0"/>
          <w:numId w:val="1019"/>
        </w:numPr>
        <w:pStyle w:val="Compact"/>
      </w:pPr>
      <w:r>
        <w:rPr>
          <w:bCs/>
          <w:b/>
        </w:rPr>
        <w:t xml:space="preserve">Bauweise:</w:t>
      </w:r>
      <w:r>
        <w:t xml:space="preserve"> </w:t>
      </w:r>
      <w:r>
        <w:t xml:space="preserve">zirkulärer Holz-Hybridbau.</w:t>
      </w:r>
      <w:r>
        <w:t xml:space="preserve"> </w:t>
      </w:r>
      <w:r>
        <w:rPr>
          <w:bCs/>
          <w:b/>
        </w:rPr>
        <w:t xml:space="preserve">Betrieb:</w:t>
      </w:r>
      <w:r>
        <w:t xml:space="preserve"> </w:t>
      </w:r>
      <w:r>
        <w:t xml:space="preserve">Energiegemeinschaft.</w:t>
      </w:r>
      <w:r>
        <w:t xml:space="preserve"> </w:t>
      </w:r>
      <w:r>
        <w:rPr>
          <w:bCs/>
          <w:b/>
        </w:rPr>
        <w:t xml:space="preserve">Enabler:</w:t>
      </w:r>
      <w:r>
        <w:t xml:space="preserve"> </w:t>
      </w:r>
      <w:r>
        <w:t xml:space="preserve">Digital.</w:t>
      </w:r>
      <w:r>
        <w:t xml:space="preserve"> </w:t>
      </w:r>
      <w:r>
        <w:rPr>
          <w:bCs/>
          <w:b/>
        </w:rPr>
        <w:t xml:space="preserve">Identität:</w:t>
      </w:r>
      <w:r>
        <w:t xml:space="preserve"> </w:t>
      </w:r>
      <w:r>
        <w:t xml:space="preserve">Neutral-Moresnet/„Amikejo“.</w:t>
      </w:r>
    </w:p>
    <w:p>
      <w:pPr>
        <w:numPr>
          <w:ilvl w:val="0"/>
          <w:numId w:val="1019"/>
        </w:numPr>
        <w:pStyle w:val="Compact"/>
      </w:pPr>
      <w:r>
        <w:rPr>
          <w:bCs/>
          <w:b/>
        </w:rPr>
        <w:t xml:space="preserve">Abgrenzung:</w:t>
      </w:r>
      <w:r>
        <w:t xml:space="preserve"> </w:t>
      </w:r>
      <w:r>
        <w:t xml:space="preserve">keine Großserienfertigung, keine Wirkmittel, keine chemische Metallurgie.</w:t>
      </w:r>
    </w:p>
    <w:p>
      <w:pPr>
        <w:numPr>
          <w:ilvl w:val="0"/>
          <w:numId w:val="1019"/>
        </w:numPr>
        <w:pStyle w:val="Compact"/>
      </w:pPr>
      <w:r>
        <w:rPr>
          <w:bCs/>
          <w:b/>
        </w:rPr>
        <w:t xml:space="preserve">Ortsnarrativ:</w:t>
      </w:r>
      <w:r>
        <w:t xml:space="preserve"> </w:t>
      </w:r>
      <w:r>
        <w:t xml:space="preserve">„Neutraler Boden für präzises Wissen“.</w:t>
      </w:r>
    </w:p>
    <w:p>
      <w:pPr>
        <w:pStyle w:val="FirstParagraph"/>
      </w:pPr>
      <w:r>
        <w:rPr>
          <w:bCs/>
          <w:b/>
        </w:rPr>
        <w:t xml:space="preserve">Warum Präzision vor Holz als Hauptthema?</w:t>
      </w:r>
    </w:p>
    <w:p>
      <w:pPr>
        <w:numPr>
          <w:ilvl w:val="0"/>
          <w:numId w:val="1020"/>
        </w:numPr>
        <w:pStyle w:val="Compact"/>
      </w:pPr>
      <w:r>
        <w:t xml:space="preserve">Präzision passt direkter zum Lastenheft: ET, europäische Industrie- und Sicherheitsstandorte, universitäres Gründerpublikum, Forschung plus Fertigung.</w:t>
      </w:r>
    </w:p>
    <w:p>
      <w:pPr>
        <w:numPr>
          <w:ilvl w:val="0"/>
          <w:numId w:val="1020"/>
        </w:numPr>
        <w:pStyle w:val="Compact"/>
      </w:pPr>
      <w:r>
        <w:t xml:space="preserve">Es entstehen mehr Arbeitsplätze und Wertschöpfung pro m².</w:t>
      </w:r>
    </w:p>
    <w:p>
      <w:pPr>
        <w:numPr>
          <w:ilvl w:val="0"/>
          <w:numId w:val="1020"/>
        </w:numPr>
        <w:pStyle w:val="Compact"/>
      </w:pPr>
      <w:r>
        <w:t xml:space="preserve">Mit Fraunhofer ILT und RWTH-Photonik ist der Bezug zu Aachen direkt; mit HAHN Automation gibt es einen lokalen Anker.</w:t>
      </w:r>
    </w:p>
    <w:p>
      <w:pPr>
        <w:numPr>
          <w:ilvl w:val="0"/>
          <w:numId w:val="1020"/>
        </w:numPr>
        <w:pStyle w:val="Compact"/>
      </w:pPr>
      <w:r>
        <w:t xml:space="preserve">Die beiden prioritären DG-Standorte bekommen klare, nicht konkurrierende Profile:</w:t>
      </w:r>
      <w:r>
        <w:t xml:space="preserve"> </w:t>
      </w:r>
      <w:r>
        <w:rPr>
          <w:bCs/>
          <w:b/>
        </w:rPr>
        <w:t xml:space="preserve">Kelmis für Präzision und Quartier, Kaiserbaracke für Holz und Fläche.</w:t>
      </w:r>
    </w:p>
    <w:p>
      <w:pPr>
        <w:pStyle w:val="FirstParagraph"/>
      </w:pPr>
      <w:r>
        <w:rPr>
          <w:bCs/>
          <w:b/>
        </w:rPr>
        <w:t xml:space="preserve">Alternativszenario „Bauwende-Quartier“</w:t>
      </w:r>
      <w:r>
        <w:t xml:space="preserve"> </w:t>
      </w:r>
      <w:r>
        <w:t xml:space="preserve">(Holz plus Energie als Hauptthema): Es passt, falls die DG ein endogenes, risikoärmeres Profil bevorzugt oder das ET 2027 nicht in die Euregio kommt. Wir legen beide Varianten transparent vor,</w:t>
      </w:r>
      <w:r>
        <w:t xml:space="preserve"> </w:t>
      </w:r>
      <w:r>
        <w:rPr>
          <w:bCs/>
          <w:b/>
        </w:rPr>
        <w:t xml:space="preserve">die Entscheidung trifft die DG</w:t>
      </w:r>
      <w:r>
        <w:t xml:space="preserve"> </w:t>
      </w:r>
      <w:r>
        <w:t xml:space="preserve">(Meilenstein 2).</w:t>
      </w:r>
    </w:p>
    <w:p>
      <w:r>
        <w:pict>
          <v:rect style="width:0;height:1.5pt" o:hralign="center" o:hrstd="t" o:hr="t"/>
        </w:pict>
      </w:r>
    </w:p>
    <w:bookmarkEnd w:id="42"/>
    <w:bookmarkEnd w:id="43"/>
    <w:bookmarkStart w:id="48" w:name="Xa960739fb281da2d7051cf22ceec83429bbe7ec"/>
    <w:p>
      <w:pPr>
        <w:pStyle w:val="Heading2"/>
      </w:pPr>
      <w:r>
        <w:t xml:space="preserve">5. Quartierskonzept: Leitbild, Programm, Ankerprojekte</w:t>
      </w:r>
    </w:p>
    <w:bookmarkStart w:id="44" w:name="X434594350b75e75572185edc0890a51e87f4735"/>
    <w:p>
      <w:pPr>
        <w:pStyle w:val="Heading3"/>
      </w:pPr>
      <w:r>
        <w:t xml:space="preserve">5.1 Leitbild (Arbeitsfassung)</w:t>
      </w:r>
    </w:p>
    <w:p>
      <w:pPr>
        <w:pStyle w:val="BlockText"/>
      </w:pPr>
      <w:r>
        <w:rPr>
          <w:bCs/>
          <w:b/>
        </w:rPr>
        <w:t xml:space="preserve">EMRIQ Kelmis – wo Europa präzise zusammenarbeitet.</w:t>
      </w:r>
      <w:r>
        <w:t xml:space="preserve"> </w:t>
      </w:r>
      <w:r>
        <w:t xml:space="preserve">Auf dem Boden des einstigen Neutral-Moresnet entsteht ein Quartier, in dem Forschende, Gründende und Unternehmen aus Belgien, Deutschland und den Niederlanden Präzisionstechnologien für Wissenschaft, Raumfahrt und eine widerstandsfähige Gesellschaft entwickeln und dort wohnen, wo sie arbeiten. Mit Museum, Seen und Göhltal vor der Tür und Aachen um die Ecke.</w:t>
      </w:r>
    </w:p>
    <w:bookmarkEnd w:id="44"/>
    <w:bookmarkStart w:id="45" w:name="X7ca619e32b7eb57087fdb5ade032461407df2c2"/>
    <w:p>
      <w:pPr>
        <w:pStyle w:val="Heading3"/>
      </w:pPr>
      <w:r>
        <w:t xml:space="preserve">5.2 Ankerprojekte</w:t>
      </w:r>
    </w:p>
    <w:tbl>
      <w:tblPr>
        <w:tblStyle w:val="Table"/>
        <w:tblW w:type="auto" w:w="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Ankerprojekt</w:t>
            </w:r>
          </w:p>
        </w:tc>
        <w:tc>
          <w:tcPr/>
          <w:p>
            <w:pPr>
              <w:pStyle w:val="Compact"/>
              <w:jc w:val="left"/>
            </w:pPr>
            <w:r>
              <w:t xml:space="preserve">Ort / Phase</w:t>
            </w:r>
          </w:p>
        </w:tc>
        <w:tc>
          <w:tcPr/>
          <w:p>
            <w:pPr>
              <w:pStyle w:val="Compact"/>
              <w:jc w:val="left"/>
            </w:pPr>
            <w:r>
              <w:t xml:space="preserve">Inhalt</w:t>
            </w:r>
          </w:p>
        </w:tc>
        <w:tc>
          <w:tcPr/>
          <w:p>
            <w:pPr>
              <w:pStyle w:val="Compact"/>
              <w:jc w:val="left"/>
            </w:pPr>
            <w:r>
              <w:t xml:space="preserve">Mögliche Partner (Ansprachehypothesen)</w:t>
            </w:r>
          </w:p>
        </w:tc>
      </w:tr>
      <w:tr>
        <w:tc>
          <w:tcPr/>
          <w:p>
            <w:pPr>
              <w:pStyle w:val="Compact"/>
              <w:jc w:val="left"/>
            </w:pPr>
            <w:r>
              <w:t xml:space="preserve">1</w:t>
            </w:r>
          </w:p>
        </w:tc>
        <w:tc>
          <w:tcPr/>
          <w:p>
            <w:pPr>
              <w:pStyle w:val="Compact"/>
              <w:jc w:val="left"/>
            </w:pPr>
            <w:r>
              <w:rPr>
                <w:bCs/>
                <w:b/>
              </w:rPr>
              <w:t xml:space="preserve">EMRIQ-Haus / Precision Lab</w:t>
            </w:r>
          </w:p>
        </w:tc>
        <w:tc>
          <w:tcPr/>
          <w:p>
            <w:pPr>
              <w:pStyle w:val="Compact"/>
              <w:jc w:val="left"/>
            </w:pPr>
            <w:r>
              <w:t xml:space="preserve">gegenüber dem Museum, Phase 1</w:t>
            </w:r>
          </w:p>
        </w:tc>
        <w:tc>
          <w:tcPr/>
          <w:p>
            <w:pPr>
              <w:pStyle w:val="Compact"/>
              <w:jc w:val="left"/>
            </w:pPr>
            <w:r>
              <w:t xml:space="preserve">3–4 Geschosse in Holz-Hybridbauweise. Erdgeschoss mit Co-Working, Café und Event als Schnittstelle zum Ort; Obergeschosse mit Büromodulen von 20–200 m² und schwingungsarmen Optik- und Messlaboren; rückwärtig skalierbare Hallen für Vakuum- und Kryotests sowie Pilotfertigung</w:t>
            </w:r>
          </w:p>
        </w:tc>
        <w:tc>
          <w:tcPr/>
          <w:p>
            <w:pPr>
              <w:pStyle w:val="Compact"/>
              <w:jc w:val="left"/>
            </w:pPr>
            <w:r>
              <w:t xml:space="preserve">Ausgründungen von RWTH und Fraunhofer ILT, ET2SMEs-Firmen, WFG, AGR Kelmis</w:t>
            </w:r>
          </w:p>
        </w:tc>
      </w:tr>
      <w:tr>
        <w:tc>
          <w:tcPr/>
          <w:p>
            <w:pPr>
              <w:pStyle w:val="Compact"/>
              <w:jc w:val="left"/>
            </w:pPr>
            <w:r>
              <w:t xml:space="preserve">2</w:t>
            </w:r>
          </w:p>
        </w:tc>
        <w:tc>
          <w:tcPr/>
          <w:p>
            <w:pPr>
              <w:pStyle w:val="Compact"/>
              <w:jc w:val="left"/>
            </w:pPr>
            <w:r>
              <w:rPr>
                <w:bCs/>
                <w:b/>
              </w:rPr>
              <w:t xml:space="preserve">ET-Gateway am Museum Vieille Montagne</w:t>
            </w:r>
          </w:p>
        </w:tc>
        <w:tc>
          <w:tcPr/>
          <w:p>
            <w:pPr>
              <w:pStyle w:val="Compact"/>
              <w:jc w:val="left"/>
            </w:pPr>
            <w:r>
              <w:t xml:space="preserve">Museum/Vorplatz, ab 2027</w:t>
            </w:r>
          </w:p>
        </w:tc>
        <w:tc>
          <w:tcPr/>
          <w:p>
            <w:pPr>
              <w:pStyle w:val="Compact"/>
              <w:jc w:val="left"/>
            </w:pPr>
            <w:r>
              <w:t xml:space="preserve">Industrie- und Besucherschaufenster, Matchmaking-Büro für Zulieferer, Welcome Service für Forschende; Museum als Ankermieter (fehlende Büros)</w:t>
            </w:r>
          </w:p>
        </w:tc>
        <w:tc>
          <w:tcPr/>
          <w:p>
            <w:pPr>
              <w:pStyle w:val="Compact"/>
              <w:jc w:val="left"/>
            </w:pPr>
            <w:r>
              <w:t xml:space="preserve">ET-EMR-Projektbüro, Museum, LIOF, AGIT, Interface ULiège, WFG, SPI</w:t>
            </w:r>
          </w:p>
        </w:tc>
      </w:tr>
      <w:tr>
        <w:tc>
          <w:tcPr/>
          <w:p>
            <w:pPr>
              <w:pStyle w:val="Compact"/>
              <w:jc w:val="left"/>
            </w:pPr>
            <w:r>
              <w:t xml:space="preserve">3</w:t>
            </w:r>
          </w:p>
        </w:tc>
        <w:tc>
          <w:tcPr/>
          <w:p>
            <w:pPr>
              <w:pStyle w:val="Compact"/>
              <w:jc w:val="left"/>
            </w:pPr>
            <w:r>
              <w:rPr>
                <w:bCs/>
                <w:b/>
              </w:rPr>
              <w:t xml:space="preserve">Automation for Precision</w:t>
            </w:r>
          </w:p>
        </w:tc>
        <w:tc>
          <w:tcPr/>
          <w:p>
            <w:pPr>
              <w:pStyle w:val="Compact"/>
              <w:jc w:val="left"/>
            </w:pPr>
            <w:r>
              <w:t xml:space="preserve">Hochheid (Gateway-Pol), Phase 1–2</w:t>
            </w:r>
          </w:p>
        </w:tc>
        <w:tc>
          <w:tcPr/>
          <w:p>
            <w:pPr>
              <w:pStyle w:val="Compact"/>
              <w:jc w:val="left"/>
            </w:pPr>
            <w:r>
              <w:t xml:space="preserve">Integrations- und Ausbildungslabor für automatisierte Präzisionsmontage, verknüpft mit dualer Ausbildung</w:t>
            </w:r>
          </w:p>
        </w:tc>
        <w:tc>
          <w:tcPr/>
          <w:p>
            <w:pPr>
              <w:pStyle w:val="Compact"/>
              <w:jc w:val="left"/>
            </w:pPr>
            <w:r>
              <w:t xml:space="preserve">HAHN Automation, Fraunhofer IPT, FH Aachen, ZAWM Eupen</w:t>
            </w:r>
          </w:p>
        </w:tc>
      </w:tr>
      <w:tr>
        <w:tc>
          <w:tcPr/>
          <w:p>
            <w:pPr>
              <w:pStyle w:val="Compact"/>
              <w:jc w:val="left"/>
            </w:pPr>
            <w:r>
              <w:t xml:space="preserve">4</w:t>
            </w:r>
          </w:p>
        </w:tc>
        <w:tc>
          <w:tcPr/>
          <w:p>
            <w:pPr>
              <w:pStyle w:val="Compact"/>
              <w:jc w:val="left"/>
            </w:pPr>
            <w:r>
              <w:rPr>
                <w:bCs/>
                <w:b/>
              </w:rPr>
              <w:t xml:space="preserve">Resilience Sensing Lab</w:t>
            </w:r>
          </w:p>
        </w:tc>
        <w:tc>
          <w:tcPr/>
          <w:p>
            <w:pPr>
              <w:pStyle w:val="Compact"/>
              <w:jc w:val="left"/>
            </w:pPr>
            <w:r>
              <w:t xml:space="preserve">EMRIQ-Haus/Bushof-Areal, Phase 2</w:t>
            </w:r>
          </w:p>
        </w:tc>
        <w:tc>
          <w:tcPr/>
          <w:p>
            <w:pPr>
              <w:pStyle w:val="Compact"/>
              <w:jc w:val="left"/>
            </w:pPr>
            <w:r>
              <w:t xml:space="preserve">Sensorfusion, Erdbeobachtungsdaten, Resilienz für Netze und Wasser (Bezug zur Flut 2021); zivil geführt</w:t>
            </w:r>
          </w:p>
        </w:tc>
        <w:tc>
          <w:tcPr/>
          <w:p>
            <w:pPr>
              <w:pStyle w:val="Compact"/>
              <w:jc w:val="left"/>
            </w:pPr>
            <w:r>
              <w:t xml:space="preserve">CSL/ULiège, Spacebel, FH Aachen, EMRIC</w:t>
            </w:r>
          </w:p>
        </w:tc>
      </w:tr>
      <w:tr>
        <w:tc>
          <w:tcPr/>
          <w:p>
            <w:pPr>
              <w:pStyle w:val="Compact"/>
              <w:jc w:val="left"/>
            </w:pPr>
            <w:r>
              <w:t xml:space="preserve">5</w:t>
            </w:r>
          </w:p>
        </w:tc>
        <w:tc>
          <w:tcPr/>
          <w:p>
            <w:pPr>
              <w:pStyle w:val="Compact"/>
              <w:jc w:val="left"/>
            </w:pPr>
            <w:r>
              <w:rPr>
                <w:bCs/>
                <w:b/>
              </w:rPr>
              <w:t xml:space="preserve">Amikejo Living</w:t>
            </w:r>
          </w:p>
        </w:tc>
        <w:tc>
          <w:tcPr/>
          <w:p>
            <w:pPr>
              <w:pStyle w:val="Compact"/>
              <w:jc w:val="left"/>
            </w:pPr>
            <w:r>
              <w:t xml:space="preserve">Lütticher Straße Süd, Phase 1–2</w:t>
            </w:r>
          </w:p>
        </w:tc>
        <w:tc>
          <w:tcPr/>
          <w:p>
            <w:pPr>
              <w:pStyle w:val="Compact"/>
              <w:jc w:val="left"/>
            </w:pPr>
            <w:r>
              <w:t xml:space="preserve">Gästeapartments, Co-Living und Familienwohnen in Erbpacht (60–99 Jahre), Holzbau; ein Modul für gesundes Altern</w:t>
            </w:r>
          </w:p>
        </w:tc>
        <w:tc>
          <w:tcPr/>
          <w:p>
            <w:pPr>
              <w:pStyle w:val="Compact"/>
              <w:jc w:val="left"/>
            </w:pPr>
            <w:r>
              <w:t xml:space="preserve">AGR Kelmis, ÖWOB, Universitäten (Gästewohnungen)</w:t>
            </w:r>
          </w:p>
        </w:tc>
      </w:tr>
      <w:tr>
        <w:tc>
          <w:tcPr/>
          <w:p>
            <w:pPr>
              <w:pStyle w:val="Compact"/>
              <w:jc w:val="left"/>
            </w:pPr>
            <w:r>
              <w:t xml:space="preserve">6</w:t>
            </w:r>
          </w:p>
        </w:tc>
        <w:tc>
          <w:tcPr/>
          <w:p>
            <w:pPr>
              <w:pStyle w:val="Compact"/>
              <w:jc w:val="left"/>
            </w:pPr>
            <w:r>
              <w:rPr>
                <w:bCs/>
                <w:b/>
              </w:rPr>
              <w:t xml:space="preserve">Energiegemeinschaft Neutral-Moresnet</w:t>
            </w:r>
          </w:p>
        </w:tc>
        <w:tc>
          <w:tcPr/>
          <w:p>
            <w:pPr>
              <w:pStyle w:val="Compact"/>
              <w:jc w:val="left"/>
            </w:pPr>
            <w:r>
              <w:t xml:space="preserve">gesamter Planbereich</w:t>
            </w:r>
          </w:p>
        </w:tc>
        <w:tc>
          <w:tcPr/>
          <w:p>
            <w:pPr>
              <w:pStyle w:val="Compact"/>
              <w:jc w:val="left"/>
            </w:pPr>
            <w:r>
              <w:t xml:space="preserve">PV auf Hallendächern, Wärmenetz, Speicher, E-Mobilität, Energy Sharing; Reallabor mit Forschungstransfer</w:t>
            </w:r>
          </w:p>
        </w:tc>
        <w:tc>
          <w:tcPr/>
          <w:p>
            <w:pPr>
              <w:pStyle w:val="Compact"/>
              <w:jc w:val="left"/>
            </w:pPr>
            <w:r>
              <w:t xml:space="preserve">FZ Jülich (LLEC), Kabelwerk Eupen, ORES, AGR</w:t>
            </w:r>
          </w:p>
        </w:tc>
      </w:tr>
      <w:tr>
        <w:tc>
          <w:tcPr/>
          <w:p>
            <w:pPr>
              <w:pStyle w:val="Compact"/>
              <w:jc w:val="left"/>
            </w:pPr>
            <w:r>
              <w:t xml:space="preserve">7</w:t>
            </w:r>
          </w:p>
        </w:tc>
        <w:tc>
          <w:tcPr/>
          <w:p>
            <w:pPr>
              <w:pStyle w:val="Compact"/>
              <w:jc w:val="left"/>
            </w:pPr>
            <w:r>
              <w:rPr>
                <w:bCs/>
                <w:b/>
              </w:rPr>
              <w:t xml:space="preserve">Innovationsachse Hergenrath–Museum</w:t>
            </w:r>
          </w:p>
        </w:tc>
        <w:tc>
          <w:tcPr/>
          <w:p>
            <w:pPr>
              <w:pStyle w:val="Compact"/>
              <w:jc w:val="left"/>
            </w:pPr>
            <w:r>
              <w:t xml:space="preserve">öffentlicher Raum</w:t>
            </w:r>
          </w:p>
        </w:tc>
        <w:tc>
          <w:tcPr/>
          <w:p>
            <w:pPr>
              <w:pStyle w:val="Compact"/>
              <w:jc w:val="left"/>
            </w:pPr>
            <w:r>
              <w:t xml:space="preserve">Mobilitätshub am Bahnhof, On-Demand- bzw. autonomes Shuttle, Abzweig Radschnellweg, Euregio-Tarif-Pilot</w:t>
            </w:r>
          </w:p>
        </w:tc>
        <w:tc>
          <w:tcPr/>
          <w:p>
            <w:pPr>
              <w:pStyle w:val="Compact"/>
              <w:jc w:val="left"/>
            </w:pPr>
            <w:r>
              <w:t xml:space="preserve">SPW Mobilité, TEC/ASEAG/AVV, RWTH (Modellregion), Keolis</w:t>
            </w:r>
          </w:p>
        </w:tc>
      </w:tr>
      <w:tr>
        <w:tc>
          <w:tcPr/>
          <w:p>
            <w:pPr>
              <w:pStyle w:val="Compact"/>
              <w:jc w:val="left"/>
            </w:pPr>
            <w:r>
              <w:t xml:space="preserve">8</w:t>
            </w:r>
          </w:p>
        </w:tc>
        <w:tc>
          <w:tcPr/>
          <w:p>
            <w:pPr>
              <w:pStyle w:val="Compact"/>
              <w:jc w:val="left"/>
            </w:pPr>
            <w:r>
              <w:rPr>
                <w:bCs/>
                <w:b/>
              </w:rPr>
              <w:t xml:space="preserve">Grenzgänger-Co-Working / Satellit des Digital Hub Ostbelgien</w:t>
            </w:r>
          </w:p>
        </w:tc>
        <w:tc>
          <w:tcPr/>
          <w:p>
            <w:pPr>
              <w:pStyle w:val="Compact"/>
              <w:jc w:val="left"/>
            </w:pPr>
            <w:r>
              <w:t xml:space="preserve">EMRIQ-Haus Erdgeschoss</w:t>
            </w:r>
          </w:p>
        </w:tc>
        <w:tc>
          <w:tcPr/>
          <w:p>
            <w:pPr>
              <w:pStyle w:val="Compact"/>
              <w:jc w:val="left"/>
            </w:pPr>
            <w:r>
              <w:t xml:space="preserve">„15 statt 45 Minuten“, inklusive Beratung zu Steuer und Sozialversicherung bei Telearbeit</w:t>
            </w:r>
          </w:p>
        </w:tc>
        <w:tc>
          <w:tcPr/>
          <w:p>
            <w:pPr>
              <w:pStyle w:val="Compact"/>
              <w:jc w:val="left"/>
            </w:pPr>
            <w:r>
              <w:t xml:space="preserve">digitalHUB Aachen, WFG, GrenzInfoPunkt</w:t>
            </w:r>
          </w:p>
        </w:tc>
      </w:tr>
    </w:tbl>
    <w:bookmarkEnd w:id="45"/>
    <w:bookmarkStart w:id="46" w:name="X45a7f82ebb8d33bfa5652ba5c3141dd3a9056c4"/>
    <w:p>
      <w:pPr>
        <w:pStyle w:val="Heading3"/>
      </w:pPr>
      <w:r>
        <w:t xml:space="preserve">5.3 Phasen (indikativ)</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Phase</w:t>
            </w:r>
          </w:p>
        </w:tc>
        <w:tc>
          <w:tcPr/>
          <w:p>
            <w:pPr>
              <w:pStyle w:val="Compact"/>
              <w:jc w:val="left"/>
            </w:pPr>
            <w:r>
              <w:t xml:space="preserve">Zeitraum</w:t>
            </w:r>
          </w:p>
        </w:tc>
        <w:tc>
          <w:tcPr/>
          <w:p>
            <w:pPr>
              <w:pStyle w:val="Compact"/>
              <w:jc w:val="left"/>
            </w:pPr>
            <w:r>
              <w:t xml:space="preserve">Inhalt</w:t>
            </w:r>
          </w:p>
        </w:tc>
      </w:tr>
      <w:tr>
        <w:tc>
          <w:tcPr/>
          <w:p>
            <w:pPr>
              <w:pStyle w:val="Compact"/>
              <w:jc w:val="left"/>
            </w:pPr>
            <w:r>
              <w:rPr>
                <w:bCs/>
                <w:b/>
              </w:rPr>
              <w:t xml:space="preserve">0 – Konzept und Sicherung</w:t>
            </w:r>
          </w:p>
        </w:tc>
        <w:tc>
          <w:tcPr/>
          <w:p>
            <w:pPr>
              <w:pStyle w:val="Compact"/>
              <w:jc w:val="left"/>
            </w:pPr>
            <w:r>
              <w:t xml:space="preserve">2027–2028</w:t>
            </w:r>
          </w:p>
        </w:tc>
        <w:tc>
          <w:tcPr/>
          <w:p>
            <w:pPr>
              <w:pStyle w:val="Compact"/>
              <w:jc w:val="left"/>
            </w:pPr>
            <w:r>
              <w:t xml:space="preserve">Entwicklungskonzept (dieser Auftrag), Eintrag ins ET-Bid-Book, Flächensicherung über die AGR, Boden- und Baugrundscreening, Förderanträge (EFRE/Interreg), Ankermieter-LoIs, Planungsrecht Süd</w:t>
            </w:r>
          </w:p>
        </w:tc>
      </w:tr>
      <w:tr>
        <w:tc>
          <w:tcPr/>
          <w:p>
            <w:pPr>
              <w:pStyle w:val="Compact"/>
              <w:jc w:val="left"/>
            </w:pPr>
            <w:r>
              <w:rPr>
                <w:bCs/>
                <w:b/>
              </w:rPr>
              <w:t xml:space="preserve">1 – Start</w:t>
            </w:r>
          </w:p>
        </w:tc>
        <w:tc>
          <w:tcPr/>
          <w:p>
            <w:pPr>
              <w:pStyle w:val="Compact"/>
              <w:jc w:val="left"/>
            </w:pPr>
            <w:r>
              <w:t xml:space="preserve">2028–2030</w:t>
            </w:r>
          </w:p>
        </w:tc>
        <w:tc>
          <w:tcPr/>
          <w:p>
            <w:pPr>
              <w:pStyle w:val="Compact"/>
              <w:jc w:val="left"/>
            </w:pPr>
            <w:r>
              <w:t xml:space="preserve">EMRIQ-Haus, Amikejo Living (Modul 1), Mobilitätsbaustein, Energiezentrale; ≥ 40 % Vorvermietung</w:t>
            </w:r>
          </w:p>
        </w:tc>
      </w:tr>
      <w:tr>
        <w:tc>
          <w:tcPr/>
          <w:p>
            <w:pPr>
              <w:pStyle w:val="Compact"/>
              <w:jc w:val="left"/>
            </w:pPr>
            <w:r>
              <w:rPr>
                <w:bCs/>
                <w:b/>
              </w:rPr>
              <w:t xml:space="preserve">2 – Wachstum</w:t>
            </w:r>
          </w:p>
        </w:tc>
        <w:tc>
          <w:tcPr/>
          <w:p>
            <w:pPr>
              <w:pStyle w:val="Compact"/>
              <w:jc w:val="left"/>
            </w:pPr>
            <w:r>
              <w:t xml:space="preserve">2031–2036</w:t>
            </w:r>
          </w:p>
        </w:tc>
        <w:tc>
          <w:tcPr/>
          <w:p>
            <w:pPr>
              <w:pStyle w:val="Compact"/>
              <w:jc w:val="left"/>
            </w:pPr>
            <w:r>
              <w:t xml:space="preserve">Verlagerung des Bushofs (z. B. im Zuge der Elektrifizierung) und mehrgeschossiger Scale-up-Baustein; Hochheid; weitere Wohnmodule</w:t>
            </w:r>
          </w:p>
        </w:tc>
      </w:tr>
      <w:tr>
        <w:tc>
          <w:tcPr/>
          <w:p>
            <w:pPr>
              <w:pStyle w:val="Compact"/>
              <w:jc w:val="left"/>
            </w:pPr>
            <w:r>
              <w:rPr>
                <w:bCs/>
                <w:b/>
              </w:rPr>
              <w:t xml:space="preserve">3 – Skalierung</w:t>
            </w:r>
          </w:p>
        </w:tc>
        <w:tc>
          <w:tcPr/>
          <w:p>
            <w:pPr>
              <w:pStyle w:val="Compact"/>
              <w:jc w:val="left"/>
            </w:pPr>
            <w:r>
              <w:t xml:space="preserve">ab 2036 (Option)</w:t>
            </w:r>
          </w:p>
        </w:tc>
        <w:tc>
          <w:tcPr/>
          <w:p>
            <w:pPr>
              <w:pStyle w:val="Compact"/>
              <w:jc w:val="left"/>
            </w:pPr>
            <w:r>
              <w:t xml:space="preserve">Bei ET-Zuschlag: Zuliefer- und Forschungsflächen, Familienwohnen, internationale Schul- und Kita-Angebote</w:t>
            </w:r>
          </w:p>
        </w:tc>
      </w:tr>
    </w:tbl>
    <w:bookmarkEnd w:id="46"/>
    <w:bookmarkStart w:id="47" w:name="X50fd03f6d542417f418815bef6fc50d18e0fea6"/>
    <w:p>
      <w:pPr>
        <w:pStyle w:val="Heading3"/>
      </w:pPr>
      <w:r>
        <w:t xml:space="preserve">5.4 Städtebauliche Prinzipien</w:t>
      </w:r>
    </w:p>
    <w:p>
      <w:pPr>
        <w:numPr>
          <w:ilvl w:val="0"/>
          <w:numId w:val="1021"/>
        </w:numPr>
        <w:pStyle w:val="Compact"/>
      </w:pPr>
      <w:r>
        <w:t xml:space="preserve">Innen- vor Außenentwicklung (KOMMpaktLAND): Nachverdichtung, Stapelung (Ziel-GFZ ≥ 1,5–2,5 statt heute ~0,3), Nutzung der Geländeversprünge für die Erschließung von Obergeschossen.</w:t>
      </w:r>
    </w:p>
    <w:p>
      <w:pPr>
        <w:numPr>
          <w:ilvl w:val="0"/>
          <w:numId w:val="1021"/>
        </w:numPr>
        <w:pStyle w:val="Compact"/>
      </w:pPr>
      <w:r>
        <w:t xml:space="preserve">Parallelerschließung „2. Reihe“, zentrale Stellplatzanlage bzw. Mobilitätshub, Adresse am Museum, Quartiersplatz als Bindeglied zum Ort.</w:t>
      </w:r>
    </w:p>
    <w:p>
      <w:pPr>
        <w:numPr>
          <w:ilvl w:val="0"/>
          <w:numId w:val="1021"/>
        </w:numPr>
        <w:pStyle w:val="Compact"/>
      </w:pPr>
      <w:r>
        <w:t xml:space="preserve">Thema als</w:t>
      </w:r>
      <w:r>
        <w:t xml:space="preserve"> </w:t>
      </w:r>
      <w:r>
        <w:rPr>
          <w:bCs/>
          <w:b/>
        </w:rPr>
        <w:t xml:space="preserve">Profil mit Nutzungskorridor</w:t>
      </w:r>
      <w:r>
        <w:t xml:space="preserve">, nicht als exklusive Nutzungsbeschränkung (Lehre aus Avantis). Positiv-/Negativliste in Erbpacht- und Mietverträgen.</w:t>
      </w:r>
    </w:p>
    <w:p>
      <w:pPr>
        <w:numPr>
          <w:ilvl w:val="0"/>
          <w:numId w:val="1021"/>
        </w:numPr>
        <w:pStyle w:val="Compact"/>
      </w:pPr>
      <w:r>
        <w:t xml:space="preserve">Klimaanpassung: Schwammquartier-Prinzip, Entsiegelung, Retention an der Göhl, Begrünung, Biodiversität (Galmeiflora als gestalterisches Motiv).</w:t>
      </w:r>
    </w:p>
    <w:p>
      <w:r>
        <w:pict>
          <v:rect style="width:0;height:1.5pt" o:hralign="center" o:hrstd="t" o:hr="t"/>
        </w:pict>
      </w:r>
    </w:p>
    <w:bookmarkEnd w:id="47"/>
    <w:bookmarkEnd w:id="48"/>
    <w:bookmarkStart w:id="54" w:name="Xbbd92b642a83acad41a0d877bc87ee40586a0d7"/>
    <w:p>
      <w:pPr>
        <w:pStyle w:val="Heading2"/>
      </w:pPr>
      <w:r>
        <w:t xml:space="preserve">6. Umsetzung, Förderung und Wirtschaftlichkeit</w:t>
      </w:r>
    </w:p>
    <w:p>
      <w:pPr>
        <w:pStyle w:val="FirstParagraph"/>
      </w:pPr>
      <w:r>
        <w:rPr>
          <w:iCs/>
          <w:i/>
        </w:rPr>
        <w:t xml:space="preserve">Kurzfassung von Teilbericht 04. Alle Mengen und Kennwerte sind Annahmen einer</w:t>
      </w:r>
      <w:r>
        <w:rPr>
          <w:iCs/>
          <w:i/>
        </w:rPr>
        <w:t xml:space="preserve"> </w:t>
      </w:r>
      <w:r>
        <w:rPr>
          <w:bCs/>
          <w:b/>
          <w:iCs/>
          <w:i/>
        </w:rPr>
        <w:t xml:space="preserve">Musterrechnung</w:t>
      </w:r>
      <w:r>
        <w:rPr>
          <w:iCs/>
          <w:i/>
        </w:rPr>
        <w:t xml:space="preserve">. Sie zeigen Methode und Darstellung und werden im Auftrag baufeldscharf mit dem Strukturplan verknüpft.</w:t>
      </w:r>
    </w:p>
    <w:bookmarkStart w:id="49" w:name="Xd1cf994abb8b9f1b43c91f61d079ceca0ec7eba"/>
    <w:p>
      <w:pPr>
        <w:pStyle w:val="Heading3"/>
      </w:pPr>
      <w:r>
        <w:t xml:space="preserve">6.1 Rahmenbedingungen der öffentlichen Hand</w:t>
      </w:r>
    </w:p>
    <w:p>
      <w:pPr>
        <w:numPr>
          <w:ilvl w:val="0"/>
          <w:numId w:val="1022"/>
        </w:numPr>
        <w:pStyle w:val="Compact"/>
      </w:pPr>
      <w:r>
        <w:rPr>
          <w:bCs/>
          <w:b/>
        </w:rPr>
        <w:t xml:space="preserve">Gemeinde Kelmis:</w:t>
      </w:r>
    </w:p>
    <w:p>
      <w:pPr>
        <w:numPr>
          <w:ilvl w:val="1"/>
          <w:numId w:val="1023"/>
        </w:numPr>
        <w:pStyle w:val="Compact"/>
      </w:pPr>
      <w:r>
        <w:t xml:space="preserve">Der Haushalt ist strukturell defizitär und steht unter Aufsicht.</w:t>
      </w:r>
    </w:p>
    <w:p>
      <w:pPr>
        <w:numPr>
          <w:ilvl w:val="1"/>
          <w:numId w:val="1023"/>
        </w:numPr>
        <w:pStyle w:val="Compact"/>
      </w:pPr>
      <w:r>
        <w:t xml:space="preserve">Außerordentliche Investitionen sind auf</w:t>
      </w:r>
      <w:r>
        <w:t xml:space="preserve"> </w:t>
      </w:r>
      <w:r>
        <w:rPr>
          <w:bCs/>
          <w:b/>
        </w:rPr>
        <w:t xml:space="preserve">~1 Mio. €/Jahr</w:t>
      </w:r>
      <w:r>
        <w:t xml:space="preserve"> </w:t>
      </w:r>
      <w:r>
        <w:t xml:space="preserve">gedeckelt; bis 2030 kommen 4,12 Mio. € übergeordnete Mehrbelastungen hinzu.</w:t>
      </w:r>
    </w:p>
    <w:p>
      <w:pPr>
        <w:numPr>
          <w:ilvl w:val="1"/>
          <w:numId w:val="1023"/>
        </w:numPr>
        <w:pStyle w:val="Compact"/>
      </w:pPr>
      <w:r>
        <w:rPr>
          <w:bCs/>
          <w:b/>
        </w:rPr>
        <w:t xml:space="preserve">Leitregel daraus: Das EMRIQ muss für die Gemeinde folgekostenneutral sein. „Die Gemeinde bringt den Boden ein, die DG trägt den Betrieb.“</w:t>
      </w:r>
    </w:p>
    <w:p>
      <w:pPr>
        <w:numPr>
          <w:ilvl w:val="0"/>
          <w:numId w:val="1022"/>
        </w:numPr>
        <w:pStyle w:val="Compact"/>
      </w:pPr>
      <w:r>
        <w:rPr>
          <w:bCs/>
          <w:b/>
        </w:rPr>
        <w:t xml:space="preserve">Gemeindeeinnahmen:</w:t>
      </w:r>
    </w:p>
    <w:p>
      <w:pPr>
        <w:numPr>
          <w:ilvl w:val="1"/>
          <w:numId w:val="1024"/>
        </w:numPr>
        <w:pStyle w:val="Compact"/>
      </w:pPr>
      <w:r>
        <w:t xml:space="preserve">Es gibt</w:t>
      </w:r>
      <w:r>
        <w:t xml:space="preserve"> </w:t>
      </w:r>
      <w:r>
        <w:rPr>
          <w:bCs/>
          <w:b/>
        </w:rPr>
        <w:t xml:space="preserve">keine Gewerbesteuer</w:t>
      </w:r>
      <w:r>
        <w:t xml:space="preserve">; Unternehmensgewinne fließen an den Föderalstaat.</w:t>
      </w:r>
    </w:p>
    <w:p>
      <w:pPr>
        <w:numPr>
          <w:ilvl w:val="1"/>
          <w:numId w:val="1024"/>
        </w:numPr>
        <w:pStyle w:val="Compact"/>
      </w:pPr>
      <w:r>
        <w:t xml:space="preserve">Die Gemeinde verdient über den Zuschlag auf die Immobiliensteuer (Kelmis: 2.600 Zuschlaghundertstel, Stand 2024) und den IPP-Zuschlag auf die Personensteuer (7,5 % ab 2026).</w:t>
      </w:r>
    </w:p>
    <w:p>
      <w:pPr>
        <w:numPr>
          <w:ilvl w:val="1"/>
          <w:numId w:val="1024"/>
        </w:numPr>
        <w:pStyle w:val="Compact"/>
      </w:pPr>
      <w:r>
        <w:rPr>
          <w:bCs/>
          <w:b/>
        </w:rPr>
        <w:t xml:space="preserve">Das Wohnen trägt also die kommunale Bilanz, das Gewerbe kaum.</w:t>
      </w:r>
      <w:r>
        <w:t xml:space="preserve"> </w:t>
      </w:r>
      <w:r>
        <w:t xml:space="preserve">Ein Quartier mit Wohnanteil ist deshalb nicht nur städtebaulich, sondern auch fiskalisch geboten.</w:t>
      </w:r>
    </w:p>
    <w:p>
      <w:pPr>
        <w:numPr>
          <w:ilvl w:val="0"/>
          <w:numId w:val="1022"/>
        </w:numPr>
        <w:pStyle w:val="Compact"/>
      </w:pPr>
      <w:r>
        <w:rPr>
          <w:bCs/>
          <w:b/>
        </w:rPr>
        <w:t xml:space="preserve">AGR Kelmis:</w:t>
      </w:r>
      <w:r>
        <w:t xml:space="preserve"> </w:t>
      </w:r>
      <w:r>
        <w:t xml:space="preserve">Sie betreibt bereits Museum Vieille Montagne, Galmeibad, Hotel und Sportzentrum, und ihr Defizit trägt die Gemeinde. Für die Standortentwicklung braucht sie eine eigene Sparte bzw. Spartenrechnung.</w:t>
      </w:r>
    </w:p>
    <w:bookmarkEnd w:id="49"/>
    <w:bookmarkStart w:id="50" w:name="X5fb265f89232cfce10a869d5bbfba93a7839612"/>
    <w:p>
      <w:pPr>
        <w:pStyle w:val="Heading3"/>
      </w:pPr>
      <w:r>
        <w:t xml:space="preserve">6.2 Förderkulisse (Auswahl)</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Instrument</w:t>
            </w:r>
          </w:p>
        </w:tc>
        <w:tc>
          <w:tcPr/>
          <w:p>
            <w:pPr>
              <w:pStyle w:val="Compact"/>
              <w:jc w:val="left"/>
            </w:pPr>
            <w:r>
              <w:t xml:space="preserve">Eignung für EMRIQ</w:t>
            </w:r>
          </w:p>
        </w:tc>
        <w:tc>
          <w:tcPr/>
          <w:p>
            <w:pPr>
              <w:pStyle w:val="Compact"/>
              <w:jc w:val="left"/>
            </w:pPr>
            <w:r>
              <w:t xml:space="preserve">Zeitfenster</w:t>
            </w:r>
          </w:p>
        </w:tc>
      </w:tr>
      <w:tr>
        <w:tc>
          <w:tcPr/>
          <w:p>
            <w:pPr>
              <w:pStyle w:val="Compact"/>
              <w:jc w:val="left"/>
            </w:pPr>
            <w:r>
              <w:rPr>
                <w:bCs/>
                <w:b/>
              </w:rPr>
              <w:t xml:space="preserve">Interreg VI Maas-Rhein, Call 8</w:t>
            </w:r>
            <w:r>
              <w:t xml:space="preserve"> </w:t>
            </w:r>
            <w:r>
              <w:t xml:space="preserve">(Kreislaufwirtschaft und</w:t>
            </w:r>
            <w:r>
              <w:t xml:space="preserve"> </w:t>
            </w:r>
            <w:r>
              <w:rPr>
                <w:bCs/>
                <w:b/>
              </w:rPr>
              <w:t xml:space="preserve">Innovation rund um das Einstein-Teleskop</w:t>
            </w:r>
            <w:r>
              <w:t xml:space="preserve">, 7 Mio. € EU, bis 60 %, KMU-Beteiligung Pflicht)</w:t>
            </w:r>
          </w:p>
        </w:tc>
        <w:tc>
          <w:tcPr/>
          <w:p>
            <w:pPr>
              <w:pStyle w:val="Compact"/>
              <w:jc w:val="left"/>
            </w:pPr>
            <w:r>
              <w:t xml:space="preserve">Pilotprojekte, Netzwerk, Ökosystem (z. B. ET-Gateway, Matchmaking)</w:t>
            </w:r>
          </w:p>
        </w:tc>
        <w:tc>
          <w:tcPr/>
          <w:p>
            <w:pPr>
              <w:pStyle w:val="Compact"/>
              <w:jc w:val="left"/>
            </w:pPr>
            <w:r>
              <w:rPr>
                <w:bCs/>
                <w:b/>
              </w:rPr>
              <w:t xml:space="preserve">Frist 16.12.2026</w:t>
            </w:r>
          </w:p>
        </w:tc>
      </w:tr>
      <w:tr>
        <w:tc>
          <w:tcPr/>
          <w:p>
            <w:pPr>
              <w:pStyle w:val="Compact"/>
              <w:jc w:val="left"/>
            </w:pPr>
            <w:r>
              <w:t xml:space="preserve">Interreg STIPP Call 4 (KMU-Innovation, 3 Mio. €, 50 %, 150–600 T€ je Projekt)</w:t>
            </w:r>
          </w:p>
        </w:tc>
        <w:tc>
          <w:tcPr/>
          <w:p>
            <w:pPr>
              <w:pStyle w:val="Compact"/>
              <w:jc w:val="left"/>
            </w:pPr>
            <w:r>
              <w:t xml:space="preserve">KMU-Kooperationen</w:t>
            </w:r>
          </w:p>
        </w:tc>
        <w:tc>
          <w:tcPr/>
          <w:p>
            <w:pPr>
              <w:pStyle w:val="Compact"/>
              <w:jc w:val="left"/>
            </w:pPr>
            <w:r>
              <w:t xml:space="preserve">Frist 29.10.2026</w:t>
            </w:r>
          </w:p>
        </w:tc>
      </w:tr>
      <w:tr>
        <w:tc>
          <w:tcPr/>
          <w:p>
            <w:pPr>
              <w:pStyle w:val="Compact"/>
              <w:jc w:val="left"/>
            </w:pPr>
            <w:r>
              <w:t xml:space="preserve">EU-Strukturfonds 2028–2034 (EFRE Wallonie/DG)</w:t>
            </w:r>
          </w:p>
        </w:tc>
        <w:tc>
          <w:tcPr/>
          <w:p>
            <w:pPr>
              <w:pStyle w:val="Compact"/>
              <w:jc w:val="left"/>
            </w:pPr>
            <w:r>
              <w:t xml:space="preserve">Hochbau des Technologiezentrums, Erschließung</w:t>
            </w:r>
          </w:p>
        </w:tc>
        <w:tc>
          <w:tcPr/>
          <w:p>
            <w:pPr>
              <w:pStyle w:val="Compact"/>
              <w:jc w:val="left"/>
            </w:pPr>
            <w:r>
              <w:rPr>
                <w:bCs/>
                <w:b/>
              </w:rPr>
              <w:t xml:space="preserve">Programmierung 2027 beeinflussen</w:t>
            </w:r>
          </w:p>
        </w:tc>
      </w:tr>
      <w:tr>
        <w:tc>
          <w:tcPr/>
          <w:p>
            <w:pPr>
              <w:pStyle w:val="Compact"/>
              <w:jc w:val="left"/>
            </w:pPr>
            <w:r>
              <w:t xml:space="preserve">DG-Infrastrukturplan / wallonische Förderung von Gewerbegebieten (SPI)</w:t>
            </w:r>
          </w:p>
        </w:tc>
        <w:tc>
          <w:tcPr/>
          <w:p>
            <w:pPr>
              <w:pStyle w:val="Compact"/>
              <w:jc w:val="left"/>
            </w:pPr>
            <w:r>
              <w:t xml:space="preserve">Erschließung, öffentlicher Raum, Mobilitätshub</w:t>
            </w:r>
          </w:p>
        </w:tc>
        <w:tc>
          <w:tcPr/>
          <w:p>
            <w:pPr>
              <w:pStyle w:val="Compact"/>
              <w:jc w:val="left"/>
            </w:pPr>
            <w:r>
              <w:t xml:space="preserve">laufend (Sätze zu verifizieren)</w:t>
            </w:r>
          </w:p>
        </w:tc>
      </w:tr>
      <w:tr>
        <w:tc>
          <w:tcPr/>
          <w:p>
            <w:pPr>
              <w:pStyle w:val="Compact"/>
              <w:jc w:val="left"/>
            </w:pPr>
            <w:r>
              <w:t xml:space="preserve">ÖWOB (DG-Kapital ~67 Mio. €, Neubau-Schwerpunkt 2027–2032)</w:t>
            </w:r>
          </w:p>
        </w:tc>
        <w:tc>
          <w:tcPr/>
          <w:p>
            <w:pPr>
              <w:pStyle w:val="Compact"/>
              <w:jc w:val="left"/>
            </w:pPr>
            <w:r>
              <w:t xml:space="preserve">erschwinglicher Wohnanteil</w:t>
            </w:r>
          </w:p>
        </w:tc>
        <w:tc>
          <w:tcPr/>
          <w:p>
            <w:pPr>
              <w:pStyle w:val="Compact"/>
              <w:jc w:val="left"/>
            </w:pPr>
            <w:r>
              <w:t xml:space="preserve">passt zeitlich</w:t>
            </w:r>
          </w:p>
        </w:tc>
      </w:tr>
      <w:tr>
        <w:tc>
          <w:tcPr/>
          <w:p>
            <w:pPr>
              <w:pStyle w:val="Compact"/>
              <w:jc w:val="left"/>
            </w:pPr>
            <w:r>
              <w:t xml:space="preserve">EDF/EDIP/SAFE, EIC Dual-Use, Horizon Europe</w:t>
            </w:r>
          </w:p>
        </w:tc>
        <w:tc>
          <w:tcPr/>
          <w:p>
            <w:pPr>
              <w:pStyle w:val="Compact"/>
              <w:jc w:val="left"/>
            </w:pPr>
            <w:r>
              <w:t xml:space="preserve">Projektmittel für Mieter (Resilience Sensing Lab), kein Bau</w:t>
            </w:r>
          </w:p>
        </w:tc>
        <w:tc>
          <w:tcPr/>
          <w:p>
            <w:pPr>
              <w:pStyle w:val="Compact"/>
              <w:jc w:val="left"/>
            </w:pPr>
            <w:r>
              <w:t xml:space="preserve">laufend</w:t>
            </w:r>
          </w:p>
        </w:tc>
      </w:tr>
      <w:tr>
        <w:tc>
          <w:tcPr/>
          <w:p>
            <w:pPr>
              <w:pStyle w:val="Compact"/>
              <w:jc w:val="left"/>
            </w:pPr>
            <w:r>
              <w:t xml:space="preserve">Rheinisches Revier (14,8 Mrd. €)</w:t>
            </w:r>
          </w:p>
        </w:tc>
        <w:tc>
          <w:tcPr/>
          <w:p>
            <w:pPr>
              <w:pStyle w:val="Compact"/>
              <w:jc w:val="left"/>
            </w:pPr>
            <w:r>
              <w:t xml:space="preserve">nur über deutsche Partner (z. B. Energiereallabor)</w:t>
            </w:r>
          </w:p>
        </w:tc>
        <w:tc>
          <w:tcPr/>
          <w:p>
            <w:pPr>
              <w:pStyle w:val="Compact"/>
              <w:jc w:val="left"/>
            </w:pPr>
            <w:r>
              <w:t xml:space="preserve">laufend</w:t>
            </w:r>
          </w:p>
        </w:tc>
      </w:tr>
      <w:tr>
        <w:tc>
          <w:tcPr/>
          <w:p>
            <w:pPr>
              <w:pStyle w:val="Compact"/>
              <w:jc w:val="left"/>
            </w:pPr>
            <w:r>
              <w:t xml:space="preserve">Belgischer Aufbauplan (RRF)</w:t>
            </w:r>
          </w:p>
        </w:tc>
        <w:tc>
          <w:tcPr/>
          <w:p>
            <w:pPr>
              <w:pStyle w:val="Compact"/>
              <w:jc w:val="left"/>
            </w:pPr>
            <w:r>
              <w:t xml:space="preserve">ausgelaufen</w:t>
            </w:r>
          </w:p>
        </w:tc>
        <w:tc>
          <w:tcPr/>
          <w:p>
            <w:pPr>
              <w:pStyle w:val="Compact"/>
              <w:jc w:val="left"/>
            </w:pPr>
            <w:r>
              <w:t xml:space="preserve">–</w:t>
            </w:r>
          </w:p>
        </w:tc>
      </w:tr>
    </w:tbl>
    <w:p>
      <w:pPr>
        <w:pStyle w:val="BodyText"/>
      </w:pPr>
      <w:r>
        <w:rPr>
          <w:bCs/>
          <w:b/>
        </w:rPr>
        <w:t xml:space="preserve">Hauptrisiko:</w:t>
      </w:r>
      <w:r>
        <w:t xml:space="preserve"> </w:t>
      </w:r>
      <w:r>
        <w:t xml:space="preserve">Die Baureife um 2029 fällt in die</w:t>
      </w:r>
      <w:r>
        <w:t xml:space="preserve"> </w:t>
      </w:r>
      <w:r>
        <w:rPr>
          <w:bCs/>
          <w:b/>
        </w:rPr>
        <w:t xml:space="preserve">Lücke zwischen den EU-Perioden 2021–27 und 2028–34</w:t>
      </w:r>
      <w:r>
        <w:t xml:space="preserve">. Deshalb muss das EMRIQ schon 2027 in der Programmierung 2028–34 verankert werden.</w:t>
      </w:r>
    </w:p>
    <w:bookmarkEnd w:id="50"/>
    <w:bookmarkStart w:id="51" w:name="Xce30041f8f3ed2e2a18c2da2a8b85310ff846e3"/>
    <w:p>
      <w:pPr>
        <w:pStyle w:val="Heading3"/>
      </w:pPr>
      <w:r>
        <w:t xml:space="preserve">6.3 Musterrechnung Phase 1 (oberes Programm)</w:t>
      </w:r>
    </w:p>
    <w:p>
      <w:pPr>
        <w:pStyle w:val="FirstParagraph"/>
      </w:pPr>
      <w:r>
        <w:rPr>
          <w:bCs/>
          <w:b/>
        </w:rPr>
        <w:t xml:space="preserve">Programm:</w:t>
      </w:r>
      <w:r>
        <w:t xml:space="preserve"> </w:t>
      </w:r>
      <w:r>
        <w:t xml:space="preserve">Technologie- und Gründerzentrum mit 5.000 m² BGF (2.800 m² Büro/Co-Working, 700 m² Labor, 1.500 m² gestapelte Hallen), Mobilitätshub mit 200 Stellplätzen, 80 Wohneinheiten in Holz-Hybridbauweise (30 % ÖWOB), Erschließung „2. Reihe“, Radverbindung Richtung Hergenrath, Quartiersplatz, Grün/Retention, Abriss, Entsiegelung, Altlasten.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Kosten je Gebäude/Bereich (netto, inkl. Nebenkosten und Reserve)</w:t>
            </w:r>
          </w:p>
        </w:tc>
        <w:tc>
          <w:tcPr/>
          <w:p>
            <w:pPr>
              <w:pStyle w:val="Compact"/>
              <w:jc w:val="right"/>
            </w:pPr>
            <w:r>
              <w:t xml:space="preserve">Mio. €</w:t>
            </w:r>
          </w:p>
        </w:tc>
        <w:tc>
          <w:tcPr/>
          <w:p>
            <w:pPr>
              <w:pStyle w:val="Compact"/>
              <w:jc w:val="left"/>
            </w:pPr>
            <w:r>
              <w:t xml:space="preserve">Kennwert</w:t>
            </w:r>
          </w:p>
        </w:tc>
      </w:tr>
      <w:tr>
        <w:tc>
          <w:tcPr/>
          <w:p>
            <w:pPr>
              <w:pStyle w:val="Compact"/>
              <w:jc w:val="left"/>
            </w:pPr>
            <w:r>
              <w:t xml:space="preserve">G1 Technologie-/Gründerzentrum (inkl. umgelegter Erschließung)</w:t>
            </w:r>
          </w:p>
        </w:tc>
        <w:tc>
          <w:tcPr/>
          <w:p>
            <w:pPr>
              <w:pStyle w:val="Compact"/>
              <w:jc w:val="right"/>
            </w:pPr>
            <w:r>
              <w:t xml:space="preserve">16,5</w:t>
            </w:r>
          </w:p>
        </w:tc>
        <w:tc>
          <w:tcPr/>
          <w:p>
            <w:pPr>
              <w:pStyle w:val="Compact"/>
              <w:jc w:val="left"/>
            </w:pPr>
            <w:r>
              <w:t xml:space="preserve">~3.300 €/m² BGF</w:t>
            </w:r>
          </w:p>
        </w:tc>
      </w:tr>
      <w:tr>
        <w:tc>
          <w:tcPr/>
          <w:p>
            <w:pPr>
              <w:pStyle w:val="Compact"/>
              <w:jc w:val="left"/>
            </w:pPr>
            <w:r>
              <w:t xml:space="preserve">G2 Mobilitätshub</w:t>
            </w:r>
          </w:p>
        </w:tc>
        <w:tc>
          <w:tcPr/>
          <w:p>
            <w:pPr>
              <w:pStyle w:val="Compact"/>
              <w:jc w:val="right"/>
            </w:pPr>
            <w:r>
              <w:t xml:space="preserve">6,5</w:t>
            </w:r>
          </w:p>
        </w:tc>
        <w:tc>
          <w:tcPr/>
          <w:p>
            <w:pPr>
              <w:pStyle w:val="Compact"/>
              <w:jc w:val="left"/>
            </w:pPr>
            <w:r>
              <w:t xml:space="preserve">~32.600 €/Stellplatz</w:t>
            </w:r>
          </w:p>
        </w:tc>
      </w:tr>
      <w:tr>
        <w:tc>
          <w:tcPr/>
          <w:p>
            <w:pPr>
              <w:pStyle w:val="Compact"/>
              <w:jc w:val="left"/>
            </w:pPr>
            <w:r>
              <w:t xml:space="preserve">G3 Wohnen</w:t>
            </w:r>
          </w:p>
        </w:tc>
        <w:tc>
          <w:tcPr/>
          <w:p>
            <w:pPr>
              <w:pStyle w:val="Compact"/>
              <w:jc w:val="right"/>
            </w:pPr>
            <w:r>
              <w:t xml:space="preserve">20,7</w:t>
            </w:r>
          </w:p>
        </w:tc>
        <w:tc>
          <w:tcPr/>
          <w:p>
            <w:pPr>
              <w:pStyle w:val="Compact"/>
              <w:jc w:val="left"/>
            </w:pPr>
            <w:r>
              <w:t xml:space="preserve">~259.000 €/WE (~2.700 €/m² BGF)</w:t>
            </w:r>
          </w:p>
        </w:tc>
      </w:tr>
      <w:tr>
        <w:tc>
          <w:tcPr/>
          <w:p>
            <w:pPr>
              <w:pStyle w:val="Compact"/>
              <w:jc w:val="left"/>
            </w:pPr>
            <w:r>
              <w:t xml:space="preserve">Allgemeingut (Platz, Grün, Radweg, Mobiliar)</w:t>
            </w:r>
          </w:p>
        </w:tc>
        <w:tc>
          <w:tcPr/>
          <w:p>
            <w:pPr>
              <w:pStyle w:val="Compact"/>
              <w:jc w:val="right"/>
            </w:pPr>
            <w:r>
              <w:t xml:space="preserve">3,7</w:t>
            </w:r>
          </w:p>
        </w:tc>
        <w:tc>
          <w:tcPr/>
          <w:p>
            <w:pPr>
              <w:pStyle w:val="Compact"/>
              <w:jc w:val="left"/>
            </w:pPr>
            <w:r>
              <w:t xml:space="preserve">nicht umlegbar</w:t>
            </w:r>
          </w:p>
        </w:tc>
      </w:tr>
      <w:tr>
        <w:tc>
          <w:tcPr/>
          <w:p>
            <w:pPr>
              <w:pStyle w:val="Compact"/>
              <w:jc w:val="left"/>
            </w:pPr>
            <w:r>
              <w:rPr>
                <w:bCs/>
                <w:b/>
              </w:rPr>
              <w:t xml:space="preserve">Summe Phase 1</w:t>
            </w:r>
            <w:r>
              <w:t xml:space="preserve"> </w:t>
            </w:r>
            <w:r>
              <w:t xml:space="preserve">(ohne Grunderwerb und MwSt.)</w:t>
            </w:r>
          </w:p>
        </w:tc>
        <w:tc>
          <w:tcPr/>
          <w:p>
            <w:pPr>
              <w:pStyle w:val="Compact"/>
              <w:jc w:val="right"/>
            </w:pPr>
            <w:r>
              <w:rPr>
                <w:bCs/>
                <w:b/>
              </w:rPr>
              <w:t xml:space="preserve">≈ 47,5</w:t>
            </w:r>
          </w:p>
        </w:tc>
        <w:tc>
          <w:tcPr/>
          <w:p>
            <w:pPr>
              <w:pStyle w:val="Compact"/>
              <w:jc w:val="left"/>
            </w:pPr>
            <w:r>
              <w:t xml:space="preserve">Bandbreite 38–62</w:t>
            </w:r>
          </w:p>
        </w:tc>
      </w:tr>
    </w:tbl>
    <w:p>
      <w:pPr>
        <w:pStyle w:val="BodyText"/>
      </w:pPr>
      <w:r>
        <w:rPr>
          <w:iCs/>
          <w:i/>
        </w:rPr>
        <w:t xml:space="preserve">Skaliert auf das mittlere Marktprogramm aus Kap. 3.5 (≈ 4.000 m² TZ, 55 WE, 120 Stellplätze) ergeben sich ≈</w:t>
      </w:r>
      <w:r>
        <w:rPr>
          <w:iCs/>
          <w:i/>
        </w:rPr>
        <w:t xml:space="preserve"> </w:t>
      </w:r>
      <w:r>
        <w:rPr>
          <w:bCs/>
          <w:b/>
          <w:iCs/>
          <w:i/>
        </w:rPr>
        <w:t xml:space="preserve">38–40 Mio. €</w:t>
      </w:r>
      <w:r>
        <w:rPr>
          <w:iCs/>
          <w:i/>
        </w:rPr>
        <w:t xml:space="preserve"> </w:t>
      </w:r>
      <w:r>
        <w:rPr>
          <w:iCs/>
          <w:i/>
        </w:rPr>
        <w:t xml:space="preserve">(eigene Ableitung). Hinzu kommen Grunderwerb und Bodenordnung für ~3,5 ha mit 1,4–3,5 Mio. €.</w:t>
      </w:r>
    </w:p>
    <w:p>
      <w:pPr>
        <w:pStyle w:val="BodyText"/>
      </w:pPr>
      <w:r>
        <w:rPr>
          <w:bCs/>
          <w:b/>
        </w:rPr>
        <w:t xml:space="preserve">Finanzierungsmix (Basisszenario):</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Quelle</w:t>
            </w:r>
          </w:p>
        </w:tc>
        <w:tc>
          <w:tcPr/>
          <w:p>
            <w:pPr>
              <w:pStyle w:val="Compact"/>
              <w:jc w:val="right"/>
            </w:pPr>
            <w:r>
              <w:t xml:space="preserve">Mio. €</w:t>
            </w:r>
          </w:p>
        </w:tc>
        <w:tc>
          <w:tcPr/>
          <w:p>
            <w:pPr>
              <w:pStyle w:val="Compact"/>
              <w:jc w:val="right"/>
            </w:pPr>
            <w:r>
              <w:t xml:space="preserve">Anteil</w:t>
            </w:r>
          </w:p>
        </w:tc>
      </w:tr>
      <w:tr>
        <w:tc>
          <w:tcPr/>
          <w:p>
            <w:pPr>
              <w:pStyle w:val="Compact"/>
              <w:jc w:val="left"/>
            </w:pPr>
            <w:r>
              <w:t xml:space="preserve">EU-Strukturfonds/Interreg</w:t>
            </w:r>
          </w:p>
        </w:tc>
        <w:tc>
          <w:tcPr/>
          <w:p>
            <w:pPr>
              <w:pStyle w:val="Compact"/>
              <w:jc w:val="right"/>
            </w:pPr>
            <w:r>
              <w:t xml:space="preserve">6,1</w:t>
            </w:r>
          </w:p>
        </w:tc>
        <w:tc>
          <w:tcPr/>
          <w:p>
            <w:pPr>
              <w:pStyle w:val="Compact"/>
              <w:jc w:val="right"/>
            </w:pPr>
            <w:r>
              <w:t xml:space="preserve">13 %</w:t>
            </w:r>
          </w:p>
        </w:tc>
      </w:tr>
      <w:tr>
        <w:tc>
          <w:tcPr/>
          <w:p>
            <w:pPr>
              <w:pStyle w:val="Compact"/>
              <w:jc w:val="left"/>
            </w:pPr>
            <w:r>
              <w:t xml:space="preserve">DG/Wallonie</w:t>
            </w:r>
          </w:p>
        </w:tc>
        <w:tc>
          <w:tcPr/>
          <w:p>
            <w:pPr>
              <w:pStyle w:val="Compact"/>
              <w:jc w:val="right"/>
            </w:pPr>
            <w:r>
              <w:t xml:space="preserve">13,3</w:t>
            </w:r>
          </w:p>
        </w:tc>
        <w:tc>
          <w:tcPr/>
          <w:p>
            <w:pPr>
              <w:pStyle w:val="Compact"/>
              <w:jc w:val="right"/>
            </w:pPr>
            <w:r>
              <w:t xml:space="preserve">28 %</w:t>
            </w:r>
          </w:p>
        </w:tc>
      </w:tr>
      <w:tr>
        <w:tc>
          <w:tcPr/>
          <w:p>
            <w:pPr>
              <w:pStyle w:val="Compact"/>
              <w:jc w:val="left"/>
            </w:pPr>
            <w:r>
              <w:t xml:space="preserve">ÖWOB</w:t>
            </w:r>
          </w:p>
        </w:tc>
        <w:tc>
          <w:tcPr/>
          <w:p>
            <w:pPr>
              <w:pStyle w:val="Compact"/>
              <w:jc w:val="right"/>
            </w:pPr>
            <w:r>
              <w:t xml:space="preserve">6,2</w:t>
            </w:r>
          </w:p>
        </w:tc>
        <w:tc>
          <w:tcPr/>
          <w:p>
            <w:pPr>
              <w:pStyle w:val="Compact"/>
              <w:jc w:val="right"/>
            </w:pPr>
            <w:r>
              <w:t xml:space="preserve">13 %</w:t>
            </w:r>
          </w:p>
        </w:tc>
      </w:tr>
      <w:tr>
        <w:tc>
          <w:tcPr/>
          <w:p>
            <w:pPr>
              <w:pStyle w:val="Compact"/>
              <w:jc w:val="left"/>
            </w:pPr>
            <w:r>
              <w:t xml:space="preserve">Gemeinde/AGR (Boden als Sacheinlage, bar &lt; 1 Mio. €)</w:t>
            </w:r>
          </w:p>
        </w:tc>
        <w:tc>
          <w:tcPr/>
          <w:p>
            <w:pPr>
              <w:pStyle w:val="Compact"/>
              <w:jc w:val="right"/>
            </w:pPr>
            <w:r>
              <w:t xml:space="preserve">2,4</w:t>
            </w:r>
          </w:p>
        </w:tc>
        <w:tc>
          <w:tcPr/>
          <w:p>
            <w:pPr>
              <w:pStyle w:val="Compact"/>
              <w:jc w:val="right"/>
            </w:pPr>
            <w:r>
              <w:t xml:space="preserve">5 %</w:t>
            </w:r>
          </w:p>
        </w:tc>
      </w:tr>
      <w:tr>
        <w:tc>
          <w:tcPr/>
          <w:p>
            <w:pPr>
              <w:pStyle w:val="Compact"/>
              <w:jc w:val="left"/>
            </w:pPr>
            <w:r>
              <w:t xml:space="preserve">Darlehen des Trägers</w:t>
            </w:r>
          </w:p>
        </w:tc>
        <w:tc>
          <w:tcPr/>
          <w:p>
            <w:pPr>
              <w:pStyle w:val="Compact"/>
              <w:jc w:val="right"/>
            </w:pPr>
            <w:r>
              <w:t xml:space="preserve">3,5</w:t>
            </w:r>
          </w:p>
        </w:tc>
        <w:tc>
          <w:tcPr/>
          <w:p>
            <w:pPr>
              <w:pStyle w:val="Compact"/>
              <w:jc w:val="right"/>
            </w:pPr>
            <w:r>
              <w:t xml:space="preserve">7 %</w:t>
            </w:r>
          </w:p>
        </w:tc>
      </w:tr>
      <w:tr>
        <w:tc>
          <w:tcPr/>
          <w:p>
            <w:pPr>
              <w:pStyle w:val="Compact"/>
              <w:jc w:val="left"/>
            </w:pPr>
            <w:r>
              <w:t xml:space="preserve">Privat (Investor in Erbpacht)</w:t>
            </w:r>
          </w:p>
        </w:tc>
        <w:tc>
          <w:tcPr/>
          <w:p>
            <w:pPr>
              <w:pStyle w:val="Compact"/>
              <w:jc w:val="right"/>
            </w:pPr>
            <w:r>
              <w:t xml:space="preserve">16,0</w:t>
            </w:r>
          </w:p>
        </w:tc>
        <w:tc>
          <w:tcPr/>
          <w:p>
            <w:pPr>
              <w:pStyle w:val="Compact"/>
              <w:jc w:val="right"/>
            </w:pPr>
            <w:r>
              <w:t xml:space="preserve">34 %</w:t>
            </w:r>
          </w:p>
        </w:tc>
      </w:tr>
    </w:tbl>
    <w:p>
      <w:pPr>
        <w:pStyle w:val="BodyText"/>
      </w:pPr>
      <w:r>
        <w:rPr>
          <w:bCs/>
          <w:b/>
        </w:rPr>
        <w:t xml:space="preserve">Betrieb und Folgekosten:</w:t>
      </w:r>
    </w:p>
    <w:p>
      <w:pPr>
        <w:numPr>
          <w:ilvl w:val="0"/>
          <w:numId w:val="1025"/>
        </w:numPr>
        <w:pStyle w:val="Compact"/>
      </w:pPr>
      <w:r>
        <w:t xml:space="preserve">Das Technologiezentrum braucht in der Anlaufphase einen</w:t>
      </w:r>
      <w:r>
        <w:t xml:space="preserve"> </w:t>
      </w:r>
      <w:r>
        <w:rPr>
          <w:bCs/>
          <w:b/>
        </w:rPr>
        <w:t xml:space="preserve">Betriebszuschuss von ~100–205 T€/Jahr</w:t>
      </w:r>
      <w:r>
        <w:t xml:space="preserve"> </w:t>
      </w:r>
      <w:r>
        <w:t xml:space="preserve">(DG/WFG). Die Mieten decken ab ~85 % Belegung den Betrieb, nicht die Investition. Es ist Wirtschaftsförderinfrastruktur; beihilferechtlich kommen AGVO Art. 27 bzw. Art. 56 in Frage (zu verifizieren).</w:t>
      </w:r>
    </w:p>
    <w:p>
      <w:pPr>
        <w:numPr>
          <w:ilvl w:val="0"/>
          <w:numId w:val="1025"/>
        </w:numPr>
        <w:pStyle w:val="Compact"/>
      </w:pPr>
      <w:r>
        <w:t xml:space="preserve">Die</w:t>
      </w:r>
      <w:r>
        <w:t xml:space="preserve"> </w:t>
      </w:r>
      <w:r>
        <w:rPr>
          <w:bCs/>
          <w:b/>
        </w:rPr>
        <w:t xml:space="preserve">Folgekosten der Gemeinde</w:t>
      </w:r>
      <w:r>
        <w:t xml:space="preserve"> </w:t>
      </w:r>
      <w:r>
        <w:t xml:space="preserve">für die Infrastruktur liegen bei ~128 T€/Jahr. Dem stehen</w:t>
      </w:r>
      <w:r>
        <w:t xml:space="preserve"> </w:t>
      </w:r>
      <w:r>
        <w:rPr>
          <w:bCs/>
          <w:b/>
        </w:rPr>
        <w:t xml:space="preserve">Einnahmen von ~129 T€/Jahr</w:t>
      </w:r>
      <w:r>
        <w:t xml:space="preserve"> </w:t>
      </w:r>
      <w:r>
        <w:t xml:space="preserve">gegenüber (Immobiliensteuer, IPP-Zuschlag der Neubürger, Erbpachtzins), also ein</w:t>
      </w:r>
      <w:r>
        <w:t xml:space="preserve"> </w:t>
      </w:r>
      <w:r>
        <w:rPr>
          <w:bCs/>
          <w:b/>
        </w:rPr>
        <w:t xml:space="preserve">Saldo von ≈ ±0</w:t>
      </w:r>
      <w:r>
        <w:t xml:space="preserve">.</w:t>
      </w:r>
    </w:p>
    <w:p>
      <w:pPr>
        <w:numPr>
          <w:ilvl w:val="0"/>
          <w:numId w:val="1025"/>
        </w:numPr>
        <w:pStyle w:val="Compact"/>
      </w:pPr>
      <w:r>
        <w:rPr>
          <w:bCs/>
          <w:b/>
        </w:rPr>
        <w:t xml:space="preserve">Ohne Wohnen</w:t>
      </w:r>
      <w:r>
        <w:t xml:space="preserve"> </w:t>
      </w:r>
      <w:r>
        <w:t xml:space="preserve">läge der Saldo bei etwa</w:t>
      </w:r>
      <w:r>
        <w:t xml:space="preserve"> </w:t>
      </w:r>
      <w:r>
        <w:rPr>
          <w:bCs/>
          <w:b/>
        </w:rPr>
        <w:t xml:space="preserve">−100 T€/Jahr</w:t>
      </w:r>
      <w:r>
        <w:t xml:space="preserve">.</w:t>
      </w:r>
    </w:p>
    <w:p>
      <w:pPr>
        <w:pStyle w:val="FirstParagraph"/>
      </w:pPr>
      <w:r>
        <w:rPr>
          <w:bCs/>
          <w:b/>
        </w:rPr>
        <w:t xml:space="preserve">Kennzahlen:</w:t>
      </w:r>
    </w:p>
    <w:p>
      <w:pPr>
        <w:numPr>
          <w:ilvl w:val="0"/>
          <w:numId w:val="1026"/>
        </w:numPr>
        <w:pStyle w:val="Compact"/>
      </w:pPr>
      <w:r>
        <w:t xml:space="preserve">120–135 Arbeitsplätze im Technologiezentrum.</w:t>
      </w:r>
    </w:p>
    <w:p>
      <w:pPr>
        <w:numPr>
          <w:ilvl w:val="0"/>
          <w:numId w:val="1026"/>
        </w:numPr>
        <w:pStyle w:val="Compact"/>
      </w:pPr>
      <w:r>
        <w:t xml:space="preserve">Investition je Arbeitsplatz 122–137 T€. Berücksichtigt man die Fluktuation (Gründer ziehen weiter) über 15 Jahre, sind es ~45–55 T€.</w:t>
      </w:r>
    </w:p>
    <w:p>
      <w:pPr>
        <w:numPr>
          <w:ilvl w:val="0"/>
          <w:numId w:val="1026"/>
        </w:numPr>
        <w:pStyle w:val="Compact"/>
      </w:pPr>
      <w:r>
        <w:t xml:space="preserve">Hebel privat zu öffentlich (ohne ÖWOB) ≈ 0,63.</w:t>
      </w:r>
    </w:p>
    <w:bookmarkEnd w:id="51"/>
    <w:bookmarkStart w:id="52" w:name="X463905222ee32454bb0d11a0d0ababff58ac653"/>
    <w:p>
      <w:pPr>
        <w:pStyle w:val="Heading3"/>
      </w:pPr>
      <w:r>
        <w:t xml:space="preserve">6.4 Governance (gestuft)</w:t>
      </w:r>
    </w:p>
    <w:p>
      <w:pPr>
        <w:numPr>
          <w:ilvl w:val="0"/>
          <w:numId w:val="1027"/>
        </w:numPr>
        <w:pStyle w:val="Compact"/>
      </w:pPr>
      <w:r>
        <w:rPr>
          <w:bCs/>
          <w:b/>
        </w:rPr>
        <w:t xml:space="preserve">Ab 2027, Projektallianz</w:t>
      </w:r>
      <w:r>
        <w:t xml:space="preserve"> </w:t>
      </w:r>
      <w:r>
        <w:t xml:space="preserve">DG + Gemeinde/AGR Kelmis + WFG Ostbelgien per Kooperationsvertrag. Die AGR bringt den Boden ein und vergibt Erbpacht, die WFG betreibt das Technologiezentrum, die DG trägt den Betriebszuschuss und kofinanziert.</w:t>
      </w:r>
    </w:p>
    <w:p>
      <w:pPr>
        <w:numPr>
          <w:ilvl w:val="0"/>
          <w:numId w:val="1027"/>
        </w:numPr>
        <w:pStyle w:val="Compact"/>
      </w:pPr>
      <w:r>
        <w:rPr>
          <w:bCs/>
          <w:b/>
        </w:rPr>
        <w:t xml:space="preserve">Ab ~2030, Entwicklungsgesellschaft Ostbelgien</w:t>
      </w:r>
      <w:r>
        <w:t xml:space="preserve">, sobald zwei Standorte im Portfolio sind (Kelmis + Kaiserbaracke). Das entspricht der Empfehlung der Gewerbeflächenstrategie, eventuell unter Einbindung der SPI.</w:t>
      </w:r>
    </w:p>
    <w:p>
      <w:pPr>
        <w:numPr>
          <w:ilvl w:val="0"/>
          <w:numId w:val="1027"/>
        </w:numPr>
        <w:pStyle w:val="Compact"/>
      </w:pPr>
      <w:r>
        <w:rPr>
          <w:bCs/>
          <w:b/>
        </w:rPr>
        <w:t xml:space="preserve">Erbpacht als Kerninstrument.</w:t>
      </w:r>
      <w:r>
        <w:t xml:space="preserve"> </w:t>
      </w:r>
      <w:r>
        <w:t xml:space="preserve">Seit 2021 sind Laufzeiten von 15–99 Jahren möglich. Die öffentliche Hand behält den Boden, erzielt laufende Einnahmen und steuert über die Konzeptvergabe (Themenprofil, Positiv-/Negativliste, Bauweise).</w:t>
      </w:r>
    </w:p>
    <w:p>
      <w:pPr>
        <w:numPr>
          <w:ilvl w:val="0"/>
          <w:numId w:val="1027"/>
        </w:numPr>
        <w:pStyle w:val="Compact"/>
      </w:pPr>
      <w:r>
        <w:rPr>
          <w:bCs/>
          <w:b/>
        </w:rPr>
        <w:t xml:space="preserve">Benchmarks:</w:t>
      </w:r>
    </w:p>
    <w:p>
      <w:pPr>
        <w:numPr>
          <w:ilvl w:val="1"/>
          <w:numId w:val="1028"/>
        </w:numPr>
        <w:pStyle w:val="Compact"/>
      </w:pPr>
      <w:r>
        <w:t xml:space="preserve">TPH Herzogenrath als Positivbeispiel: kommunale Gesellschaft mit Sparkasse, IHK und Kerkrade, klares Konzept „starten – wachsen – eigene Immobilie“.</w:t>
      </w:r>
    </w:p>
    <w:p>
      <w:pPr>
        <w:numPr>
          <w:ilvl w:val="1"/>
          <w:numId w:val="1028"/>
        </w:numPr>
        <w:pStyle w:val="Compact"/>
      </w:pPr>
      <w:r>
        <w:t xml:space="preserve">Brightlands als Positivbeispiel: klares Thema, Ankernutzer, geduldiges Kapital.</w:t>
      </w:r>
    </w:p>
    <w:p>
      <w:pPr>
        <w:numPr>
          <w:ilvl w:val="1"/>
          <w:numId w:val="1028"/>
        </w:numPr>
        <w:pStyle w:val="Compact"/>
      </w:pPr>
      <w:r>
        <w:t xml:space="preserve">Avantis als Warnung: Preise und Auflagen ohne Nachfrage.</w:t>
      </w:r>
    </w:p>
    <w:bookmarkEnd w:id="52"/>
    <w:bookmarkStart w:id="53" w:name="Xab23b08bab91536d8b519231e43cef111470cf6"/>
    <w:p>
      <w:pPr>
        <w:pStyle w:val="Heading3"/>
      </w:pPr>
      <w:r>
        <w:t xml:space="preserve">6.5 Entscheidungspunkte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Zeitpunkt</w:t>
            </w:r>
          </w:p>
        </w:tc>
        <w:tc>
          <w:tcPr/>
          <w:p>
            <w:pPr>
              <w:pStyle w:val="Compact"/>
              <w:jc w:val="left"/>
            </w:pPr>
            <w:r>
              <w:t xml:space="preserve">Entscheidung</w:t>
            </w:r>
          </w:p>
        </w:tc>
      </w:tr>
      <w:tr>
        <w:tc>
          <w:tcPr/>
          <w:p>
            <w:pPr>
              <w:pStyle w:val="Compact"/>
              <w:jc w:val="left"/>
            </w:pPr>
            <w:r>
              <w:t xml:space="preserve">Q1 2027</w:t>
            </w:r>
          </w:p>
        </w:tc>
        <w:tc>
          <w:tcPr/>
          <w:p>
            <w:pPr>
              <w:pStyle w:val="Compact"/>
              <w:jc w:val="left"/>
            </w:pPr>
            <w:r>
              <w:rPr>
                <w:bCs/>
                <w:b/>
              </w:rPr>
              <w:t xml:space="preserve">E1:</w:t>
            </w:r>
            <w:r>
              <w:t xml:space="preserve"> </w:t>
            </w:r>
            <w:r>
              <w:t xml:space="preserve">Festlegung der Ortschaft bzw. des Plangebiets (vorläufige Abnahme 1); Allianzvertrag DG/AGR/WFG</w:t>
            </w:r>
          </w:p>
        </w:tc>
      </w:tr>
      <w:tr>
        <w:tc>
          <w:tcPr/>
          <w:p>
            <w:pPr>
              <w:pStyle w:val="Compact"/>
              <w:jc w:val="left"/>
            </w:pPr>
            <w:r>
              <w:t xml:space="preserve">Mitte 2027</w:t>
            </w:r>
          </w:p>
        </w:tc>
        <w:tc>
          <w:tcPr/>
          <w:p>
            <w:pPr>
              <w:pStyle w:val="Compact"/>
              <w:jc w:val="left"/>
            </w:pPr>
            <w:r>
              <w:rPr>
                <w:bCs/>
                <w:b/>
              </w:rPr>
              <w:t xml:space="preserve">E2:</w:t>
            </w:r>
            <w:r>
              <w:t xml:space="preserve"> </w:t>
            </w:r>
            <w:r>
              <w:t xml:space="preserve">Themenprofil, Programm Phase 1, Finanzierungsstrategie; Verankerung in der EU-Programmierung 2028–34</w:t>
            </w:r>
          </w:p>
        </w:tc>
      </w:tr>
      <w:tr>
        <w:tc>
          <w:tcPr/>
          <w:p>
            <w:pPr>
              <w:pStyle w:val="Compact"/>
              <w:jc w:val="left"/>
            </w:pPr>
            <w:r>
              <w:t xml:space="preserve">Anfang 2028</w:t>
            </w:r>
          </w:p>
        </w:tc>
        <w:tc>
          <w:tcPr/>
          <w:p>
            <w:pPr>
              <w:pStyle w:val="Compact"/>
              <w:jc w:val="left"/>
            </w:pPr>
            <w:r>
              <w:rPr>
                <w:bCs/>
                <w:b/>
              </w:rPr>
              <w:t xml:space="preserve">E3:</w:t>
            </w:r>
            <w:r>
              <w:t xml:space="preserve"> </w:t>
            </w:r>
            <w:r>
              <w:t xml:space="preserve">Grundsatzbeschluss von Gemeinderat und DG-Regierung zum Konzept (bei 13 Monaten Bearbeitungszeit); Planungsrecht Süd (Wohn- zu Mischgebiet)</w:t>
            </w:r>
          </w:p>
        </w:tc>
      </w:tr>
      <w:tr>
        <w:tc>
          <w:tcPr/>
          <w:p>
            <w:pPr>
              <w:pStyle w:val="Compact"/>
              <w:jc w:val="left"/>
            </w:pPr>
            <w:r>
              <w:t xml:space="preserve">2029</w:t>
            </w:r>
          </w:p>
        </w:tc>
        <w:tc>
          <w:tcPr/>
          <w:p>
            <w:pPr>
              <w:pStyle w:val="Compact"/>
              <w:jc w:val="left"/>
            </w:pPr>
            <w:r>
              <w:rPr>
                <w:bCs/>
                <w:b/>
              </w:rPr>
              <w:t xml:space="preserve">E4:</w:t>
            </w:r>
            <w:r>
              <w:t xml:space="preserve"> </w:t>
            </w:r>
            <w:r>
              <w:t xml:space="preserve">Baubeschluss für TZ, Hub und Erschließung; Konzeptvergabe Wohnen in Erbpacht (DG-Wahl 2029 beachten)</w:t>
            </w:r>
          </w:p>
        </w:tc>
      </w:tr>
      <w:tr>
        <w:tc>
          <w:tcPr/>
          <w:p>
            <w:pPr>
              <w:pStyle w:val="Compact"/>
              <w:jc w:val="left"/>
            </w:pPr>
            <w:r>
              <w:t xml:space="preserve">2030–2032</w:t>
            </w:r>
          </w:p>
        </w:tc>
        <w:tc>
          <w:tcPr/>
          <w:p>
            <w:pPr>
              <w:pStyle w:val="Compact"/>
              <w:jc w:val="left"/>
            </w:pPr>
            <w:r>
              <w:t xml:space="preserve">Bau und Eröffnung TZ (~2031);</w:t>
            </w:r>
            <w:r>
              <w:t xml:space="preserve"> </w:t>
            </w:r>
            <w:r>
              <w:rPr>
                <w:bCs/>
                <w:b/>
              </w:rPr>
              <w:t xml:space="preserve">E5:</w:t>
            </w:r>
            <w:r>
              <w:t xml:space="preserve"> </w:t>
            </w:r>
            <w:r>
              <w:t xml:space="preserve">Überführung in die Entwicklungsgesellschaft (Gemeindewahl 10/2030 beachten)</w:t>
            </w:r>
          </w:p>
        </w:tc>
      </w:tr>
      <w:tr>
        <w:tc>
          <w:tcPr/>
          <w:p>
            <w:pPr>
              <w:pStyle w:val="Compact"/>
              <w:jc w:val="left"/>
            </w:pPr>
            <w:r>
              <w:t xml:space="preserve">ab 2032</w:t>
            </w:r>
          </w:p>
        </w:tc>
        <w:tc>
          <w:tcPr/>
          <w:p>
            <w:pPr>
              <w:pStyle w:val="Compact"/>
              <w:jc w:val="left"/>
            </w:pPr>
            <w:r>
              <w:t xml:space="preserve">Go/No-Go Phase 2 (Bushof-Areal) bei ≥ 80 % Belegung des TZ</w:t>
            </w:r>
          </w:p>
        </w:tc>
      </w:tr>
    </w:tbl>
    <w:p>
      <w:r>
        <w:pict>
          <v:rect style="width:0;height:1.5pt" o:hralign="center" o:hrstd="t" o:hr="t"/>
        </w:pict>
      </w:r>
    </w:p>
    <w:bookmarkEnd w:id="53"/>
    <w:bookmarkEnd w:id="54"/>
    <w:bookmarkStart w:id="55" w:name="X37930aed312fc501d26deb605cfd0d4d34db775"/>
    <w:p>
      <w:pPr>
        <w:pStyle w:val="Heading2"/>
      </w:pPr>
      <w:r>
        <w:t xml:space="preserve">7. Risiken und Erfolgsfaktoren</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Risiko</w:t>
            </w:r>
          </w:p>
        </w:tc>
        <w:tc>
          <w:tcPr/>
          <w:p>
            <w:pPr>
              <w:pStyle w:val="Compact"/>
              <w:jc w:val="left"/>
            </w:pPr>
            <w:r>
              <w:t xml:space="preserve">Gegenmaßnahme</w:t>
            </w:r>
          </w:p>
        </w:tc>
      </w:tr>
      <w:tr>
        <w:tc>
          <w:tcPr/>
          <w:p>
            <w:pPr>
              <w:pStyle w:val="Compact"/>
              <w:jc w:val="left"/>
            </w:pPr>
            <w:r>
              <w:t xml:space="preserve">Nachfrage: keine Hochschule, kein Innovationsimage</w:t>
            </w:r>
          </w:p>
        </w:tc>
        <w:tc>
          <w:tcPr/>
          <w:p>
            <w:pPr>
              <w:pStyle w:val="Compact"/>
              <w:jc w:val="left"/>
            </w:pPr>
            <w:r>
              <w:t xml:space="preserve">Ankermieter (Museum, ET-Projektbüro, WFG, Hochschul-Außenstelle) plus 3–5 LoIs; ≥ 40 % Vorvermietung; Soft-Landing-Pakete mit belgischen Steueranreizen</w:t>
            </w:r>
          </w:p>
        </w:tc>
      </w:tr>
      <w:tr>
        <w:tc>
          <w:tcPr/>
          <w:p>
            <w:pPr>
              <w:pStyle w:val="Compact"/>
              <w:jc w:val="left"/>
            </w:pPr>
            <w:r>
              <w:t xml:space="preserve">ET-Abhängigkeit</w:t>
            </w:r>
          </w:p>
        </w:tc>
        <w:tc>
          <w:tcPr/>
          <w:p>
            <w:pPr>
              <w:pStyle w:val="Compact"/>
              <w:jc w:val="left"/>
            </w:pPr>
            <w:r>
              <w:t xml:space="preserve">Phase 1 ohne ET tragfähig; ET als Upside; Flächen für Phase 3 als Option vorhalten</w:t>
            </w:r>
          </w:p>
        </w:tc>
      </w:tr>
      <w:tr>
        <w:tc>
          <w:tcPr/>
          <w:p>
            <w:pPr>
              <w:pStyle w:val="Compact"/>
              <w:jc w:val="left"/>
            </w:pPr>
            <w:r>
              <w:t xml:space="preserve">Mobilität</w:t>
            </w:r>
          </w:p>
        </w:tc>
        <w:tc>
          <w:tcPr/>
          <w:p>
            <w:pPr>
              <w:pStyle w:val="Compact"/>
              <w:jc w:val="left"/>
            </w:pPr>
            <w:r>
              <w:t xml:space="preserve">Shuttle bzw. On-Demand ab Tag 1; Tarif-Pilot mit AVV/TEC; Radschnellweg-Abzweig</w:t>
            </w:r>
          </w:p>
        </w:tc>
      </w:tr>
      <w:tr>
        <w:tc>
          <w:tcPr/>
          <w:p>
            <w:pPr>
              <w:pStyle w:val="Compact"/>
              <w:jc w:val="left"/>
            </w:pPr>
            <w:r>
              <w:t xml:space="preserve">Akzeptanz (Dual-Use, Verdichtung)</w:t>
            </w:r>
          </w:p>
        </w:tc>
        <w:tc>
          <w:tcPr/>
          <w:p>
            <w:pPr>
              <w:pStyle w:val="Compact"/>
              <w:jc w:val="left"/>
            </w:pPr>
            <w:r>
              <w:t xml:space="preserve">zivile Führung, Negativliste, Ethik-Charta, Quartiersbeirat, frühe Bürgerbeteiligung; Opposition einbinden</w:t>
            </w:r>
          </w:p>
        </w:tc>
      </w:tr>
      <w:tr>
        <w:tc>
          <w:tcPr/>
          <w:p>
            <w:pPr>
              <w:pStyle w:val="Compact"/>
              <w:jc w:val="left"/>
            </w:pPr>
            <w:r>
              <w:t xml:space="preserve">Boden, Altlasten, Eigentum</w:t>
            </w:r>
          </w:p>
        </w:tc>
        <w:tc>
          <w:tcPr/>
          <w:p>
            <w:pPr>
              <w:pStyle w:val="Compact"/>
              <w:jc w:val="left"/>
            </w:pPr>
            <w:r>
              <w:t xml:space="preserve">AGR als Bodenträger, Erbpacht, frühes Screening, Phasierung entlang der Verfügbarkeit (Bauhof zuerst)</w:t>
            </w:r>
          </w:p>
        </w:tc>
      </w:tr>
      <w:tr>
        <w:tc>
          <w:tcPr/>
          <w:p>
            <w:pPr>
              <w:pStyle w:val="Compact"/>
              <w:jc w:val="left"/>
            </w:pPr>
            <w:r>
              <w:t xml:space="preserve">Wirtschaftlichkeit Labor-Neubau</w:t>
            </w:r>
          </w:p>
        </w:tc>
        <w:tc>
          <w:tcPr/>
          <w:p>
            <w:pPr>
              <w:pStyle w:val="Compact"/>
              <w:jc w:val="left"/>
            </w:pPr>
            <w:r>
              <w:t xml:space="preserve">öffentliche Trägerschaft nach TPH-Modell, EFRE/Interreg-Kofinanzierung, Mischkalkulation mit Wohnen, skalierbare Bauweise</w:t>
            </w:r>
          </w:p>
        </w:tc>
      </w:tr>
      <w:tr>
        <w:tc>
          <w:tcPr/>
          <w:p>
            <w:pPr>
              <w:pStyle w:val="Compact"/>
              <w:jc w:val="left"/>
            </w:pPr>
            <w:r>
              <w:t xml:space="preserve">Fokusverlust („zu viele Netzwerke“)</w:t>
            </w:r>
          </w:p>
        </w:tc>
        <w:tc>
          <w:tcPr/>
          <w:p>
            <w:pPr>
              <w:pStyle w:val="Compact"/>
              <w:jc w:val="left"/>
            </w:pPr>
            <w:r>
              <w:rPr>
                <w:bCs/>
                <w:b/>
              </w:rPr>
              <w:t xml:space="preserve">ein Thema, ein Betreiber, eine Marke</w:t>
            </w:r>
          </w:p>
        </w:tc>
      </w:tr>
      <w:tr>
        <w:tc>
          <w:tcPr/>
          <w:p>
            <w:pPr>
              <w:pStyle w:val="Compact"/>
              <w:jc w:val="left"/>
            </w:pPr>
            <w:r>
              <w:t xml:space="preserve">Politik und Legislatur</w:t>
            </w:r>
          </w:p>
        </w:tc>
        <w:tc>
          <w:tcPr/>
          <w:p>
            <w:pPr>
              <w:pStyle w:val="Compact"/>
              <w:jc w:val="left"/>
            </w:pPr>
            <w:r>
              <w:t xml:space="preserve">Beschluss des Konzepts als Rahmen; Trägerstruktur über Legislaturen hinweg</w:t>
            </w:r>
          </w:p>
        </w:tc>
      </w:tr>
    </w:tbl>
    <w:p>
      <w:pPr>
        <w:pStyle w:val="BodyText"/>
      </w:pPr>
      <w:r>
        <w:rPr>
          <w:bCs/>
          <w:b/>
        </w:rPr>
        <w:t xml:space="preserve">Erfolgsfaktoren:</w:t>
      </w:r>
      <w:r>
        <w:t xml:space="preserve"> </w:t>
      </w:r>
      <w:r>
        <w:t xml:space="preserve">klares Thema, ein starker Kümmerer (Quartiersmanagement), Ankermieter vor dem ersten Spatenstich, Erreichbarkeit, Wohnen ab Tag 1 und eine Geschichte, die man in drei Sprachen erzählen kann.</w:t>
      </w:r>
    </w:p>
    <w:p>
      <w:r>
        <w:pict>
          <v:rect style="width:0;height:1.5pt" o:hralign="center" o:hrstd="t" o:hr="t"/>
        </w:pict>
      </w:r>
    </w:p>
    <w:bookmarkEnd w:id="55"/>
    <w:bookmarkStart w:id="59" w:name="X39fa9f77964160c3dcf47e3a59e5e8fd9fafeaf"/>
    <w:p>
      <w:pPr>
        <w:pStyle w:val="Heading2"/>
      </w:pPr>
      <w:r>
        <w:t xml:space="preserve">8. Strategie zur Mandatsgewinnung (intern; Details in Teilbericht 05)</w:t>
      </w:r>
    </w:p>
    <w:bookmarkStart w:id="56" w:name="X1ffb3184764e1b5fa41e275c39364322e8a6837"/>
    <w:p>
      <w:pPr>
        <w:pStyle w:val="Heading3"/>
      </w:pPr>
      <w:r>
        <w:t xml:space="preserve">8.1 Spielregeln</w:t>
      </w:r>
    </w:p>
    <w:p>
      <w:pPr>
        <w:numPr>
          <w:ilvl w:val="0"/>
          <w:numId w:val="1029"/>
        </w:numPr>
        <w:pStyle w:val="Compact"/>
      </w:pPr>
      <w:r>
        <w:rPr>
          <w:bCs/>
          <w:b/>
        </w:rPr>
        <w:t xml:space="preserve">Verfahrensdeckel:</w:t>
      </w:r>
      <w:r>
        <w:t xml:space="preserve"> </w:t>
      </w:r>
      <w:r>
        <w:t xml:space="preserve">Nach Art. 42 §1 1° a ist das Verfahren nur bis zu einer Ausgabe von</w:t>
      </w:r>
      <w:r>
        <w:t xml:space="preserve"> </w:t>
      </w:r>
      <w:r>
        <w:rPr>
          <w:bCs/>
          <w:b/>
        </w:rPr>
        <w:t xml:space="preserve">140.000 € netto</w:t>
      </w:r>
      <w:r>
        <w:t xml:space="preserve"> </w:t>
      </w:r>
      <w:r>
        <w:t xml:space="preserve">zulässig (Schwelle seit 01.01.2026, vorher 143.000 €).</w:t>
      </w:r>
      <w:r>
        <w:t xml:space="preserve"> </w:t>
      </w:r>
      <w:r>
        <w:rPr>
          <w:bCs/>
          <w:b/>
        </w:rPr>
        <w:t xml:space="preserve">Zielpreis ca. 118.000–132.000 € netto.</w:t>
      </w:r>
    </w:p>
    <w:p>
      <w:pPr>
        <w:numPr>
          <w:ilvl w:val="0"/>
          <w:numId w:val="1029"/>
        </w:numPr>
        <w:pStyle w:val="Compact"/>
      </w:pPr>
      <w:r>
        <w:rPr>
          <w:bCs/>
          <w:b/>
        </w:rPr>
        <w:t xml:space="preserve">Punkte:</w:t>
      </w:r>
      <w:r>
        <w:t xml:space="preserve"> </w:t>
      </w:r>
      <w:r>
        <w:t xml:space="preserve">Preis 40 · Lieferzeitpunkt 15 · Ablaufplan 20 · Methodik mit Musterlieferobjekten 20 · Auszahlungsplan 5. Jede 10 % über dem günstigsten Angebot kosten ~3,6 Punkte. Die Qualitätskriterien entscheiden.</w:t>
      </w:r>
    </w:p>
    <w:p>
      <w:pPr>
        <w:numPr>
          <w:ilvl w:val="0"/>
          <w:numId w:val="1029"/>
        </w:numPr>
        <w:pStyle w:val="Compact"/>
      </w:pPr>
      <w:r>
        <w:rPr>
          <w:bCs/>
          <w:b/>
        </w:rPr>
        <w:t xml:space="preserve">Verhandlungsverfahren:</w:t>
      </w:r>
      <w:r>
        <w:t xml:space="preserve"> </w:t>
      </w:r>
      <w:r>
        <w:t xml:space="preserve">Die Kriterien sind fix, die Angebotsinhalte sind verhandelbar. Der Workshop liefert die Informationen für das Folgeangebot.</w:t>
      </w:r>
    </w:p>
    <w:p>
      <w:pPr>
        <w:numPr>
          <w:ilvl w:val="0"/>
          <w:numId w:val="1029"/>
        </w:numPr>
        <w:pStyle w:val="Compact"/>
      </w:pPr>
      <w:r>
        <w:rPr>
          <w:bCs/>
          <w:b/>
        </w:rPr>
        <w:t xml:space="preserve">Eignung:</w:t>
      </w:r>
      <w:r>
        <w:t xml:space="preserve"> </w:t>
      </w:r>
      <w:r>
        <w:t xml:space="preserve">DE/FR/EN; ≥ 3 Referenzen aus 5 Jahren; Team aus Stadtplanung, Ökonomie, Kommunikation</w:t>
      </w:r>
      <w:r>
        <w:t xml:space="preserve"> </w:t>
      </w:r>
      <w:r>
        <w:rPr>
          <w:bCs/>
          <w:b/>
        </w:rPr>
        <w:t xml:space="preserve">und Umweltwissenschaften</w:t>
      </w:r>
      <w:r>
        <w:t xml:space="preserve">.</w:t>
      </w:r>
    </w:p>
    <w:bookmarkEnd w:id="56"/>
    <w:bookmarkStart w:id="57" w:name="X1535c2c8bd308c750e7bce4745864b718f21d8e"/>
    <w:p>
      <w:pPr>
        <w:pStyle w:val="Heading3"/>
      </w:pPr>
      <w:r>
        <w:t xml:space="preserve">8.2 Positionierung gegenüber dem Wettbewerb (Hypothesen)</w:t>
      </w:r>
    </w:p>
    <w:p>
      <w:pPr>
        <w:numPr>
          <w:ilvl w:val="0"/>
          <w:numId w:val="1030"/>
        </w:numPr>
        <w:pStyle w:val="Compact"/>
      </w:pPr>
      <w:r>
        <w:rPr>
          <w:bCs/>
          <w:b/>
        </w:rPr>
        <w:t xml:space="preserve">HJPplan+</w:t>
      </w:r>
      <w:r>
        <w:t xml:space="preserve"> </w:t>
      </w:r>
      <w:r>
        <w:t xml:space="preserve">(Verfasser der Gewerbeflächenstrategie) bringt Ortskenntnis mit. Unser Angebot: vom Gewerbegebiet zum</w:t>
      </w:r>
      <w:r>
        <w:t xml:space="preserve"> </w:t>
      </w:r>
      <w:r>
        <w:rPr>
          <w:bCs/>
          <w:b/>
        </w:rPr>
        <w:t xml:space="preserve">Innovationsquartier</w:t>
      </w:r>
      <w:r>
        <w:t xml:space="preserve"> </w:t>
      </w:r>
      <w:r>
        <w:t xml:space="preserve">mit Wohnen, Ökonomie und Vermarktung.</w:t>
      </w:r>
    </w:p>
    <w:p>
      <w:pPr>
        <w:numPr>
          <w:ilvl w:val="0"/>
          <w:numId w:val="1030"/>
        </w:numPr>
        <w:pStyle w:val="Compact"/>
      </w:pPr>
      <w:r>
        <w:rPr>
          <w:bCs/>
          <w:b/>
        </w:rPr>
        <w:t xml:space="preserve">RHA/Maurer United/RWTH</w:t>
      </w:r>
      <w:r>
        <w:t xml:space="preserve"> </w:t>
      </w:r>
      <w:r>
        <w:t xml:space="preserve">(OBL'EU) haben das Netzwerk und sind jetzt sichtbar. Unser Angebot: Schlüsselprojekte</w:t>
      </w:r>
      <w:r>
        <w:t xml:space="preserve"> </w:t>
      </w:r>
      <w:r>
        <w:rPr>
          <w:bCs/>
          <w:b/>
        </w:rPr>
        <w:t xml:space="preserve">in ein rechenbares Quartier übersetzen</w:t>
      </w:r>
      <w:r>
        <w:t xml:space="preserve">.</w:t>
      </w:r>
    </w:p>
    <w:p>
      <w:pPr>
        <w:numPr>
          <w:ilvl w:val="0"/>
          <w:numId w:val="1030"/>
        </w:numPr>
        <w:pStyle w:val="Compact"/>
      </w:pPr>
      <w:r>
        <w:rPr>
          <w:bCs/>
          <w:b/>
        </w:rPr>
        <w:t xml:space="preserve">Unser Claim:</w:t>
      </w:r>
      <w:r>
        <w:t xml:space="preserve"> </w:t>
      </w:r>
      <w:r>
        <w:t xml:space="preserve">„Wir analysieren nicht noch einmal. Wir fokussieren, rechnen und vermarkten, in 13 Monaten.“</w:t>
      </w:r>
    </w:p>
    <w:bookmarkEnd w:id="57"/>
    <w:bookmarkStart w:id="58" w:name="Xce20fb6a42cafa949600a93a4a3aa57d6a340e7"/>
    <w:p>
      <w:pPr>
        <w:pStyle w:val="Heading3"/>
      </w:pPr>
      <w:r>
        <w:t xml:space="preserve">8.3 Angebotsbausteine</w:t>
      </w:r>
    </w:p>
    <w:p>
      <w:pPr>
        <w:numPr>
          <w:ilvl w:val="0"/>
          <w:numId w:val="1031"/>
        </w:numPr>
        <w:pStyle w:val="Compact"/>
      </w:pPr>
      <w:r>
        <w:rPr>
          <w:bCs/>
          <w:b/>
        </w:rPr>
        <w:t xml:space="preserve">Ablauf:</w:t>
      </w:r>
      <w:r>
        <w:t xml:space="preserve"> </w:t>
      </w:r>
      <w:r>
        <w:t xml:space="preserve">6 Arbeitspakete und 5 Meilensteine.</w:t>
      </w:r>
      <w:r>
        <w:t xml:space="preserve"> </w:t>
      </w:r>
      <w:r>
        <w:rPr>
          <w:bCs/>
          <w:b/>
        </w:rPr>
        <w:t xml:space="preserve">MS1</w:t>
      </w:r>
      <w:r>
        <w:t xml:space="preserve"> </w:t>
      </w:r>
      <w:r>
        <w:t xml:space="preserve">(Monat 3): Standortdossier und Festlegung des Plangebiets.</w:t>
      </w:r>
      <w:r>
        <w:t xml:space="preserve"> </w:t>
      </w:r>
      <w:r>
        <w:rPr>
          <w:bCs/>
          <w:b/>
        </w:rPr>
        <w:t xml:space="preserve">MS2</w:t>
      </w:r>
      <w:r>
        <w:t xml:space="preserve"> </w:t>
      </w:r>
      <w:r>
        <w:t xml:space="preserve">(Monat 5): Themenprofil und Programm.</w:t>
      </w:r>
      <w:r>
        <w:t xml:space="preserve"> </w:t>
      </w:r>
      <w:r>
        <w:rPr>
          <w:bCs/>
          <w:b/>
        </w:rPr>
        <w:t xml:space="preserve">MS3</w:t>
      </w:r>
      <w:r>
        <w:t xml:space="preserve"> </w:t>
      </w:r>
      <w:r>
        <w:t xml:space="preserve">(Monat 8): Varianten und Vorzugsvariante.</w:t>
      </w:r>
      <w:r>
        <w:t xml:space="preserve"> </w:t>
      </w:r>
      <w:r>
        <w:rPr>
          <w:bCs/>
          <w:b/>
        </w:rPr>
        <w:t xml:space="preserve">MS4</w:t>
      </w:r>
      <w:r>
        <w:t xml:space="preserve"> </w:t>
      </w:r>
      <w:r>
        <w:t xml:space="preserve">(Monat 11): Strukturplan, Umsetzung, Wirtschaftlichkeit.</w:t>
      </w:r>
      <w:r>
        <w:t xml:space="preserve"> </w:t>
      </w:r>
      <w:r>
        <w:rPr>
          <w:bCs/>
          <w:b/>
        </w:rPr>
        <w:t xml:space="preserve">MS5</w:t>
      </w:r>
      <w:r>
        <w:t xml:space="preserve"> </w:t>
      </w:r>
      <w:r>
        <w:t xml:space="preserve">(Monat 13): Endabgabe DE/FR/EN.</w:t>
      </w:r>
    </w:p>
    <w:p>
      <w:pPr>
        <w:numPr>
          <w:ilvl w:val="0"/>
          <w:numId w:val="1031"/>
        </w:numPr>
        <w:pStyle w:val="Compact"/>
      </w:pPr>
      <w:r>
        <w:rPr>
          <w:bCs/>
          <w:b/>
        </w:rPr>
        <w:t xml:space="preserve">Auszahlung:</w:t>
      </w:r>
      <w:r>
        <w:t xml:space="preserve"> </w:t>
      </w:r>
      <w:r>
        <w:t xml:space="preserve">15 / 15 / 20 / 30 / 20 %.</w:t>
      </w:r>
    </w:p>
    <w:p>
      <w:pPr>
        <w:numPr>
          <w:ilvl w:val="0"/>
          <w:numId w:val="1031"/>
        </w:numPr>
        <w:pStyle w:val="Compact"/>
      </w:pPr>
      <w:r>
        <w:rPr>
          <w:bCs/>
          <w:b/>
        </w:rPr>
        <w:t xml:space="preserve">Musterlieferobjekte:</w:t>
      </w:r>
    </w:p>
    <w:p>
      <w:pPr>
        <w:numPr>
          <w:ilvl w:val="1"/>
          <w:numId w:val="1032"/>
        </w:numPr>
        <w:pStyle w:val="Compact"/>
      </w:pPr>
      <w:r>
        <w:t xml:space="preserve">Suchraum-Matrix</w:t>
      </w:r>
    </w:p>
    <w:p>
      <w:pPr>
        <w:numPr>
          <w:ilvl w:val="1"/>
          <w:numId w:val="1032"/>
        </w:numPr>
        <w:pStyle w:val="Compact"/>
      </w:pPr>
      <w:r>
        <w:t xml:space="preserve">Cluster-Scoring</w:t>
      </w:r>
    </w:p>
    <w:p>
      <w:pPr>
        <w:numPr>
          <w:ilvl w:val="1"/>
          <w:numId w:val="1032"/>
        </w:numPr>
        <w:pStyle w:val="Compact"/>
      </w:pPr>
      <w:r>
        <w:t xml:space="preserve">Personas</w:t>
      </w:r>
    </w:p>
    <w:p>
      <w:pPr>
        <w:numPr>
          <w:ilvl w:val="1"/>
          <w:numId w:val="1032"/>
        </w:numPr>
        <w:pStyle w:val="Compact"/>
      </w:pPr>
      <w:r>
        <w:t xml:space="preserve">Raumprogramm-Rechner</w:t>
      </w:r>
    </w:p>
    <w:p>
      <w:pPr>
        <w:numPr>
          <w:ilvl w:val="1"/>
          <w:numId w:val="1032"/>
        </w:numPr>
        <w:pStyle w:val="Compact"/>
      </w:pPr>
      <w:r>
        <w:t xml:space="preserve">bemaßter Strukturplan-Ausschnitt</w:t>
      </w:r>
    </w:p>
    <w:p>
      <w:pPr>
        <w:numPr>
          <w:ilvl w:val="1"/>
          <w:numId w:val="1032"/>
        </w:numPr>
        <w:pStyle w:val="Compact"/>
      </w:pPr>
      <w:r>
        <w:rPr>
          <w:bCs/>
          <w:b/>
        </w:rPr>
        <w:t xml:space="preserve">Gebäudesteckbrief mit Kosten</w:t>
      </w:r>
    </w:p>
    <w:p>
      <w:pPr>
        <w:numPr>
          <w:ilvl w:val="1"/>
          <w:numId w:val="1032"/>
        </w:numPr>
        <w:pStyle w:val="Compact"/>
      </w:pPr>
      <w:r>
        <w:rPr>
          <w:bCs/>
          <w:b/>
        </w:rPr>
        <w:t xml:space="preserve">Wirtschaftlichkeits-Dashboard</w:t>
      </w:r>
    </w:p>
    <w:p>
      <w:pPr>
        <w:numPr>
          <w:ilvl w:val="1"/>
          <w:numId w:val="1032"/>
        </w:numPr>
        <w:pStyle w:val="Compact"/>
      </w:pPr>
      <w:r>
        <w:t xml:space="preserve">Roadmap</w:t>
      </w:r>
    </w:p>
    <w:p>
      <w:pPr>
        <w:numPr>
          <w:ilvl w:val="1"/>
          <w:numId w:val="1032"/>
        </w:numPr>
        <w:pStyle w:val="Compact"/>
      </w:pPr>
      <w:r>
        <w:rPr>
          <w:bCs/>
          <w:b/>
        </w:rPr>
        <w:t xml:space="preserve">trilinguales Exposé</w:t>
      </w:r>
    </w:p>
    <w:p>
      <w:pPr>
        <w:numPr>
          <w:ilvl w:val="1"/>
          <w:numId w:val="1032"/>
        </w:numPr>
        <w:pStyle w:val="Compact"/>
      </w:pPr>
      <w:r>
        <w:t xml:space="preserve">GIS-Datenmodell Lambert</w:t>
      </w:r>
    </w:p>
    <w:p>
      <w:pPr>
        <w:numPr>
          <w:ilvl w:val="0"/>
          <w:numId w:val="1031"/>
        </w:numPr>
        <w:pStyle w:val="Compact"/>
      </w:pPr>
      <w:r>
        <w:rPr>
          <w:bCs/>
          <w:b/>
        </w:rPr>
        <w:t xml:space="preserve">Freie Option:</w:t>
      </w:r>
      <w:r>
        <w:t xml:space="preserve"> </w:t>
      </w:r>
      <w:r>
        <w:t xml:space="preserve">Positionspapier nach 8 Wochen (Anknüpfung an ET-Bid-Book und OBL'EU-Ausstellung).</w:t>
      </w:r>
    </w:p>
    <w:p>
      <w:r>
        <w:pict>
          <v:rect style="width:0;height:1.5pt" o:hralign="center" o:hrstd="t" o:hr="t"/>
        </w:pict>
      </w:r>
    </w:p>
    <w:bookmarkEnd w:id="58"/>
    <w:bookmarkEnd w:id="59"/>
    <w:bookmarkStart w:id="60" w:name="X36ad1d744508e3a939cde50aabf8e3c30aac217"/>
    <w:p>
      <w:pPr>
        <w:pStyle w:val="Heading2"/>
      </w:pPr>
      <w:r>
        <w:t xml:space="preserve">9. Workshop-Spickzettel (intern)</w:t>
      </w:r>
    </w:p>
    <w:p>
      <w:pPr>
        <w:pStyle w:val="FirstParagraph"/>
      </w:pPr>
      <w:r>
        <w:rPr>
          <w:bCs/>
          <w:b/>
        </w:rPr>
        <w:t xml:space="preserve">Fünf Kernbotschaften</w:t>
      </w:r>
    </w:p>
    <w:p>
      <w:pPr>
        <w:numPr>
          <w:ilvl w:val="0"/>
          <w:numId w:val="1033"/>
        </w:numPr>
        <w:pStyle w:val="Compact"/>
      </w:pPr>
      <w:r>
        <w:t xml:space="preserve">„Kelmis ist heute Wohnort für Aachen. Das EMRIQ bringt die Arbeit zu den Menschen, mit einem Thema, das nur hier funktioniert.“</w:t>
      </w:r>
    </w:p>
    <w:p>
      <w:pPr>
        <w:numPr>
          <w:ilvl w:val="0"/>
          <w:numId w:val="1033"/>
        </w:numPr>
        <w:pStyle w:val="Compact"/>
      </w:pPr>
      <w:r>
        <w:t xml:space="preserve">„Ihre Vorarbeiten sind unser Startkapital. Wir synthetisieren in 6 Wochen und investieren den Rest in Fokus, Zahlen und Vermarktung.“</w:t>
      </w:r>
    </w:p>
    <w:p>
      <w:pPr>
        <w:numPr>
          <w:ilvl w:val="0"/>
          <w:numId w:val="1033"/>
        </w:numPr>
        <w:pStyle w:val="Compact"/>
      </w:pPr>
      <w:r>
        <w:t xml:space="preserve">„Ein Thema statt Campus. Wir bringen eine transparente Bewertung von 11 Clustern mit. Unsere Arbeitshypothese ist Präzision und Resilienz, die Entscheidung liegt bei Ihnen.“</w:t>
      </w:r>
    </w:p>
    <w:p>
      <w:pPr>
        <w:numPr>
          <w:ilvl w:val="0"/>
          <w:numId w:val="1033"/>
        </w:numPr>
        <w:pStyle w:val="Compact"/>
      </w:pPr>
      <w:r>
        <w:t xml:space="preserve">„Quartier, nicht Gewerbepark: Wohnen ab Tag 1, Museum als Adresse, Bahnhof Hergenrath als Tor.“</w:t>
      </w:r>
    </w:p>
    <w:p>
      <w:pPr>
        <w:numPr>
          <w:ilvl w:val="0"/>
          <w:numId w:val="1033"/>
        </w:numPr>
        <w:pStyle w:val="Compact"/>
      </w:pPr>
      <w:r>
        <w:t xml:space="preserve">„Rechenbar und umsetzbar: Kosten pro Gebäude, Folgekosten, Einnahmen, Träger, Förderung, in drei Sprachen.“</w:t>
      </w:r>
    </w:p>
    <w:p>
      <w:pPr>
        <w:pStyle w:val="FirstParagraph"/>
      </w:pPr>
      <w:r>
        <w:rPr>
          <w:bCs/>
          <w:b/>
        </w:rPr>
        <w:t xml:space="preserve">Sieben Fragen, die wir stellen müssen</w:t>
      </w:r>
    </w:p>
    <w:p>
      <w:pPr>
        <w:numPr>
          <w:ilvl w:val="0"/>
          <w:numId w:val="1034"/>
        </w:numPr>
        <w:pStyle w:val="Compact"/>
      </w:pPr>
      <w:r>
        <w:t xml:space="preserve">Gibt es ein politisches Wunschthema (Verteidigung, ET, Digital), und wer entscheidet über das Thema?</w:t>
      </w:r>
    </w:p>
    <w:p>
      <w:pPr>
        <w:numPr>
          <w:ilvl w:val="0"/>
          <w:numId w:val="1034"/>
        </w:numPr>
        <w:pStyle w:val="Compact"/>
      </w:pPr>
      <w:r>
        <w:t xml:space="preserve">Ist die Ortschaft gesetzt (Kelmis-Zentrum), oder werden Hergenrath und Neu-Moresnet mitgeprüft (erste vorläufige Abnahme)?</w:t>
      </w:r>
    </w:p>
    <w:p>
      <w:pPr>
        <w:numPr>
          <w:ilvl w:val="0"/>
          <w:numId w:val="1034"/>
        </w:numPr>
        <w:pStyle w:val="Compact"/>
      </w:pPr>
      <w:r>
        <w:t xml:space="preserve">Wie stehen</w:t>
      </w:r>
      <w:r>
        <w:t xml:space="preserve"> </w:t>
      </w:r>
      <w:r>
        <w:rPr>
          <w:bCs/>
          <w:b/>
        </w:rPr>
        <w:t xml:space="preserve">BM Daniel Hilligsmann</w:t>
      </w:r>
      <w:r>
        <w:t xml:space="preserve"> </w:t>
      </w:r>
      <w:r>
        <w:t xml:space="preserve">(seit 12/2024, zuvor Kabinettschef von MP Paasch) und die AGR Kelmis zum Projekt? Wie ist der Stand beim Bushof?</w:t>
      </w:r>
    </w:p>
    <w:p>
      <w:pPr>
        <w:numPr>
          <w:ilvl w:val="0"/>
          <w:numId w:val="1034"/>
        </w:numPr>
        <w:pStyle w:val="Compact"/>
      </w:pPr>
      <w:r>
        <w:t xml:space="preserve">Wohngebiet Süd: Soll es Mischquartier bleiben oder (wie in der Gewerbeflächenstrategie vorgeschlagen) Gewerbezone werden?</w:t>
      </w:r>
    </w:p>
    <w:p>
      <w:pPr>
        <w:numPr>
          <w:ilvl w:val="0"/>
          <w:numId w:val="1034"/>
        </w:numPr>
        <w:pStyle w:val="Compact"/>
      </w:pPr>
      <w:r>
        <w:t xml:space="preserve">Was verbirgt sich hinter dem „Euregio Meuse-Rhine Innovation District“, und welche Unterlagen gibt es nach Auftragserteilung (MORO-Bericht, OBL'EU)?</w:t>
      </w:r>
    </w:p>
    <w:p>
      <w:pPr>
        <w:numPr>
          <w:ilvl w:val="0"/>
          <w:numId w:val="1034"/>
        </w:numPr>
        <w:pStyle w:val="Compact"/>
      </w:pPr>
      <w:r>
        <w:t xml:space="preserve">Wie wird der Lieferzeitpunkt bewertet? Sind Zwischenprodukte erwünscht (Positionspapier, Bid-Book-Beitrag)?</w:t>
      </w:r>
    </w:p>
    <w:p>
      <w:pPr>
        <w:numPr>
          <w:ilvl w:val="0"/>
          <w:numId w:val="1034"/>
        </w:numPr>
        <w:pStyle w:val="Compact"/>
      </w:pPr>
      <w:r>
        <w:t xml:space="preserve">Welche Formate werden für die Vermarktung erwartet (Print, Web, Story Map), und wer lektoriert FR/EN?</w:t>
      </w:r>
    </w:p>
    <w:p>
      <w:pPr>
        <w:numPr>
          <w:ilvl w:val="0"/>
          <w:numId w:val="1034"/>
        </w:numPr>
        <w:pStyle w:val="Compact"/>
      </w:pPr>
      <w:r>
        <w:rPr>
          <w:iCs/>
          <w:i/>
        </w:rPr>
        <w:t xml:space="preserve">(optional, je nach Gesprächsklima)</w:t>
      </w:r>
      <w:r>
        <w:t xml:space="preserve"> </w:t>
      </w:r>
      <w:r>
        <w:t xml:space="preserve">Wie steht die DG zur Leitregel „Die Gemeinde bringt den Boden, die DG trägt den Betrieb“? Hintergrund: Der Haushalt von Kelmis steht unter Aufsicht. Soll die Interreg-Frist 16.12.2026 (Call 8, Einstein-Teleskop) noch genutzt werden?</w:t>
      </w:r>
    </w:p>
    <w:p>
      <w:pPr>
        <w:pStyle w:val="FirstParagraph"/>
      </w:pPr>
      <w:r>
        <w:rPr>
          <w:bCs/>
          <w:b/>
        </w:rPr>
        <w:t xml:space="preserve">Rote Linien</w:t>
      </w:r>
    </w:p>
    <w:p>
      <w:pPr>
        <w:numPr>
          <w:ilvl w:val="0"/>
          <w:numId w:val="1035"/>
        </w:numPr>
        <w:pStyle w:val="Compact"/>
      </w:pPr>
      <w:r>
        <w:t xml:space="preserve">Keinen Mitbewerber kritisieren.</w:t>
      </w:r>
    </w:p>
    <w:p>
      <w:pPr>
        <w:numPr>
          <w:ilvl w:val="0"/>
          <w:numId w:val="1035"/>
        </w:numPr>
        <w:pStyle w:val="Compact"/>
      </w:pPr>
      <w:r>
        <w:t xml:space="preserve">Kein Thema als fertige Lösung verkaufen.</w:t>
      </w:r>
    </w:p>
    <w:p>
      <w:pPr>
        <w:numPr>
          <w:ilvl w:val="0"/>
          <w:numId w:val="1035"/>
        </w:numPr>
        <w:pStyle w:val="Compact"/>
      </w:pPr>
      <w:r>
        <w:t xml:space="preserve">Keinen Preis vor dem Folgeangebot nennen.</w:t>
      </w:r>
    </w:p>
    <w:p>
      <w:pPr>
        <w:numPr>
          <w:ilvl w:val="0"/>
          <w:numId w:val="1035"/>
        </w:numPr>
        <w:pStyle w:val="Compact"/>
      </w:pPr>
      <w:r>
        <w:t xml:space="preserve">Keine externen Akteure ohne Einverständnis der DG ansprechen.</w:t>
      </w:r>
    </w:p>
    <w:p>
      <w:pPr>
        <w:numPr>
          <w:ilvl w:val="0"/>
          <w:numId w:val="1035"/>
        </w:numPr>
        <w:pStyle w:val="Compact"/>
      </w:pPr>
      <w:r>
        <w:t xml:space="preserve">Bei Dual-Use immer die Sprachregelung „zivil geführt, dual-use-fähig, ohne Waffen/Munition/Explosivstoffe“ verwenden.</w:t>
      </w:r>
    </w:p>
    <w:p>
      <w:pPr>
        <w:pStyle w:val="FirstParagraph"/>
      </w:pPr>
      <w:r>
        <w:rPr>
          <w:bCs/>
          <w:b/>
        </w:rPr>
        <w:t xml:space="preserve">Zum Mitnehmen:</w:t>
      </w:r>
      <w:r>
        <w:t xml:space="preserve"> </w:t>
      </w:r>
      <w:r>
        <w:t xml:space="preserve">2-seitiges Kurzbriefing ohne Preis, dazu 2–3 Mock-ups der Musterlieferobjekte (Gebäudesteckbrief, Exposé-Doppelseite, Cluster-Matrix).</w:t>
      </w:r>
    </w:p>
    <w:p>
      <w:r>
        <w:pict>
          <v:rect style="width:0;height:1.5pt" o:hralign="center" o:hrstd="t" o:hr="t"/>
        </w:pict>
      </w:r>
    </w:p>
    <w:bookmarkEnd w:id="60"/>
    <w:bookmarkStart w:id="62" w:name="X16fabc364740d29c21fe58641eaad3737622ef5"/>
    <w:p>
      <w:pPr>
        <w:pStyle w:val="Heading2"/>
      </w:pPr>
      <w:r>
        <w:t xml:space="preserve">10. Offene Punkte / zu verifizieren (Auswahl)</w:t>
      </w:r>
    </w:p>
    <w:p>
      <w:pPr>
        <w:numPr>
          <w:ilvl w:val="0"/>
          <w:numId w:val="1036"/>
        </w:numPr>
        <w:pStyle w:val="Compact"/>
      </w:pPr>
      <w:r>
        <w:t xml:space="preserve">Statbel 2025/2026: Einwohner und Nationalitäten Kelmis, Einkommen, Pendlermatrix auf Gemeindeebene.</w:t>
      </w:r>
    </w:p>
    <w:p>
      <w:pPr>
        <w:numPr>
          <w:ilvl w:val="0"/>
          <w:numId w:val="1036"/>
        </w:numPr>
        <w:pStyle w:val="Compact"/>
      </w:pPr>
      <w:r>
        <w:t xml:space="preserve">Takt der RE29 und der Linie 24 im Jahr 2026; Geltung von Deutschland- und Semesterticket auf dem belgischen Abschnitt.</w:t>
      </w:r>
    </w:p>
    <w:p>
      <w:pPr>
        <w:numPr>
          <w:ilvl w:val="0"/>
          <w:numId w:val="1036"/>
        </w:numPr>
        <w:pStyle w:val="Compact"/>
      </w:pPr>
      <w:r>
        <w:t xml:space="preserve">Eigentum der Teilflächen, Konzessionslaufzeit und Ersatzstandort des Bushofs, Einträge in der Bodenstandsbank (Tankstelle, Halden), Bergbaukenntnisse der Gemeinde.</w:t>
      </w:r>
    </w:p>
    <w:p>
      <w:pPr>
        <w:numPr>
          <w:ilvl w:val="0"/>
          <w:numId w:val="1036"/>
        </w:numPr>
        <w:pStyle w:val="Compact"/>
      </w:pPr>
      <w:r>
        <w:t xml:space="preserve">Stand der GRE-Reform; Lage des GKKR; Zulässigkeit eines Mischquartiers in Süd.</w:t>
      </w:r>
    </w:p>
    <w:p>
      <w:pPr>
        <w:numPr>
          <w:ilvl w:val="0"/>
          <w:numId w:val="1036"/>
        </w:numPr>
        <w:pStyle w:val="Compact"/>
      </w:pPr>
      <w:r>
        <w:t xml:space="preserve">Status des ET-Bid-Books (Redaktionsschluss 12/2026), Montzen als Logistikdrehkreuz, Resolution des Wallonischen Parlaments vom 17.06.2026.</w:t>
      </w:r>
    </w:p>
    <w:p>
      <w:pPr>
        <w:numPr>
          <w:ilvl w:val="0"/>
          <w:numId w:val="1036"/>
        </w:numPr>
        <w:pStyle w:val="Compact"/>
      </w:pPr>
      <w:r>
        <w:t xml:space="preserve">Interesse der genannten Ankermieter und Partner (alle Nennungen sind Ansprachehypothesen).</w:t>
      </w:r>
    </w:p>
    <w:p>
      <w:pPr>
        <w:numPr>
          <w:ilvl w:val="0"/>
          <w:numId w:val="1036"/>
        </w:numPr>
        <w:pStyle w:val="Compact"/>
      </w:pPr>
      <w:r>
        <w:t xml:space="preserve">Aktuelle Mietspiegel für Büro und Labor (Aachen, Liège Science Park, Brightlands), belgische Steuersätze 2026.</w:t>
      </w:r>
    </w:p>
    <w:p>
      <w:r>
        <w:pict>
          <v:rect style="width:0;height:1.5pt" o:hralign="center" o:hrstd="t" o:hr="t"/>
        </w:pict>
      </w:r>
    </w:p>
    <w:bookmarkStart w:id="61" w:name="anhang-teilberichte"/>
    <w:p>
      <w:pPr>
        <w:pStyle w:val="Heading3"/>
      </w:pPr>
      <w:r>
        <w:t xml:space="preserve">Anhang: Teilberichte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Datei</w:t>
            </w:r>
          </w:p>
        </w:tc>
        <w:tc>
          <w:tcPr/>
          <w:p>
            <w:pPr>
              <w:pStyle w:val="Compact"/>
              <w:jc w:val="left"/>
            </w:pPr>
            <w:r>
              <w:t xml:space="preserve">Inhalt</w:t>
            </w:r>
          </w:p>
        </w:tc>
      </w:tr>
      <w:tr>
        <w:tc>
          <w:tcPr/>
          <w:p>
            <w:pPr>
              <w:pStyle w:val="Compact"/>
              <w:jc w:val="left"/>
            </w:pPr>
            <w:r>
              <w:rPr>
                <w:rStyle w:val="VerbatimChar"/>
              </w:rPr>
              <w:t xml:space="preserve">00_Kontext/Quellenauswertung.md</w:t>
            </w:r>
          </w:p>
        </w:tc>
        <w:tc>
          <w:tcPr/>
          <w:p>
            <w:pPr>
              <w:pStyle w:val="Compact"/>
              <w:jc w:val="left"/>
            </w:pPr>
            <w:r>
              <w:t xml:space="preserve">Lastenheft, Forum, Gewerbeflächenstrategie, OBL'EU, Leitbild 2040</w:t>
            </w:r>
          </w:p>
        </w:tc>
      </w:tr>
      <w:tr>
        <w:tc>
          <w:tcPr/>
          <w:p>
            <w:pPr>
              <w:pStyle w:val="Compact"/>
              <w:jc w:val="left"/>
            </w:pPr>
            <w:r>
              <w:rPr>
                <w:rStyle w:val="VerbatimChar"/>
              </w:rPr>
              <w:t xml:space="preserve">01_Standortanalyse_Kelmis.md</w:t>
            </w:r>
          </w:p>
        </w:tc>
        <w:tc>
          <w:tcPr/>
          <w:p>
            <w:pPr>
              <w:pStyle w:val="Compact"/>
              <w:jc w:val="left"/>
            </w:pPr>
            <w:r>
              <w:t xml:space="preserve">Makro-/Mikrolage, Mobilität, Demografie, Identität, Restriktionen, Planungsrecht, Suchräume, SWOT, offene Fragen (mit Quellen)</w:t>
            </w:r>
          </w:p>
        </w:tc>
      </w:tr>
      <w:tr>
        <w:tc>
          <w:tcPr/>
          <w:p>
            <w:pPr>
              <w:pStyle w:val="Compact"/>
              <w:jc w:val="left"/>
            </w:pPr>
            <w:r>
              <w:rPr>
                <w:rStyle w:val="VerbatimChar"/>
              </w:rPr>
              <w:t xml:space="preserve">02_Marktanalyse.md</w:t>
            </w:r>
          </w:p>
        </w:tc>
        <w:tc>
          <w:tcPr/>
          <w:p>
            <w:pPr>
              <w:pStyle w:val="Compact"/>
              <w:jc w:val="left"/>
            </w:pPr>
            <w:r>
              <w:t xml:space="preserve">Wohnen, Büro/Labor, Ökosystem, Wettbewerb, ET, Arbeitsmarkt, Steueranreize, Nachfrageszenarien, Zielgruppen, Risiken (mit Quellen)</w:t>
            </w:r>
          </w:p>
        </w:tc>
      </w:tr>
      <w:tr>
        <w:tc>
          <w:tcPr/>
          <w:p>
            <w:pPr>
              <w:pStyle w:val="Compact"/>
              <w:jc w:val="left"/>
            </w:pPr>
            <w:r>
              <w:rPr>
                <w:rStyle w:val="VerbatimChar"/>
              </w:rPr>
              <w:t xml:space="preserve">03a_Branchencluster_Hightech.md</w:t>
            </w:r>
          </w:p>
        </w:tc>
        <w:tc>
          <w:tcPr/>
          <w:p>
            <w:pPr>
              <w:pStyle w:val="Compact"/>
              <w:jc w:val="left"/>
            </w:pPr>
            <w:r>
              <w:t xml:space="preserve">ET/Präzision, Dual-Use, Materials, Space/Robotik; Matrix, Themenprofil, Ankerprojekte, Dual-Use-Sprachregelung (mit Quellen)</w:t>
            </w:r>
          </w:p>
        </w:tc>
      </w:tr>
      <w:tr>
        <w:tc>
          <w:tcPr/>
          <w:p>
            <w:pPr>
              <w:pStyle w:val="Compact"/>
              <w:jc w:val="left"/>
            </w:pPr>
            <w:r>
              <w:rPr>
                <w:rStyle w:val="VerbatimChar"/>
              </w:rPr>
              <w:t xml:space="preserve">03b_Branchencluster_Digital_Bau_Health_Energie.md</w:t>
            </w:r>
          </w:p>
        </w:tc>
        <w:tc>
          <w:tcPr/>
          <w:p>
            <w:pPr>
              <w:pStyle w:val="Compact"/>
              <w:jc w:val="left"/>
            </w:pPr>
            <w:r>
              <w:t xml:space="preserve">Digital, Holz/zirkulär, Health, Energie, Kultur; Matrix, Rollen, Ankerprojekte (mit Quellen)</w:t>
            </w:r>
          </w:p>
        </w:tc>
      </w:tr>
      <w:tr>
        <w:tc>
          <w:tcPr/>
          <w:p>
            <w:pPr>
              <w:pStyle w:val="Compact"/>
              <w:jc w:val="left"/>
            </w:pPr>
            <w:r>
              <w:rPr>
                <w:rStyle w:val="VerbatimChar"/>
              </w:rPr>
              <w:t xml:space="preserve">04_Foerderung_Governance_Wirtschaftlichkeit.md</w:t>
            </w:r>
          </w:p>
        </w:tc>
        <w:tc>
          <w:tcPr/>
          <w:p>
            <w:pPr>
              <w:pStyle w:val="Compact"/>
              <w:jc w:val="left"/>
            </w:pPr>
            <w:r>
              <w:t xml:space="preserve">Förderkulisse, Träger-/Betreibermodelle, Kostenkennwerte, Musterrechnung (mit Quellen)</w:t>
            </w:r>
          </w:p>
        </w:tc>
      </w:tr>
      <w:tr>
        <w:tc>
          <w:tcPr/>
          <w:p>
            <w:pPr>
              <w:pStyle w:val="Compact"/>
              <w:jc w:val="left"/>
            </w:pPr>
            <w:r>
              <w:rPr>
                <w:rStyle w:val="VerbatimChar"/>
              </w:rPr>
              <w:t xml:space="preserve">05_Akquise_und_Workshop_Strategie.md</w:t>
            </w:r>
          </w:p>
        </w:tc>
        <w:tc>
          <w:tcPr/>
          <w:p>
            <w:pPr>
              <w:pStyle w:val="Compact"/>
              <w:jc w:val="left"/>
            </w:pPr>
            <w:r>
              <w:t xml:space="preserve">Bewertungslogik, Wettbewerb, Ablaufplan, Musterlieferobjekte, Auszahlungsplan, Kalkulation, Workshop-Drehbuch</w:t>
            </w:r>
          </w:p>
        </w:tc>
      </w:tr>
    </w:tbl>
    <w:bookmarkEnd w:id="61"/>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2026-10-14T07:25:52Z</dcterms:created>
  <dcterms:modified xsi:type="dcterms:W3CDTF">2026-10-14T07:25:52Z</dcterms:modified>
</cp:coreProperties>
</file>

<file path=docProps/custom.xml><?xml version="1.0" encoding="utf-8"?>
<Properties xmlns="http://schemas.openxmlformats.org/officeDocument/2006/custom-properties" xmlns:vt="http://schemas.openxmlformats.org/officeDocument/2006/docPropsVTypes"/>
</file>