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8dc6c1418d84590a9c6a4285a657c36b46711f"/>
    <w:p>
      <w:pPr>
        <w:pStyle w:val="Heading1"/>
      </w:pPr>
      <w:r>
        <w:t xml:space="preserve">Bieter- und Workshopstrategie EMRIQ Kelmis</w:t>
      </w:r>
    </w:p>
    <w:p>
      <w:pPr>
        <w:pStyle w:val="FirstParagraph"/>
      </w:pPr>
      <w:r>
        <w:t xml:space="preserve">Stand: 14.10.2026 · Verfahren FbRAUM.KaR/39.02-01/26.128 · vertraulich, nur intern</w:t>
      </w:r>
    </w:p>
    <w:p>
      <w:pPr>
        <w:pStyle w:val="BlockText"/>
      </w:pPr>
      <w:r>
        <w:rPr>
          <w:bCs/>
          <w:b/>
        </w:rPr>
        <w:t xml:space="preserve">Ziel:</w:t>
      </w:r>
      <w:r>
        <w:t xml:space="preserve"> </w:t>
      </w:r>
      <w:r>
        <w:t xml:space="preserve">Mandat „Städtebauliches Entwicklungskonzept mit Umsetzungsplan EMRIQ Kelmis“ gewinnen. Der Workshop dient dazu, die Bedarfe des Ministeriums zu schärfen, Vertrauen in Methode und Team aufzubauen und Informationen für ein verbessertes Folgeangebot (BAFO) zu gewinnen.</w:t>
      </w:r>
    </w:p>
    <w:p>
      <w:r>
        <w:pict>
          <v:rect style="width:0;height:1.5pt" o:hralign="center" o:hrstd="t" o:hr="t"/>
        </w:pict>
      </w:r>
    </w:p>
    <w:bookmarkStart w:id="21" w:name="X336323745000d3024e475989551a7951fc6bdcf"/>
    <w:p>
      <w:pPr>
        <w:pStyle w:val="Heading2"/>
      </w:pPr>
      <w:r>
        <w:t xml:space="preserve">1. Kernaussagen auf einen Blick</w:t>
      </w:r>
    </w:p>
    <w:p>
      <w:pPr>
        <w:numPr>
          <w:ilvl w:val="0"/>
          <w:numId w:val="1001"/>
        </w:numPr>
        <w:pStyle w:val="Compact"/>
      </w:pPr>
      <w:r>
        <w:rPr>
          <w:bCs/>
          <w:b/>
        </w:rPr>
        <w:t xml:space="preserve">Das Budget ist faktisch gedeckelt.</w:t>
      </w:r>
      <w:r>
        <w:t xml:space="preserve"> </w:t>
      </w:r>
      <w:r>
        <w:t xml:space="preserve">Das Verfahren nach Art. 42 §1 1° a (Gesetz 17.06.2016) ist nur zulässig, wenn die zu genehmigende Ausgabe</w:t>
      </w:r>
      <w:r>
        <w:t xml:space="preserve"> </w:t>
      </w:r>
      <w:r>
        <w:rPr>
          <w:bCs/>
          <w:b/>
        </w:rPr>
        <w:t xml:space="preserve">140.000 € netto</w:t>
      </w:r>
      <w:r>
        <w:t xml:space="preserve"> </w:t>
      </w:r>
      <w:r>
        <w:t xml:space="preserve">nicht überschreitet (Schwelle seit 01.01.2026, vorher 143.000 €; Quelle:</w:t>
      </w:r>
      <w:r>
        <w:t xml:space="preserve"> </w:t>
      </w:r>
      <w:hyperlink r:id="rId20">
        <w:r>
          <w:rPr>
            <w:rStyle w:val="Hyperlink"/>
          </w:rPr>
          <w:t xml:space="preserve">UVCW</w:t>
        </w:r>
      </w:hyperlink>
      <w:r>
        <w:t xml:space="preserve">). Das Angebot muss klar darunter liegen.</w:t>
      </w:r>
    </w:p>
    <w:p>
      <w:pPr>
        <w:numPr>
          <w:ilvl w:val="0"/>
          <w:numId w:val="1001"/>
        </w:numPr>
        <w:pStyle w:val="Compact"/>
      </w:pPr>
      <w:r>
        <w:rPr>
          <w:bCs/>
          <w:b/>
        </w:rPr>
        <w:t xml:space="preserve">60 von 100 Punkten sind nicht Preis.</w:t>
      </w:r>
      <w:r>
        <w:t xml:space="preserve"> </w:t>
      </w:r>
      <w:r>
        <w:t xml:space="preserve">Lieferzeit (15), Ablaufplan (20), Methodik mit</w:t>
      </w:r>
      <w:r>
        <w:t xml:space="preserve"> </w:t>
      </w:r>
      <w:r>
        <w:rPr>
          <w:bCs/>
          <w:b/>
        </w:rPr>
        <w:t xml:space="preserve">Musterlieferobjekten</w:t>
      </w:r>
      <w:r>
        <w:t xml:space="preserve"> </w:t>
      </w:r>
      <w:r>
        <w:t xml:space="preserve">(20) und Auszahlungsplan (5) sind die eigentlichen Hebel. Die Musterlieferobjekte im Workshop zu zeigen ist das stärkste Argument.</w:t>
      </w:r>
    </w:p>
    <w:p>
      <w:pPr>
        <w:numPr>
          <w:ilvl w:val="0"/>
          <w:numId w:val="1001"/>
        </w:numPr>
        <w:pStyle w:val="Compact"/>
      </w:pPr>
      <w:r>
        <w:rPr>
          <w:bCs/>
          <w:b/>
        </w:rPr>
        <w:t xml:space="preserve">Nicht bei null anfangen.</w:t>
      </w:r>
      <w:r>
        <w:t xml:space="preserve"> </w:t>
      </w:r>
      <w:r>
        <w:t xml:space="preserve">Fachgutachten Raumstrategie, Gewerbeflächenstrategie (Musterprojekt Kelmis) und OBL'EU liegen vor. Unser Angebot: in 6 Wochen synthetisieren und dann</w:t>
      </w:r>
      <w:r>
        <w:t xml:space="preserve"> </w:t>
      </w:r>
      <w:r>
        <w:rPr>
          <w:bCs/>
          <w:b/>
        </w:rPr>
        <w:t xml:space="preserve">fokussieren, rechnen und vermarkten</w:t>
      </w:r>
      <w:r>
        <w:t xml:space="preserve">, statt erneut zu analysieren.</w:t>
      </w:r>
    </w:p>
    <w:p>
      <w:pPr>
        <w:numPr>
          <w:ilvl w:val="0"/>
          <w:numId w:val="1001"/>
        </w:numPr>
        <w:pStyle w:val="Compact"/>
      </w:pPr>
      <w:r>
        <w:rPr>
          <w:bCs/>
          <w:b/>
        </w:rPr>
        <w:t xml:space="preserve">Die Fokussierung ist der eigentliche Auftrag.</w:t>
      </w:r>
      <w:r>
        <w:t xml:space="preserve"> </w:t>
      </w:r>
      <w:r>
        <w:t xml:space="preserve">Der Auftraggeber will ausdrücklich</w:t>
      </w:r>
      <w:r>
        <w:t xml:space="preserve"> </w:t>
      </w:r>
      <w:r>
        <w:rPr>
          <w:bCs/>
          <w:b/>
        </w:rPr>
        <w:t xml:space="preserve">keine Campusstrategie</w:t>
      </w:r>
      <w:r>
        <w:t xml:space="preserve">. Wir bringen eine bewertete Shortlist von Themenprofilen mit und schlagen einen transparenten Auswahlprozess vor. Die Entscheidung trifft die DG.</w:t>
      </w:r>
    </w:p>
    <w:p>
      <w:pPr>
        <w:numPr>
          <w:ilvl w:val="0"/>
          <w:numId w:val="1001"/>
        </w:numPr>
        <w:pStyle w:val="Compact"/>
      </w:pPr>
      <w:r>
        <w:rPr>
          <w:bCs/>
          <w:b/>
        </w:rPr>
        <w:t xml:space="preserve">Quartier statt Gewerbepark.</w:t>
      </w:r>
      <w:r>
        <w:t xml:space="preserve"> </w:t>
      </w:r>
      <w:r>
        <w:t xml:space="preserve">Wohnen, Arbeiten, Forschung und Lebensqualität, eingebettet in den Ort. Der Bestand (Museum Vieille Montagne, Lütticher Straße, Bahnhof Hergenrath) ist die Bühne, Neutral-Moresnet die Erzählung.</w:t>
      </w:r>
    </w:p>
    <w:p>
      <w:pPr>
        <w:numPr>
          <w:ilvl w:val="0"/>
          <w:numId w:val="1001"/>
        </w:numPr>
        <w:pStyle w:val="Compact"/>
      </w:pPr>
      <w:r>
        <w:rPr>
          <w:bCs/>
          <w:b/>
        </w:rPr>
        <w:t xml:space="preserve">Umsetzbarkeit verkauft.</w:t>
      </w:r>
      <w:r>
        <w:t xml:space="preserve"> </w:t>
      </w:r>
      <w:r>
        <w:t xml:space="preserve">Kosten pro Gebäude, Folgekosten, Einnahmen der öffentlichen Hand, Träger (AGR Kelmis), Förderkulisse und Phasen, so aufbereitet, dass Investoren und Politik es verstehen, in DE, FR und EN.</w:t>
      </w:r>
    </w:p>
    <w:p>
      <w:r>
        <w:pict>
          <v:rect style="width:0;height:1.5pt" o:hralign="center" o:hrstd="t" o:hr="t"/>
        </w:pict>
      </w:r>
    </w:p>
    <w:bookmarkEnd w:id="21"/>
    <w:bookmarkStart w:id="22" w:name="X35dd1605b93f28a1e290c8845e6518e8676b5b0"/>
    <w:p>
      <w:pPr>
        <w:pStyle w:val="Heading2"/>
      </w:pPr>
      <w:r>
        <w:t xml:space="preserve">2. Bewertungslogik und Hebel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Kriterium</w:t>
            </w:r>
          </w:p>
        </w:tc>
        <w:tc>
          <w:tcPr/>
          <w:p>
            <w:pPr>
              <w:pStyle w:val="Compact"/>
              <w:jc w:val="right"/>
            </w:pPr>
            <w:r>
              <w:t xml:space="preserve">Punkte</w:t>
            </w:r>
          </w:p>
        </w:tc>
        <w:tc>
          <w:tcPr/>
          <w:p>
            <w:pPr>
              <w:pStyle w:val="Compact"/>
              <w:jc w:val="left"/>
            </w:pPr>
            <w:r>
              <w:t xml:space="preserve">Was bewertet wird (Interpretation)</w:t>
            </w:r>
          </w:p>
        </w:tc>
        <w:tc>
          <w:tcPr/>
          <w:p>
            <w:pPr>
              <w:pStyle w:val="Compact"/>
              <w:jc w:val="left"/>
            </w:pPr>
            <w:r>
              <w:t xml:space="preserve">Unser Hebel</w:t>
            </w:r>
          </w:p>
        </w:tc>
      </w:tr>
      <w:tr>
        <w:tc>
          <w:tcPr/>
          <w:p>
            <w:pPr>
              <w:pStyle w:val="Compact"/>
              <w:jc w:val="left"/>
            </w:pPr>
            <w:r>
              <w:t xml:space="preserve">Preis</w:t>
            </w:r>
          </w:p>
        </w:tc>
        <w:tc>
          <w:tcPr/>
          <w:p>
            <w:pPr>
              <w:pStyle w:val="Compact"/>
              <w:jc w:val="right"/>
            </w:pPr>
            <w:r>
              <w:t xml:space="preserve">40</w:t>
            </w:r>
          </w:p>
        </w:tc>
        <w:tc>
          <w:tcPr/>
          <w:p>
            <w:pPr>
              <w:pStyle w:val="Compact"/>
              <w:jc w:val="left"/>
            </w:pPr>
            <w:r>
              <w:t xml:space="preserve">Formel: 40 × (günstigstes Angebot / eigenes Angebot)</w:t>
            </w:r>
          </w:p>
        </w:tc>
        <w:tc>
          <w:tcPr/>
          <w:p>
            <w:pPr>
              <w:pStyle w:val="Compact"/>
              <w:jc w:val="left"/>
            </w:pPr>
            <w:r>
              <w:t xml:space="preserve">Schlanke Kalkulation unter dem Deckel, keine Doppelanalysen, Synergien aus vorhandenen Studien</w:t>
            </w:r>
          </w:p>
        </w:tc>
      </w:tr>
      <w:tr>
        <w:tc>
          <w:tcPr/>
          <w:p>
            <w:pPr>
              <w:pStyle w:val="Compact"/>
              <w:jc w:val="left"/>
            </w:pPr>
            <w:r>
              <w:t xml:space="preserve">Lieferzeitpunkt</w:t>
            </w:r>
          </w:p>
        </w:tc>
        <w:tc>
          <w:tcPr/>
          <w:p>
            <w:pPr>
              <w:pStyle w:val="Compact"/>
              <w:jc w:val="right"/>
            </w:pPr>
            <w:r>
              <w:t xml:space="preserve">15</w:t>
            </w:r>
          </w:p>
        </w:tc>
        <w:tc>
          <w:tcPr/>
          <w:p>
            <w:pPr>
              <w:pStyle w:val="Compact"/>
              <w:jc w:val="left"/>
            </w:pPr>
            <w:r>
              <w:t xml:space="preserve">Formel nicht offengelegt, vermutlich früheste realistische Endabgabe</w:t>
            </w:r>
          </w:p>
        </w:tc>
        <w:tc>
          <w:tcPr/>
          <w:p>
            <w:pPr>
              <w:pStyle w:val="Compact"/>
              <w:jc w:val="left"/>
            </w:pPr>
            <w:r>
              <w:t xml:space="preserve">Verbindliche Endabgabe</w:t>
            </w:r>
            <w:r>
              <w:t xml:space="preserve"> </w:t>
            </w:r>
            <w:r>
              <w:rPr>
                <w:bCs/>
                <w:b/>
              </w:rPr>
              <w:t xml:space="preserve">≤ 13 Monate</w:t>
            </w:r>
            <w:r>
              <w:t xml:space="preserve"> </w:t>
            </w:r>
            <w:r>
              <w:t xml:space="preserve">nach Notifizierung, Entwurf nach 11 Monaten</w:t>
            </w:r>
          </w:p>
        </w:tc>
      </w:tr>
      <w:tr>
        <w:tc>
          <w:tcPr/>
          <w:p>
            <w:pPr>
              <w:pStyle w:val="Compact"/>
              <w:jc w:val="left"/>
            </w:pPr>
            <w:r>
              <w:t xml:space="preserve">Ablaufplan &amp; Projektkonzeption</w:t>
            </w:r>
          </w:p>
        </w:tc>
        <w:tc>
          <w:tcPr/>
          <w:p>
            <w:pPr>
              <w:pStyle w:val="Compact"/>
              <w:jc w:val="right"/>
            </w:pPr>
            <w:r>
              <w:t xml:space="preserve">20</w:t>
            </w:r>
          </w:p>
        </w:tc>
        <w:tc>
          <w:tcPr/>
          <w:p>
            <w:pPr>
              <w:pStyle w:val="Compact"/>
              <w:jc w:val="left"/>
            </w:pPr>
            <w:r>
              <w:t xml:space="preserve">Logik, Meilensteine, Abstimmungs- und Beteiligungsformate, Risikomanagement</w:t>
            </w:r>
          </w:p>
        </w:tc>
        <w:tc>
          <w:tcPr/>
          <w:p>
            <w:pPr>
              <w:pStyle w:val="Compact"/>
              <w:jc w:val="left"/>
            </w:pPr>
            <w:r>
              <w:t xml:space="preserve">6 Arbeitspakete, 5 Meilensteine, klare Entscheidungspunkte, Jour fixe</w:t>
            </w:r>
          </w:p>
        </w:tc>
      </w:tr>
      <w:tr>
        <w:tc>
          <w:tcPr/>
          <w:p>
            <w:pPr>
              <w:pStyle w:val="Compact"/>
              <w:jc w:val="left"/>
            </w:pPr>
            <w:r>
              <w:t xml:space="preserve">Methodik mit Musterlieferobjekten</w:t>
            </w:r>
          </w:p>
        </w:tc>
        <w:tc>
          <w:tcPr/>
          <w:p>
            <w:pPr>
              <w:pStyle w:val="Compact"/>
              <w:jc w:val="right"/>
            </w:pPr>
            <w:r>
              <w:t xml:space="preserve">20</w:t>
            </w:r>
          </w:p>
        </w:tc>
        <w:tc>
          <w:tcPr/>
          <w:p>
            <w:pPr>
              <w:pStyle w:val="Compact"/>
              <w:jc w:val="left"/>
            </w:pPr>
            <w:r>
              <w:t xml:space="preserve">Qualität und Anschaulichkeit der Endprodukte</w:t>
            </w:r>
          </w:p>
        </w:tc>
        <w:tc>
          <w:tcPr/>
          <w:p>
            <w:pPr>
              <w:pStyle w:val="Compact"/>
              <w:jc w:val="left"/>
            </w:pPr>
            <w:r>
              <w:t xml:space="preserve">8–10 konkrete Muster (siehe Kap. 6), u. a. Gebäudesteckbrief mit Kosten, trilinguales Exposé</w:t>
            </w:r>
          </w:p>
        </w:tc>
      </w:tr>
      <w:tr>
        <w:tc>
          <w:tcPr/>
          <w:p>
            <w:pPr>
              <w:pStyle w:val="Compact"/>
              <w:jc w:val="left"/>
            </w:pPr>
            <w:r>
              <w:t xml:space="preserve">Auszahlungsplan</w:t>
            </w:r>
          </w:p>
        </w:tc>
        <w:tc>
          <w:tcPr/>
          <w:p>
            <w:pPr>
              <w:pStyle w:val="Compact"/>
              <w:jc w:val="right"/>
            </w:pPr>
            <w:r>
              <w:t xml:space="preserve">5</w:t>
            </w:r>
          </w:p>
        </w:tc>
        <w:tc>
          <w:tcPr/>
          <w:p>
            <w:pPr>
              <w:pStyle w:val="Compact"/>
              <w:jc w:val="left"/>
            </w:pPr>
            <w:r>
              <w:t xml:space="preserve">Kopplung an Meilensteine, Nachvollziehbarkeit</w:t>
            </w:r>
          </w:p>
        </w:tc>
        <w:tc>
          <w:tcPr/>
          <w:p>
            <w:pPr>
              <w:pStyle w:val="Compact"/>
              <w:jc w:val="left"/>
            </w:pPr>
            <w:r>
              <w:t xml:space="preserve">Ausgewogene Verteilung, kein Frontloading, kompatibel mit 80/20-Regel und Peppol</w:t>
            </w:r>
          </w:p>
        </w:tc>
      </w:tr>
    </w:tbl>
    <w:p>
      <w:pPr>
        <w:pStyle w:val="BodyText"/>
      </w:pPr>
      <w:r>
        <w:rPr>
          <w:bCs/>
          <w:b/>
        </w:rPr>
        <w:t xml:space="preserve">Rechenbeispiel Preis:</w:t>
      </w:r>
      <w:r>
        <w:t xml:space="preserve"> </w:t>
      </w:r>
      <w:r>
        <w:t xml:space="preserve">Liegt das günstigste Angebot bei 110.000 € und unser Angebot bei 125.000 €, erhalten wir 40 × 110/125 =</w:t>
      </w:r>
      <w:r>
        <w:t xml:space="preserve"> </w:t>
      </w:r>
      <w:r>
        <w:rPr>
          <w:bCs/>
          <w:b/>
        </w:rPr>
        <w:t xml:space="preserve">35,2 Punkte</w:t>
      </w:r>
      <w:r>
        <w:t xml:space="preserve"> </w:t>
      </w:r>
      <w:r>
        <w:t xml:space="preserve">(−4,8). Jede 10 % über dem günstigsten Angebot kostet etwa 3,6 Punkte. Das ist mit Qualität (40 Punkte) und Lieferzeit (15 Punkte) aufholbar, aber nur, wenn die Qualität sichtbar überlegen ist.</w:t>
      </w:r>
    </w:p>
    <w:p>
      <w:pPr>
        <w:pStyle w:val="BodyText"/>
      </w:pPr>
      <w:r>
        <w:rPr>
          <w:bCs/>
          <w:b/>
        </w:rPr>
        <w:t xml:space="preserve">Vorsicht ungewöhnlich niedriger Preis:</w:t>
      </w:r>
      <w:r>
        <w:t xml:space="preserve"> </w:t>
      </w:r>
      <w:r>
        <w:t xml:space="preserve">Art. 36 KE 18.04.2017 sieht eine Prüfung vor. Für ~13 Monate Bearbeitungszeit mit Trilingualität und Wirtschaftlichkeitsbetrachtung ist ein Preis unter ~95.000 € netto schwer zu begründen (Einschätzung).</w:t>
      </w:r>
    </w:p>
    <w:p>
      <w:pPr>
        <w:pStyle w:val="BodyText"/>
      </w:pPr>
      <w:r>
        <w:rPr>
          <w:bCs/>
          <w:b/>
        </w:rPr>
        <w:t xml:space="preserve">Verhandlungsverfahren:</w:t>
      </w:r>
      <w:r>
        <w:t xml:space="preserve"> </w:t>
      </w:r>
      <w:r>
        <w:t xml:space="preserve">Die Zuschlagskriterien sind nicht verhandelbar,</w:t>
      </w:r>
      <w:r>
        <w:t xml:space="preserve"> </w:t>
      </w:r>
      <w:r>
        <w:rPr>
          <w:bCs/>
          <w:b/>
        </w:rPr>
        <w:t xml:space="preserve">Angebotsinhalte schon</w:t>
      </w:r>
      <w:r>
        <w:t xml:space="preserve"> </w:t>
      </w:r>
      <w:r>
        <w:t xml:space="preserve">(Leistungsumfang, Zeitplan, Preis, Muster). Der Workshop ist deshalb Informationsgewinnung für das Folgeangebot.</w:t>
      </w:r>
    </w:p>
    <w:p>
      <w:r>
        <w:pict>
          <v:rect style="width:0;height:1.5pt" o:hralign="center" o:hrstd="t" o:hr="t"/>
        </w:pict>
      </w:r>
    </w:p>
    <w:bookmarkEnd w:id="22"/>
    <w:bookmarkStart w:id="23" w:name="Xa154f8e0c6b07b1bddc68fdea7d0b9f112a3800"/>
    <w:p>
      <w:pPr>
        <w:pStyle w:val="Heading2"/>
      </w:pPr>
      <w:r>
        <w:t xml:space="preserve">3. Wettbewerbsumfeld (Hypothesen, nicht verifiziert)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Mögliche Mitbewerber</w:t>
            </w:r>
          </w:p>
        </w:tc>
        <w:tc>
          <w:tcPr/>
          <w:p>
            <w:pPr>
              <w:pStyle w:val="Compact"/>
              <w:jc w:val="left"/>
            </w:pPr>
            <w:r>
              <w:t xml:space="preserve">Stärke</w:t>
            </w:r>
          </w:p>
        </w:tc>
        <w:tc>
          <w:tcPr/>
          <w:p>
            <w:pPr>
              <w:pStyle w:val="Compact"/>
              <w:jc w:val="left"/>
            </w:pPr>
            <w:r>
              <w:t xml:space="preserve">Schwäche/Angriffspunkt</w:t>
            </w:r>
          </w:p>
        </w:tc>
        <w:tc>
          <w:tcPr/>
          <w:p>
            <w:pPr>
              <w:pStyle w:val="Compact"/>
              <w:jc w:val="left"/>
            </w:pPr>
            <w:r>
              <w:t xml:space="preserve">Unsere Antwort</w:t>
            </w:r>
          </w:p>
        </w:tc>
      </w:tr>
      <w:tr>
        <w:tc>
          <w:tcPr/>
          <w:p>
            <w:pPr>
              <w:pStyle w:val="Compact"/>
              <w:jc w:val="left"/>
            </w:pPr>
            <w:r>
              <w:rPr>
                <w:bCs/>
                <w:b/>
              </w:rPr>
              <w:t xml:space="preserve">HJPplan+ (Aachen)</w:t>
            </w:r>
            <w:r>
              <w:t xml:space="preserve">, Verfasser von Fachgutachten Raumstrategie und Gewerbeflächenstrategie inkl. Musterprojekt Kelmis</w:t>
            </w:r>
          </w:p>
        </w:tc>
        <w:tc>
          <w:tcPr/>
          <w:p>
            <w:pPr>
              <w:pStyle w:val="Compact"/>
              <w:jc w:val="left"/>
            </w:pPr>
            <w:r>
              <w:t xml:space="preserve">Tiefe Ortskenntnis, Strukturkonzepte Kelmis liegen vor, Vertrauen beim FB Raumordnung</w:t>
            </w:r>
          </w:p>
        </w:tc>
        <w:tc>
          <w:tcPr/>
          <w:p>
            <w:pPr>
              <w:pStyle w:val="Compact"/>
              <w:jc w:val="left"/>
            </w:pPr>
            <w:r>
              <w:t xml:space="preserve">Fokus Gewerbe/Planung; Ökonomie, Vermarktung und FR/EN-Kommunikation weniger profiliert</w:t>
            </w:r>
          </w:p>
        </w:tc>
        <w:tc>
          <w:tcPr/>
          <w:p>
            <w:pPr>
              <w:pStyle w:val="Compact"/>
              <w:jc w:val="left"/>
            </w:pPr>
            <w:r>
              <w:t xml:space="preserve">„Vom Gewerbegebiet zum Innovationsquartier“: Themenprofil, Wohnen, Investorensicht, Trilingualität</w:t>
            </w:r>
          </w:p>
        </w:tc>
      </w:tr>
      <w:tr>
        <w:tc>
          <w:tcPr/>
          <w:p>
            <w:pPr>
              <w:pStyle w:val="Compact"/>
              <w:jc w:val="left"/>
            </w:pPr>
            <w:r>
              <w:rPr>
                <w:bCs/>
                <w:b/>
              </w:rPr>
              <w:t xml:space="preserve">RHA Reicher Haase / Maurer United / RWTH</w:t>
            </w:r>
            <w:r>
              <w:t xml:space="preserve">, OBL'EU-Team, Ausstellung im Museum Vieille Montagne im</w:t>
            </w:r>
            <w:r>
              <w:t xml:space="preserve"> </w:t>
            </w:r>
            <w:r>
              <w:rPr>
                <w:bCs/>
                <w:b/>
              </w:rPr>
              <w:t xml:space="preserve">November 2026</w:t>
            </w:r>
          </w:p>
        </w:tc>
        <w:tc>
          <w:tcPr/>
          <w:p>
            <w:pPr>
              <w:pStyle w:val="Compact"/>
              <w:jc w:val="left"/>
            </w:pPr>
            <w:r>
              <w:t xml:space="preserve">Euregionales Netzwerk, RWTH-Nähe, Sichtbarkeit genau jetzt</w:t>
            </w:r>
          </w:p>
        </w:tc>
        <w:tc>
          <w:tcPr/>
          <w:p>
            <w:pPr>
              <w:pStyle w:val="Compact"/>
              <w:jc w:val="left"/>
            </w:pPr>
            <w:r>
              <w:t xml:space="preserve">Forschungs- und Prozessorientierung; Wirtschaftlichkeit und Umsetzung weniger im Fokus</w:t>
            </w:r>
          </w:p>
        </w:tc>
        <w:tc>
          <w:tcPr/>
          <w:p>
            <w:pPr>
              <w:pStyle w:val="Compact"/>
              <w:jc w:val="left"/>
            </w:pPr>
            <w:r>
              <w:t xml:space="preserve">Schlüsselprojekte (Scale-up-Center, Digital Hub, HOLZ+) aufgreifen und</w:t>
            </w:r>
            <w:r>
              <w:t xml:space="preserve"> </w:t>
            </w:r>
            <w:r>
              <w:rPr>
                <w:bCs/>
                <w:b/>
              </w:rPr>
              <w:t xml:space="preserve">in ein rechenbares Quartier übersetzen</w:t>
            </w:r>
          </w:p>
        </w:tc>
      </w:tr>
      <w:tr>
        <w:tc>
          <w:tcPr/>
          <w:p>
            <w:pPr>
              <w:pStyle w:val="Compact"/>
              <w:jc w:val="left"/>
            </w:pPr>
            <w:r>
              <w:t xml:space="preserve">Belgische/wallonische Büros (FR-stark)</w:t>
            </w:r>
          </w:p>
        </w:tc>
        <w:tc>
          <w:tcPr/>
          <w:p>
            <w:pPr>
              <w:pStyle w:val="Compact"/>
              <w:jc w:val="left"/>
            </w:pPr>
            <w:r>
              <w:t xml:space="preserve">Rechtskenntnis Wallonie/SPI, FR</w:t>
            </w:r>
          </w:p>
        </w:tc>
        <w:tc>
          <w:tcPr/>
          <w:p>
            <w:pPr>
              <w:pStyle w:val="Compact"/>
              <w:jc w:val="left"/>
            </w:pPr>
            <w:r>
              <w:t xml:space="preserve">DE-Kultur, Bezug zu Aachen</w:t>
            </w:r>
          </w:p>
        </w:tc>
        <w:tc>
          <w:tcPr/>
          <w:p>
            <w:pPr>
              <w:pStyle w:val="Compact"/>
              <w:jc w:val="left"/>
            </w:pPr>
            <w:r>
              <w:t xml:space="preserve">DE/FR/EN-Team, Brückenkompetenz</w:t>
            </w:r>
          </w:p>
        </w:tc>
      </w:tr>
    </w:tbl>
    <w:p>
      <w:pPr>
        <w:pStyle w:val="BodyText"/>
      </w:pPr>
      <w:r>
        <w:rPr>
          <w:bCs/>
          <w:b/>
        </w:rPr>
        <w:t xml:space="preserve">Positionierung:</w:t>
      </w:r>
      <w:r>
        <w:t xml:space="preserve"> </w:t>
      </w:r>
      <w:r>
        <w:t xml:space="preserve">Wir bauen auf den Vorarbeiten auf, statt mit ihnen zu konkurrieren, und liefern das, was dort fehlt:</w:t>
      </w:r>
      <w:r>
        <w:t xml:space="preserve"> </w:t>
      </w:r>
      <w:r>
        <w:rPr>
          <w:bCs/>
          <w:b/>
        </w:rPr>
        <w:t xml:space="preserve">Fokus, Zahlen, Vermarktung, Umsetzung</w:t>
      </w:r>
      <w:r>
        <w:t xml:space="preserve">.</w:t>
      </w:r>
    </w:p>
    <w:p>
      <w:r>
        <w:pict>
          <v:rect style="width:0;height:1.5pt" o:hralign="center" o:hrstd="t" o:hr="t"/>
        </w:pict>
      </w:r>
    </w:p>
    <w:bookmarkEnd w:id="23"/>
    <w:bookmarkStart w:id="24" w:name="X0799fd6800f07a5970afcda792a9455a36f74e2"/>
    <w:p>
      <w:pPr>
        <w:pStyle w:val="Heading2"/>
      </w:pPr>
      <w:r>
        <w:t xml:space="preserve">4. Wertversprechen (Pitch in drei Sätzen)</w:t>
      </w:r>
    </w:p>
    <w:p>
      <w:pPr>
        <w:pStyle w:val="BlockText"/>
      </w:pPr>
      <w:r>
        <w:t xml:space="preserve">„Kelmis hat alles für ein Innovationsquartier: die Lage zwischen drei Universitäten, eine Geschichte des Querdenkens und Flächen im Ortskern, die heute untergenutzt sind. Was fehlt, sind ein klares Thema, ein rechenbares Programm und eine Geschichte, die Investoren und Fachkräfte in drei Sprachen verstehen. Genau das liefern wir in 13 Monaten, aufbauend auf Ihren Vorarbeiten, mit Kosten pro Gebäude und einem Träger- und Förderfahrplan, der morgen umsetzbar ist.“</w:t>
      </w:r>
    </w:p>
    <w:p>
      <w:r>
        <w:pict>
          <v:rect style="width:0;height:1.5pt" o:hralign="center" o:hrstd="t" o:hr="t"/>
        </w:pict>
      </w:r>
    </w:p>
    <w:bookmarkEnd w:id="24"/>
    <w:bookmarkStart w:id="25" w:name="X1ce0567fdcb62f5fbe4660c7dfa96d4982a34df"/>
    <w:p>
      <w:pPr>
        <w:pStyle w:val="Heading2"/>
      </w:pPr>
      <w:r>
        <w:t xml:space="preserve">5. Vorschlag Ablaufplan (Monat 0 = Notifizierung)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w:t>
            </w:r>
          </w:p>
        </w:tc>
        <w:tc>
          <w:tcPr/>
          <w:p>
            <w:pPr>
              <w:pStyle w:val="Compact"/>
              <w:jc w:val="left"/>
            </w:pPr>
            <w:r>
              <w:t xml:space="preserve">Inhalt</w:t>
            </w:r>
          </w:p>
        </w:tc>
        <w:tc>
          <w:tcPr/>
          <w:p>
            <w:pPr>
              <w:pStyle w:val="Compact"/>
              <w:jc w:val="left"/>
            </w:pPr>
            <w:r>
              <w:t xml:space="preserve">Monate</w:t>
            </w:r>
          </w:p>
        </w:tc>
        <w:tc>
          <w:tcPr/>
          <w:p>
            <w:pPr>
              <w:pStyle w:val="Compact"/>
              <w:jc w:val="left"/>
            </w:pPr>
            <w:r>
              <w:t xml:space="preserve">Ergebnis / Meilenstein</w:t>
            </w:r>
          </w:p>
        </w:tc>
      </w:tr>
      <w:tr>
        <w:tc>
          <w:tcPr/>
          <w:p>
            <w:pPr>
              <w:pStyle w:val="Compact"/>
              <w:jc w:val="left"/>
            </w:pPr>
            <w:r>
              <w:rPr>
                <w:bCs/>
                <w:b/>
              </w:rPr>
              <w:t xml:space="preserve">AP0</w:t>
            </w:r>
          </w:p>
        </w:tc>
        <w:tc>
          <w:tcPr/>
          <w:p>
            <w:pPr>
              <w:pStyle w:val="Compact"/>
              <w:jc w:val="left"/>
            </w:pPr>
            <w:r>
              <w:t xml:space="preserve">Kick-off, Datenraum, Stakeholder-Mapping, Kommunikationsplan, Jour fixe (4-wöchentlich)</w:t>
            </w:r>
          </w:p>
        </w:tc>
        <w:tc>
          <w:tcPr/>
          <w:p>
            <w:pPr>
              <w:pStyle w:val="Compact"/>
              <w:jc w:val="left"/>
            </w:pPr>
            <w:r>
              <w:t xml:space="preserve">0–1</w:t>
            </w:r>
          </w:p>
        </w:tc>
        <w:tc>
          <w:tcPr/>
          <w:p>
            <w:pPr>
              <w:pStyle w:val="Compact"/>
              <w:jc w:val="left"/>
            </w:pPr>
            <w:r>
              <w:t xml:space="preserve">Arbeitsprogramm, Stakeholderliste (Abstimmung DG)</w:t>
            </w:r>
          </w:p>
        </w:tc>
      </w:tr>
      <w:tr>
        <w:tc>
          <w:tcPr/>
          <w:p>
            <w:pPr>
              <w:pStyle w:val="Compact"/>
              <w:jc w:val="left"/>
            </w:pPr>
            <w:r>
              <w:rPr>
                <w:bCs/>
                <w:b/>
              </w:rPr>
              <w:t xml:space="preserve">AP1</w:t>
            </w:r>
          </w:p>
        </w:tc>
        <w:tc>
          <w:tcPr/>
          <w:p>
            <w:pPr>
              <w:pStyle w:val="Compact"/>
              <w:jc w:val="left"/>
            </w:pPr>
            <w:r>
              <w:t xml:space="preserve">Synthese der Vorstudien, Standort- und Bestandsanalyse (Sektorenplan, Eigentum über Gemeinde, Altlasten-/Naturschutzrestriktionen, Mobilität), 10–12 Fachgespräche (Gemeinde/AGR, WFG, SPI, RWTH/digitalHUB, ULiège, LIOF/ET, Unternehmen vor Ort)</w:t>
            </w:r>
          </w:p>
        </w:tc>
        <w:tc>
          <w:tcPr/>
          <w:p>
            <w:pPr>
              <w:pStyle w:val="Compact"/>
              <w:jc w:val="left"/>
            </w:pPr>
            <w:r>
              <w:t xml:space="preserve">1–3</w:t>
            </w:r>
          </w:p>
        </w:tc>
        <w:tc>
          <w:tcPr/>
          <w:p>
            <w:pPr>
              <w:pStyle w:val="Compact"/>
              <w:jc w:val="left"/>
            </w:pPr>
            <w:r>
              <w:rPr>
                <w:bCs/>
                <w:b/>
              </w:rPr>
              <w:t xml:space="preserve">MS1: Standortdossier + Festlegung der weiter zu beplanenden Ortschaft/des Plangebiets</w:t>
            </w:r>
            <w:r>
              <w:t xml:space="preserve"> </w:t>
            </w:r>
            <w:r>
              <w:t xml:space="preserve">(vorläufige Abnahme 1 laut Lastenheft)</w:t>
            </w:r>
          </w:p>
        </w:tc>
      </w:tr>
      <w:tr>
        <w:tc>
          <w:tcPr/>
          <w:p>
            <w:pPr>
              <w:pStyle w:val="Compact"/>
              <w:jc w:val="left"/>
            </w:pPr>
            <w:r>
              <w:rPr>
                <w:bCs/>
                <w:b/>
              </w:rPr>
              <w:t xml:space="preserve">AP2</w:t>
            </w:r>
          </w:p>
        </w:tc>
        <w:tc>
          <w:tcPr/>
          <w:p>
            <w:pPr>
              <w:pStyle w:val="Compact"/>
              <w:jc w:val="left"/>
            </w:pPr>
            <w:r>
              <w:t xml:space="preserve">Themenprofil (Cluster-Scoring, Shortlist → Entscheidung), Zielgruppen und Anforderungen Arbeiten/Wohnen, Nachfrage- und Raumprogramm (Szenarien), Akteursworkshop 1</w:t>
            </w:r>
          </w:p>
        </w:tc>
        <w:tc>
          <w:tcPr/>
          <w:p>
            <w:pPr>
              <w:pStyle w:val="Compact"/>
              <w:jc w:val="left"/>
            </w:pPr>
            <w:r>
              <w:t xml:space="preserve">3–5</w:t>
            </w:r>
          </w:p>
        </w:tc>
        <w:tc>
          <w:tcPr/>
          <w:p>
            <w:pPr>
              <w:pStyle w:val="Compact"/>
              <w:jc w:val="left"/>
            </w:pPr>
            <w:r>
              <w:rPr>
                <w:bCs/>
                <w:b/>
              </w:rPr>
              <w:t xml:space="preserve">MS2: Profil- und Programmpapier</w:t>
            </w:r>
          </w:p>
        </w:tc>
      </w:tr>
      <w:tr>
        <w:tc>
          <w:tcPr/>
          <w:p>
            <w:pPr>
              <w:pStyle w:val="Compact"/>
              <w:jc w:val="left"/>
            </w:pPr>
            <w:r>
              <w:rPr>
                <w:bCs/>
                <w:b/>
              </w:rPr>
              <w:t xml:space="preserve">AP3</w:t>
            </w:r>
          </w:p>
        </w:tc>
        <w:tc>
          <w:tcPr/>
          <w:p>
            <w:pPr>
              <w:pStyle w:val="Compact"/>
              <w:jc w:val="left"/>
            </w:pPr>
            <w:r>
              <w:t xml:space="preserve">2–3 städtebauliche Varianten inkl. Mobilitäts- und Freiraumkonzept, Variantenbewertung (Checkliste der Gewerbeflächenstrategie weiterentwickelt), Workshop 2 + Bürgerdialog (Empfehlung)</w:t>
            </w:r>
          </w:p>
        </w:tc>
        <w:tc>
          <w:tcPr/>
          <w:p>
            <w:pPr>
              <w:pStyle w:val="Compact"/>
              <w:jc w:val="left"/>
            </w:pPr>
            <w:r>
              <w:t xml:space="preserve">5–8</w:t>
            </w:r>
          </w:p>
        </w:tc>
        <w:tc>
          <w:tcPr/>
          <w:p>
            <w:pPr>
              <w:pStyle w:val="Compact"/>
              <w:jc w:val="left"/>
            </w:pPr>
            <w:r>
              <w:rPr>
                <w:bCs/>
                <w:b/>
              </w:rPr>
              <w:t xml:space="preserve">MS3: Variantenvergleich + Vorzugsvariante</w:t>
            </w:r>
          </w:p>
        </w:tc>
      </w:tr>
      <w:tr>
        <w:tc>
          <w:tcPr/>
          <w:p>
            <w:pPr>
              <w:pStyle w:val="Compact"/>
              <w:jc w:val="left"/>
            </w:pPr>
            <w:r>
              <w:rPr>
                <w:bCs/>
                <w:b/>
              </w:rPr>
              <w:t xml:space="preserve">AP4</w:t>
            </w:r>
          </w:p>
        </w:tc>
        <w:tc>
          <w:tcPr/>
          <w:p>
            <w:pPr>
              <w:pStyle w:val="Compact"/>
              <w:jc w:val="left"/>
            </w:pPr>
            <w:r>
              <w:t xml:space="preserve">Rahmen-/Strukturplan der Vorzugsvariante: Geschosse, Höhen, Dachformen, Kantenlängen, Abstände, Verkehrsquerschnitte, öffentlich/privat, Nutzungen, punktuelle 3D-Ansichten; GIS-Daten in Lambert</w:t>
            </w:r>
          </w:p>
        </w:tc>
        <w:tc>
          <w:tcPr/>
          <w:p>
            <w:pPr>
              <w:pStyle w:val="Compact"/>
              <w:jc w:val="left"/>
            </w:pPr>
            <w:r>
              <w:t xml:space="preserve">8–11</w:t>
            </w:r>
          </w:p>
        </w:tc>
        <w:tc>
          <w:tcPr/>
          <w:p>
            <w:pPr>
              <w:pStyle w:val="Compact"/>
              <w:jc w:val="left"/>
            </w:pPr>
            <w:r>
              <w:t xml:space="preserve">Strukturplan + 3D</w:t>
            </w:r>
          </w:p>
        </w:tc>
      </w:tr>
      <w:tr>
        <w:tc>
          <w:tcPr/>
          <w:p>
            <w:pPr>
              <w:pStyle w:val="Compact"/>
              <w:jc w:val="left"/>
            </w:pPr>
            <w:r>
              <w:rPr>
                <w:bCs/>
                <w:b/>
              </w:rPr>
              <w:t xml:space="preserve">AP5</w:t>
            </w:r>
          </w:p>
        </w:tc>
        <w:tc>
          <w:tcPr/>
          <w:p>
            <w:pPr>
              <w:pStyle w:val="Compact"/>
              <w:jc w:val="left"/>
            </w:pPr>
            <w:r>
              <w:t xml:space="preserve">Umsetzungsplan: Phasen, Kostenschätzung je Gebäude und Infrastruktur, Folgekosten Gemeinde, direkte/indirekte Einnahmen, Träger-/Betreibermodell, Förderkulisse, Risiken, Empfehlungen (inkl. erforderlicher Erhebungen)</w:t>
            </w:r>
          </w:p>
        </w:tc>
        <w:tc>
          <w:tcPr/>
          <w:p>
            <w:pPr>
              <w:pStyle w:val="Compact"/>
              <w:jc w:val="left"/>
            </w:pPr>
            <w:r>
              <w:t xml:space="preserve">9–11</w:t>
            </w:r>
          </w:p>
        </w:tc>
        <w:tc>
          <w:tcPr/>
          <w:p>
            <w:pPr>
              <w:pStyle w:val="Compact"/>
              <w:jc w:val="left"/>
            </w:pPr>
            <w:r>
              <w:rPr>
                <w:bCs/>
                <w:b/>
              </w:rPr>
              <w:t xml:space="preserve">MS4: Entwurf Gesamtkonzept</w:t>
            </w:r>
            <w:r>
              <w:t xml:space="preserve"> </w:t>
            </w:r>
            <w:r>
              <w:t xml:space="preserve">(Monat 11)</w:t>
            </w:r>
          </w:p>
        </w:tc>
      </w:tr>
      <w:tr>
        <w:tc>
          <w:tcPr/>
          <w:p>
            <w:pPr>
              <w:pStyle w:val="Compact"/>
              <w:jc w:val="left"/>
            </w:pPr>
            <w:r>
              <w:rPr>
                <w:bCs/>
                <w:b/>
              </w:rPr>
              <w:t xml:space="preserve">AP6</w:t>
            </w:r>
          </w:p>
        </w:tc>
        <w:tc>
          <w:tcPr/>
          <w:p>
            <w:pPr>
              <w:pStyle w:val="Compact"/>
              <w:jc w:val="left"/>
            </w:pPr>
            <w:r>
              <w:t xml:space="preserve">Vermarktungsprodukte DE/FR/EN (Exposé, Factsheets, Karten, Präsentation), Abschlusspräsentation, Einarbeitung Anmerkungen</w:t>
            </w:r>
          </w:p>
        </w:tc>
        <w:tc>
          <w:tcPr/>
          <w:p>
            <w:pPr>
              <w:pStyle w:val="Compact"/>
              <w:jc w:val="left"/>
            </w:pPr>
            <w:r>
              <w:t xml:space="preserve">11–13</w:t>
            </w:r>
          </w:p>
        </w:tc>
        <w:tc>
          <w:tcPr/>
          <w:p>
            <w:pPr>
              <w:pStyle w:val="Compact"/>
              <w:jc w:val="left"/>
            </w:pPr>
            <w:r>
              <w:rPr>
                <w:bCs/>
                <w:b/>
              </w:rPr>
              <w:t xml:space="preserve">MS5: Endabgabe</w:t>
            </w:r>
            <w:r>
              <w:t xml:space="preserve"> </w:t>
            </w:r>
            <w:r>
              <w:t xml:space="preserve">(Monat 13), Endabnahme</w:t>
            </w:r>
          </w:p>
        </w:tc>
      </w:tr>
    </w:tbl>
    <w:p>
      <w:pPr>
        <w:pStyle w:val="BodyText"/>
      </w:pPr>
      <w:r>
        <w:rPr>
          <w:bCs/>
          <w:b/>
        </w:rPr>
        <w:t xml:space="preserve">Querschnitt:</w:t>
      </w:r>
      <w:r>
        <w:t xml:space="preserve"> </w:t>
      </w:r>
      <w:r>
        <w:t xml:space="preserve">Protokolle binnen 5 Arbeitstagen, ein Risiko- und Entscheidungslog, Abstimmung mit der DG vor jeder externen Ansprache (Lastenheft-Vorgabe).</w:t>
      </w:r>
    </w:p>
    <w:p>
      <w:pPr>
        <w:pStyle w:val="BodyText"/>
      </w:pPr>
      <w:r>
        <w:rPr>
          <w:bCs/>
          <w:b/>
        </w:rPr>
        <w:t xml:space="preserve">Beispielkalender:</w:t>
      </w:r>
      <w:r>
        <w:t xml:space="preserve"> </w:t>
      </w:r>
      <w:r>
        <w:t xml:space="preserve">Bei Notifizierung Mitte Dezember 2026 läge MS1 Mitte März 2027, MS4 Mitte November 2027 und die Endabgabe</w:t>
      </w:r>
      <w:r>
        <w:t xml:space="preserve"> </w:t>
      </w:r>
      <w:r>
        <w:rPr>
          <w:bCs/>
          <w:b/>
        </w:rPr>
        <w:t xml:space="preserve">Mitte Januar 2028</w:t>
      </w:r>
      <w:r>
        <w:t xml:space="preserve">, über neun Monate vor der Frist (31.10.2028). Die Puffer für Weihnachten und den Bauurlaub im Juli sind eingeplant.</w:t>
      </w:r>
    </w:p>
    <w:p>
      <w:pPr>
        <w:pStyle w:val="BodyText"/>
      </w:pPr>
      <w:r>
        <w:rPr>
          <w:bCs/>
          <w:b/>
        </w:rPr>
        <w:t xml:space="preserve">Quick Win (optional, als freie Option):</w:t>
      </w:r>
      <w:r>
        <w:t xml:space="preserve"> </w:t>
      </w:r>
      <w:r>
        <w:t xml:space="preserve">ein „Positionspapier EMRIQ“ nach 8 Wochen für die politische Kommunikation, mit Anknüpfung an die OBL'EU-Ausstellung und den Zeitplan zum Einstein-Teleskop.</w:t>
      </w:r>
    </w:p>
    <w:p>
      <w:r>
        <w:pict>
          <v:rect style="width:0;height:1.5pt" o:hralign="center" o:hrstd="t" o:hr="t"/>
        </w:pict>
      </w:r>
    </w:p>
    <w:bookmarkEnd w:id="25"/>
    <w:bookmarkStart w:id="26" w:name="Xc880c276d616339a69ed8d5f00a1b0e936282e6"/>
    <w:p>
      <w:pPr>
        <w:pStyle w:val="Heading2"/>
      </w:pPr>
      <w:r>
        <w:t xml:space="preserve">6. Musterlieferobjekte (für Kriterium Methodik, 20 P.)</w:t>
      </w:r>
    </w:p>
    <w:p>
      <w:pPr>
        <w:pStyle w:val="FirstParagraph"/>
      </w:pPr>
      <w:r>
        <w:t xml:space="preserve">Im Workshop zeigen wir zu jedem Objekt eine Seite (Mock-up):</w:t>
      </w:r>
    </w:p>
    <w:p>
      <w:pPr>
        <w:numPr>
          <w:ilvl w:val="0"/>
          <w:numId w:val="1002"/>
        </w:numPr>
        <w:pStyle w:val="Compact"/>
      </w:pPr>
      <w:r>
        <w:rPr>
          <w:bCs/>
          <w:b/>
        </w:rPr>
        <w:t xml:space="preserve">Standortsteckbrief / Suchraum-Matrix</w:t>
      </w:r>
      <w:r>
        <w:t xml:space="preserve">: Teilräume (Lütticher Straße/Museum, Hochheid, Bahnhof Hergenrath) nach 7 Kriterien bewertet, Ampelsystem anschlussfähig an die Gewerbeflächenstrategie.</w:t>
      </w:r>
    </w:p>
    <w:p>
      <w:pPr>
        <w:numPr>
          <w:ilvl w:val="0"/>
          <w:numId w:val="1002"/>
        </w:numPr>
        <w:pStyle w:val="Compact"/>
      </w:pPr>
      <w:r>
        <w:rPr>
          <w:bCs/>
          <w:b/>
        </w:rPr>
        <w:t xml:space="preserve">Cluster-Scoring-Matrix</w:t>
      </w:r>
      <w:r>
        <w:t xml:space="preserve">: gewichtete Bewertung von 8–9 Themenclustern als transparente Entscheidungsgrundlage für die DG (siehe 03a/03b).</w:t>
      </w:r>
    </w:p>
    <w:p>
      <w:pPr>
        <w:numPr>
          <w:ilvl w:val="0"/>
          <w:numId w:val="1002"/>
        </w:numPr>
        <w:pStyle w:val="Compact"/>
      </w:pPr>
      <w:r>
        <w:rPr>
          <w:bCs/>
          <w:b/>
        </w:rPr>
        <w:t xml:space="preserve">Zielgruppen-Personas</w:t>
      </w:r>
      <w:r>
        <w:t xml:space="preserve"> </w:t>
      </w:r>
      <w:r>
        <w:t xml:space="preserve">(Gründerin aus der RWTH, ET-Forscher aus Italien, Scale-up-CTO, DG-Mittelständler, Azubi), jeweils mit Flächen-, Wohn-, Service- und Mobilitätsanforderungen.</w:t>
      </w:r>
    </w:p>
    <w:p>
      <w:pPr>
        <w:numPr>
          <w:ilvl w:val="0"/>
          <w:numId w:val="1002"/>
        </w:numPr>
        <w:pStyle w:val="Compact"/>
      </w:pPr>
      <w:r>
        <w:rPr>
          <w:bCs/>
          <w:b/>
        </w:rPr>
        <w:t xml:space="preserve">Raumprogramm-Rechner</w:t>
      </w:r>
      <w:r>
        <w:t xml:space="preserve">: BGF nach Nutzungen und Phasen, Arbeitsplätze, Wohneinheiten, Stellplatzschlüssel.</w:t>
      </w:r>
    </w:p>
    <w:p>
      <w:pPr>
        <w:numPr>
          <w:ilvl w:val="0"/>
          <w:numId w:val="1002"/>
        </w:numPr>
        <w:pStyle w:val="Compact"/>
      </w:pPr>
      <w:r>
        <w:rPr>
          <w:bCs/>
          <w:b/>
        </w:rPr>
        <w:t xml:space="preserve">Strukturplan-Ausschnitt</w:t>
      </w:r>
      <w:r>
        <w:t xml:space="preserve"> </w:t>
      </w:r>
      <w:r>
        <w:t xml:space="preserve">im Maßstab 1:1.000 mit Bemaßung, Geschossigkeit, Dachform, Straßenquerschnitt und Differenzierung öffentlich/privat (beantwortet die Forumsfrage direkt).</w:t>
      </w:r>
    </w:p>
    <w:p>
      <w:pPr>
        <w:numPr>
          <w:ilvl w:val="0"/>
          <w:numId w:val="1002"/>
        </w:numPr>
        <w:pStyle w:val="Compact"/>
      </w:pPr>
      <w:r>
        <w:rPr>
          <w:bCs/>
          <w:b/>
        </w:rPr>
        <w:t xml:space="preserve">Gebäudesteckbrief mit Kosten</w:t>
      </w:r>
      <w:r>
        <w:t xml:space="preserve">: je Baukörper Nutzung, BGF, Geschosse, Kostenkennwert, Investition, Phase, Träger, Fördermöglichkeit.</w:t>
      </w:r>
    </w:p>
    <w:p>
      <w:pPr>
        <w:numPr>
          <w:ilvl w:val="0"/>
          <w:numId w:val="1002"/>
        </w:numPr>
        <w:pStyle w:val="Compact"/>
      </w:pPr>
      <w:r>
        <w:rPr>
          <w:bCs/>
          <w:b/>
        </w:rPr>
        <w:t xml:space="preserve">Wirtschaftlichkeits-Dashboard</w:t>
      </w:r>
      <w:r>
        <w:t xml:space="preserve">: Investitionen (Infrastruktur und Hochbau), Finanzierungsmix, Folgekosten Gemeinde, Einnahmen öffentliche Hand, Kennzahlen pro Arbeitsplatz (siehe 04).</w:t>
      </w:r>
    </w:p>
    <w:p>
      <w:pPr>
        <w:numPr>
          <w:ilvl w:val="0"/>
          <w:numId w:val="1002"/>
        </w:numPr>
        <w:pStyle w:val="Compact"/>
      </w:pPr>
      <w:r>
        <w:rPr>
          <w:bCs/>
          <w:b/>
        </w:rPr>
        <w:t xml:space="preserve">Phasen- und Umsetzungsroadmap 2027–2035</w:t>
      </w:r>
      <w:r>
        <w:t xml:space="preserve"> </w:t>
      </w:r>
      <w:r>
        <w:t xml:space="preserve">mit Entscheidungspunkten, Trägern und Förderfenstern.</w:t>
      </w:r>
    </w:p>
    <w:p>
      <w:pPr>
        <w:numPr>
          <w:ilvl w:val="0"/>
          <w:numId w:val="1002"/>
        </w:numPr>
        <w:pStyle w:val="Compact"/>
      </w:pPr>
      <w:r>
        <w:rPr>
          <w:bCs/>
          <w:b/>
        </w:rPr>
        <w:t xml:space="preserve">Trilinguales Vermarktungsexposé</w:t>
      </w:r>
      <w:r>
        <w:t xml:space="preserve">: Doppelseite DE/FR/EN mit USP, Lagekarte, Key Facts und Erzählung Neutral-Moresnet.</w:t>
      </w:r>
    </w:p>
    <w:p>
      <w:pPr>
        <w:numPr>
          <w:ilvl w:val="0"/>
          <w:numId w:val="1002"/>
        </w:numPr>
        <w:pStyle w:val="Compact"/>
      </w:pPr>
      <w:r>
        <w:rPr>
          <w:bCs/>
          <w:b/>
        </w:rPr>
        <w:t xml:space="preserve">GIS-Datenmodell</w:t>
      </w:r>
      <w:r>
        <w:t xml:space="preserve">: Layerstruktur, Attributtabellen, Lambert 72 (EPSG:31370) oder Lambert 2008 (EPSG:3812), mit dem Auftraggeber abzustimmen.</w:t>
      </w:r>
    </w:p>
    <w:p>
      <w:r>
        <w:pict>
          <v:rect style="width:0;height:1.5pt" o:hralign="center" o:hrstd="t" o:hr="t"/>
        </w:pict>
      </w:r>
    </w:p>
    <w:bookmarkEnd w:id="26"/>
    <w:bookmarkStart w:id="27" w:name="Xa6994fb5d0f1d362764b1c99d193f12afeaec88"/>
    <w:p>
      <w:pPr>
        <w:pStyle w:val="Heading2"/>
      </w:pPr>
      <w:r>
        <w:t xml:space="preserve">7. Auszahlungsplan (Vorschlag)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Meilenstein</w:t>
            </w:r>
          </w:p>
        </w:tc>
        <w:tc>
          <w:tcPr/>
          <w:p>
            <w:pPr>
              <w:pStyle w:val="Compact"/>
              <w:jc w:val="right"/>
            </w:pPr>
            <w:r>
              <w:t xml:space="preserve">Monat</w:t>
            </w:r>
          </w:p>
        </w:tc>
        <w:tc>
          <w:tcPr/>
          <w:p>
            <w:pPr>
              <w:pStyle w:val="Compact"/>
              <w:jc w:val="right"/>
            </w:pPr>
            <w:r>
              <w:t xml:space="preserve">Anteil</w:t>
            </w:r>
          </w:p>
        </w:tc>
        <w:tc>
          <w:tcPr/>
          <w:p>
            <w:pPr>
              <w:pStyle w:val="Compact"/>
              <w:jc w:val="left"/>
            </w:pPr>
            <w:r>
              <w:t xml:space="preserve">Begründung</w:t>
            </w:r>
          </w:p>
        </w:tc>
      </w:tr>
      <w:tr>
        <w:tc>
          <w:tcPr/>
          <w:p>
            <w:pPr>
              <w:pStyle w:val="Compact"/>
              <w:jc w:val="left"/>
            </w:pPr>
            <w:r>
              <w:t xml:space="preserve">MS1 Standortdossier + Festlegung Plangebiet</w:t>
            </w:r>
          </w:p>
        </w:tc>
        <w:tc>
          <w:tcPr/>
          <w:p>
            <w:pPr>
              <w:pStyle w:val="Compact"/>
              <w:jc w:val="right"/>
            </w:pPr>
            <w:r>
              <w:t xml:space="preserve">3</w:t>
            </w:r>
          </w:p>
        </w:tc>
        <w:tc>
          <w:tcPr/>
          <w:p>
            <w:pPr>
              <w:pStyle w:val="Compact"/>
              <w:jc w:val="right"/>
            </w:pPr>
            <w:r>
              <w:t xml:space="preserve">15 %</w:t>
            </w:r>
          </w:p>
        </w:tc>
        <w:tc>
          <w:tcPr/>
          <w:p>
            <w:pPr>
              <w:pStyle w:val="Compact"/>
              <w:jc w:val="left"/>
            </w:pPr>
            <w:r>
              <w:t xml:space="preserve">Erste Rechnung frühestens 2 Monate nach Auftrag (erfüllt)</w:t>
            </w:r>
          </w:p>
        </w:tc>
      </w:tr>
      <w:tr>
        <w:tc>
          <w:tcPr/>
          <w:p>
            <w:pPr>
              <w:pStyle w:val="Compact"/>
              <w:jc w:val="left"/>
            </w:pPr>
            <w:r>
              <w:t xml:space="preserve">MS2 Profil- und Programmpapier</w:t>
            </w:r>
          </w:p>
        </w:tc>
        <w:tc>
          <w:tcPr/>
          <w:p>
            <w:pPr>
              <w:pStyle w:val="Compact"/>
              <w:jc w:val="right"/>
            </w:pPr>
            <w:r>
              <w:t xml:space="preserve">5</w:t>
            </w:r>
          </w:p>
        </w:tc>
        <w:tc>
          <w:tcPr/>
          <w:p>
            <w:pPr>
              <w:pStyle w:val="Compact"/>
              <w:jc w:val="right"/>
            </w:pPr>
            <w:r>
              <w:t xml:space="preserve">15 %</w:t>
            </w:r>
          </w:p>
        </w:tc>
        <w:tc>
          <w:tcPr/>
          <w:p>
            <w:pPr>
              <w:pStyle w:val="Compact"/>
            </w:pPr>
          </w:p>
        </w:tc>
      </w:tr>
      <w:tr>
        <w:tc>
          <w:tcPr/>
          <w:p>
            <w:pPr>
              <w:pStyle w:val="Compact"/>
              <w:jc w:val="left"/>
            </w:pPr>
            <w:r>
              <w:t xml:space="preserve">MS3 Variantenvergleich + Vorzugsvariante</w:t>
            </w:r>
          </w:p>
        </w:tc>
        <w:tc>
          <w:tcPr/>
          <w:p>
            <w:pPr>
              <w:pStyle w:val="Compact"/>
              <w:jc w:val="right"/>
            </w:pPr>
            <w:r>
              <w:t xml:space="preserve">8</w:t>
            </w:r>
          </w:p>
        </w:tc>
        <w:tc>
          <w:tcPr/>
          <w:p>
            <w:pPr>
              <w:pStyle w:val="Compact"/>
              <w:jc w:val="right"/>
            </w:pPr>
            <w:r>
              <w:t xml:space="preserve">20 %</w:t>
            </w:r>
          </w:p>
        </w:tc>
        <w:tc>
          <w:tcPr/>
          <w:p>
            <w:pPr>
              <w:pStyle w:val="Compact"/>
              <w:jc w:val="left"/>
            </w:pPr>
            <w:r>
              <w:t xml:space="preserve">Hauptaufwand Entwurf</w:t>
            </w:r>
          </w:p>
        </w:tc>
      </w:tr>
      <w:tr>
        <w:tc>
          <w:tcPr/>
          <w:p>
            <w:pPr>
              <w:pStyle w:val="Compact"/>
              <w:jc w:val="left"/>
            </w:pPr>
            <w:r>
              <w:t xml:space="preserve">MS4 Entwurf Gesamtkonzept (Strukturplan, Umsetzung, Wirtschaftlichkeit)</w:t>
            </w:r>
          </w:p>
        </w:tc>
        <w:tc>
          <w:tcPr/>
          <w:p>
            <w:pPr>
              <w:pStyle w:val="Compact"/>
              <w:jc w:val="right"/>
            </w:pPr>
            <w:r>
              <w:t xml:space="preserve">11</w:t>
            </w:r>
          </w:p>
        </w:tc>
        <w:tc>
          <w:tcPr/>
          <w:p>
            <w:pPr>
              <w:pStyle w:val="Compact"/>
              <w:jc w:val="right"/>
            </w:pPr>
            <w:r>
              <w:t xml:space="preserve">30 %</w:t>
            </w:r>
          </w:p>
        </w:tc>
        <w:tc>
          <w:tcPr/>
          <w:p>
            <w:pPr>
              <w:pStyle w:val="Compact"/>
              <w:jc w:val="left"/>
            </w:pPr>
            <w:r>
              <w:t xml:space="preserve">Kernleistung</w:t>
            </w:r>
          </w:p>
        </w:tc>
      </w:tr>
      <w:tr>
        <w:tc>
          <w:tcPr/>
          <w:p>
            <w:pPr>
              <w:pStyle w:val="Compact"/>
              <w:jc w:val="left"/>
            </w:pPr>
            <w:r>
              <w:t xml:space="preserve">MS5 Endabgabe DE/FR/EN + Abschlusspräsentation</w:t>
            </w:r>
          </w:p>
        </w:tc>
        <w:tc>
          <w:tcPr/>
          <w:p>
            <w:pPr>
              <w:pStyle w:val="Compact"/>
              <w:jc w:val="right"/>
            </w:pPr>
            <w:r>
              <w:t xml:space="preserve">13</w:t>
            </w:r>
          </w:p>
        </w:tc>
        <w:tc>
          <w:tcPr/>
          <w:p>
            <w:pPr>
              <w:pStyle w:val="Compact"/>
              <w:jc w:val="right"/>
            </w:pPr>
            <w:r>
              <w:t xml:space="preserve">20 %</w:t>
            </w:r>
          </w:p>
        </w:tc>
        <w:tc>
          <w:tcPr/>
          <w:p>
            <w:pPr>
              <w:pStyle w:val="Compact"/>
              <w:jc w:val="left"/>
            </w:pPr>
            <w:r>
              <w:t xml:space="preserve">Übersetzung, Vermarktung</w:t>
            </w:r>
          </w:p>
        </w:tc>
      </w:tr>
    </w:tbl>
    <w:p>
      <w:pPr>
        <w:pStyle w:val="BodyText"/>
      </w:pPr>
      <w:r>
        <w:t xml:space="preserve">Je Meilenstein werden 80 % fällig, die einbehaltenen 20 % plus MS5 mit der Endabrechnung (Lastenheft 13.4). Das ist planbar und transparent und bindet keine Vorleistung des Auftraggebers.</w:t>
      </w:r>
    </w:p>
    <w:p>
      <w:r>
        <w:pict>
          <v:rect style="width:0;height:1.5pt" o:hralign="center" o:hrstd="t" o:hr="t"/>
        </w:pict>
      </w:r>
    </w:p>
    <w:bookmarkEnd w:id="27"/>
    <w:bookmarkStart w:id="28" w:name="X60f333a8e571b77b9d45e3df6d36ddd8c881408"/>
    <w:p>
      <w:pPr>
        <w:pStyle w:val="Heading2"/>
      </w:pPr>
      <w:r>
        <w:t xml:space="preserve">8. Team und Eignung (Checkliste)</w:t>
      </w:r>
    </w:p>
    <w:p>
      <w:pPr>
        <w:numPr>
          <w:ilvl w:val="0"/>
          <w:numId w:val="1003"/>
        </w:numPr>
        <w:pStyle w:val="Compact"/>
      </w:pPr>
      <w:r>
        <w:t xml:space="preserve">☐ Projektleitung mit sehr gutem</w:t>
      </w:r>
      <w:r>
        <w:t xml:space="preserve"> </w:t>
      </w:r>
      <w:r>
        <w:rPr>
          <w:bCs/>
          <w:b/>
        </w:rPr>
        <w:t xml:space="preserve">DE und FR</w:t>
      </w:r>
      <w:r>
        <w:t xml:space="preserve"> </w:t>
      </w:r>
      <w:r>
        <w:t xml:space="preserve">sowie Englisch (Nachweis: Diplome/eidesstattliche Erklärung)</w:t>
      </w:r>
    </w:p>
    <w:p>
      <w:pPr>
        <w:numPr>
          <w:ilvl w:val="0"/>
          <w:numId w:val="1003"/>
        </w:numPr>
        <w:pStyle w:val="Compact"/>
      </w:pPr>
      <w:r>
        <w:t xml:space="preserve">☐ Disziplinen:</w:t>
      </w:r>
      <w:r>
        <w:t xml:space="preserve"> </w:t>
      </w:r>
      <w:r>
        <w:rPr>
          <w:bCs/>
          <w:b/>
        </w:rPr>
        <w:t xml:space="preserve">Stadt-/Raumplanung, Ökonomie, Kommunikation, Umweltwissenschaften</w:t>
      </w:r>
      <w:r>
        <w:t xml:space="preserve"> </w:t>
      </w:r>
      <w:r>
        <w:t xml:space="preserve">(Lebensläufe/Abschlüsse); Umwelt deckt Altlasten Galmei/Schwermetall und Natura 2000 ab</w:t>
      </w:r>
    </w:p>
    <w:p>
      <w:pPr>
        <w:numPr>
          <w:ilvl w:val="0"/>
          <w:numId w:val="1003"/>
        </w:numPr>
        <w:pStyle w:val="Compact"/>
      </w:pPr>
      <w:r>
        <w:t xml:space="preserve">☐</w:t>
      </w:r>
      <w:r>
        <w:t xml:space="preserve"> </w:t>
      </w:r>
      <w:r>
        <w:rPr>
          <w:bCs/>
          <w:b/>
        </w:rPr>
        <w:t xml:space="preserve">≥ 3 vergleichbare Referenzen</w:t>
      </w:r>
      <w:r>
        <w:t xml:space="preserve"> </w:t>
      </w:r>
      <w:r>
        <w:t xml:space="preserve">(letzte 5 Jahre, mit benannter Projektleitung); Eignungsleihe bzw. Subunternehmer mit Zusage benennen</w:t>
      </w:r>
    </w:p>
    <w:p>
      <w:pPr>
        <w:numPr>
          <w:ilvl w:val="0"/>
          <w:numId w:val="1003"/>
        </w:numPr>
        <w:pStyle w:val="Compact"/>
      </w:pPr>
      <w:r>
        <w:t xml:space="preserve">☐ Sinnvolle Partner: Kommunikations-/Grafikbüro (trilingual), Fachübersetzung, ggf. belgischer Partner für Recht und Kosten (ABEX-Kostenkennwerte)</w:t>
      </w:r>
    </w:p>
    <w:p>
      <w:pPr>
        <w:numPr>
          <w:ilvl w:val="0"/>
          <w:numId w:val="1003"/>
        </w:numPr>
        <w:pStyle w:val="Compact"/>
      </w:pPr>
      <w:r>
        <w:t xml:space="preserve">☐ Persönlicher Ansprechpartner DE/FR für Termine in Eupen</w:t>
      </w:r>
    </w:p>
    <w:p>
      <w:pPr>
        <w:numPr>
          <w:ilvl w:val="0"/>
          <w:numId w:val="1003"/>
        </w:numPr>
        <w:pStyle w:val="Compact"/>
      </w:pPr>
      <w:r>
        <w:t xml:space="preserve">☐ Keine ehemaligen MDG-Mitarbeitenden in den letzten 2 Jahren (Drehtüreffekt)</w:t>
      </w:r>
    </w:p>
    <w:p>
      <w:r>
        <w:pict>
          <v:rect style="width:0;height:1.5pt" o:hralign="center" o:hrstd="t" o:hr="t"/>
        </w:pict>
      </w:r>
    </w:p>
    <w:bookmarkEnd w:id="28"/>
    <w:bookmarkStart w:id="29" w:name="Xa07d58c3eb2058d5bc6d54950e412e398b8435f"/>
    <w:p>
      <w:pPr>
        <w:pStyle w:val="Heading2"/>
      </w:pPr>
      <w:r>
        <w:t xml:space="preserve">9. Kalkulationslogik (Orientierung, Einschätzung)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Baustein</w:t>
            </w:r>
          </w:p>
        </w:tc>
        <w:tc>
          <w:tcPr/>
          <w:p>
            <w:pPr>
              <w:pStyle w:val="Compact"/>
              <w:jc w:val="left"/>
            </w:pPr>
            <w:r>
              <w:t xml:space="preserve">Personentage / Pauschale</w:t>
            </w:r>
          </w:p>
        </w:tc>
        <w:tc>
          <w:tcPr/>
          <w:p>
            <w:pPr>
              <w:pStyle w:val="Compact"/>
              <w:jc w:val="right"/>
            </w:pPr>
            <w:r>
              <w:t xml:space="preserve">Netto (Bandbreite)</w:t>
            </w:r>
          </w:p>
        </w:tc>
      </w:tr>
      <w:tr>
        <w:tc>
          <w:tcPr/>
          <w:p>
            <w:pPr>
              <w:pStyle w:val="Compact"/>
              <w:jc w:val="left"/>
            </w:pPr>
            <w:r>
              <w:t xml:space="preserve">AP0 Projektmanagement, 12 Jour fixe, Protokolle</w:t>
            </w:r>
          </w:p>
        </w:tc>
        <w:tc>
          <w:tcPr/>
          <w:p>
            <w:pPr>
              <w:pStyle w:val="Compact"/>
              <w:jc w:val="left"/>
            </w:pPr>
            <w:r>
              <w:t xml:space="preserve">10–14 PT</w:t>
            </w:r>
          </w:p>
        </w:tc>
        <w:tc>
          <w:tcPr/>
          <w:p>
            <w:pPr>
              <w:pStyle w:val="Compact"/>
              <w:jc w:val="right"/>
            </w:pPr>
            <w:r>
              <w:t xml:space="preserve">9–13 T€</w:t>
            </w:r>
          </w:p>
        </w:tc>
      </w:tr>
      <w:tr>
        <w:tc>
          <w:tcPr/>
          <w:p>
            <w:pPr>
              <w:pStyle w:val="Compact"/>
              <w:jc w:val="left"/>
            </w:pPr>
            <w:r>
              <w:t xml:space="preserve">AP1 Analyse + 10–12 Fachgespräche</w:t>
            </w:r>
          </w:p>
        </w:tc>
        <w:tc>
          <w:tcPr/>
          <w:p>
            <w:pPr>
              <w:pStyle w:val="Compact"/>
              <w:jc w:val="left"/>
            </w:pPr>
            <w:r>
              <w:t xml:space="preserve">16–20 PT</w:t>
            </w:r>
          </w:p>
        </w:tc>
        <w:tc>
          <w:tcPr/>
          <w:p>
            <w:pPr>
              <w:pStyle w:val="Compact"/>
              <w:jc w:val="right"/>
            </w:pPr>
            <w:r>
              <w:t xml:space="preserve">14–19 T€</w:t>
            </w:r>
          </w:p>
        </w:tc>
      </w:tr>
      <w:tr>
        <w:tc>
          <w:tcPr/>
          <w:p>
            <w:pPr>
              <w:pStyle w:val="Compact"/>
              <w:jc w:val="left"/>
            </w:pPr>
            <w:r>
              <w:t xml:space="preserve">AP2 Themenprofil, Zielgruppen, Programm</w:t>
            </w:r>
          </w:p>
        </w:tc>
        <w:tc>
          <w:tcPr/>
          <w:p>
            <w:pPr>
              <w:pStyle w:val="Compact"/>
              <w:jc w:val="left"/>
            </w:pPr>
            <w:r>
              <w:t xml:space="preserve">14–18 PT</w:t>
            </w:r>
          </w:p>
        </w:tc>
        <w:tc>
          <w:tcPr/>
          <w:p>
            <w:pPr>
              <w:pStyle w:val="Compact"/>
              <w:jc w:val="right"/>
            </w:pPr>
            <w:r>
              <w:t xml:space="preserve">13–17 T€</w:t>
            </w:r>
          </w:p>
        </w:tc>
      </w:tr>
      <w:tr>
        <w:tc>
          <w:tcPr/>
          <w:p>
            <w:pPr>
              <w:pStyle w:val="Compact"/>
              <w:jc w:val="left"/>
            </w:pPr>
            <w:r>
              <w:t xml:space="preserve">AP3 Varianten, Mobilität, Freiraum</w:t>
            </w:r>
          </w:p>
        </w:tc>
        <w:tc>
          <w:tcPr/>
          <w:p>
            <w:pPr>
              <w:pStyle w:val="Compact"/>
              <w:jc w:val="left"/>
            </w:pPr>
            <w:r>
              <w:t xml:space="preserve">20–26 PT</w:t>
            </w:r>
          </w:p>
        </w:tc>
        <w:tc>
          <w:tcPr/>
          <w:p>
            <w:pPr>
              <w:pStyle w:val="Compact"/>
              <w:jc w:val="right"/>
            </w:pPr>
            <w:r>
              <w:t xml:space="preserve">18–24 T€</w:t>
            </w:r>
          </w:p>
        </w:tc>
      </w:tr>
      <w:tr>
        <w:tc>
          <w:tcPr/>
          <w:p>
            <w:pPr>
              <w:pStyle w:val="Compact"/>
              <w:jc w:val="left"/>
            </w:pPr>
            <w:r>
              <w:t xml:space="preserve">AP4 Strukturplan, 3D, GIS</w:t>
            </w:r>
          </w:p>
        </w:tc>
        <w:tc>
          <w:tcPr/>
          <w:p>
            <w:pPr>
              <w:pStyle w:val="Compact"/>
              <w:jc w:val="left"/>
            </w:pPr>
            <w:r>
              <w:t xml:space="preserve">16–20 PT</w:t>
            </w:r>
          </w:p>
        </w:tc>
        <w:tc>
          <w:tcPr/>
          <w:p>
            <w:pPr>
              <w:pStyle w:val="Compact"/>
              <w:jc w:val="right"/>
            </w:pPr>
            <w:r>
              <w:t xml:space="preserve">14–19 T€</w:t>
            </w:r>
          </w:p>
        </w:tc>
      </w:tr>
      <w:tr>
        <w:tc>
          <w:tcPr/>
          <w:p>
            <w:pPr>
              <w:pStyle w:val="Compact"/>
              <w:jc w:val="left"/>
            </w:pPr>
            <w:r>
              <w:t xml:space="preserve">AP5 Umsetzung, Wirtschaftlichkeit, Governance, Förderung</w:t>
            </w:r>
          </w:p>
        </w:tc>
        <w:tc>
          <w:tcPr/>
          <w:p>
            <w:pPr>
              <w:pStyle w:val="Compact"/>
              <w:jc w:val="left"/>
            </w:pPr>
            <w:r>
              <w:t xml:space="preserve">16–20 PT</w:t>
            </w:r>
          </w:p>
        </w:tc>
        <w:tc>
          <w:tcPr/>
          <w:p>
            <w:pPr>
              <w:pStyle w:val="Compact"/>
              <w:jc w:val="right"/>
            </w:pPr>
            <w:r>
              <w:t xml:space="preserve">15–19 T€</w:t>
            </w:r>
          </w:p>
        </w:tc>
      </w:tr>
      <w:tr>
        <w:tc>
          <w:tcPr/>
          <w:p>
            <w:pPr>
              <w:pStyle w:val="Compact"/>
              <w:jc w:val="left"/>
            </w:pPr>
            <w:r>
              <w:t xml:space="preserve">AP6 Vermarktungsprodukte, Grafik</w:t>
            </w:r>
          </w:p>
        </w:tc>
        <w:tc>
          <w:tcPr/>
          <w:p>
            <w:pPr>
              <w:pStyle w:val="Compact"/>
              <w:jc w:val="left"/>
            </w:pPr>
            <w:r>
              <w:t xml:space="preserve">10–14 PT</w:t>
            </w:r>
          </w:p>
        </w:tc>
        <w:tc>
          <w:tcPr/>
          <w:p>
            <w:pPr>
              <w:pStyle w:val="Compact"/>
              <w:jc w:val="right"/>
            </w:pPr>
            <w:r>
              <w:t xml:space="preserve">9–13 T€</w:t>
            </w:r>
          </w:p>
        </w:tc>
      </w:tr>
      <w:tr>
        <w:tc>
          <w:tcPr/>
          <w:p>
            <w:pPr>
              <w:pStyle w:val="Compact"/>
              <w:jc w:val="left"/>
            </w:pPr>
            <w:r>
              <w:t xml:space="preserve">Workshops (3–4 × Pauschale inkl. Moderation, Material)</w:t>
            </w:r>
          </w:p>
        </w:tc>
        <w:tc>
          <w:tcPr/>
          <w:p>
            <w:pPr>
              <w:pStyle w:val="Compact"/>
              <w:jc w:val="left"/>
            </w:pPr>
            <w:r>
              <w:t xml:space="preserve">Pauschale</w:t>
            </w:r>
          </w:p>
        </w:tc>
        <w:tc>
          <w:tcPr/>
          <w:p>
            <w:pPr>
              <w:pStyle w:val="Compact"/>
              <w:jc w:val="right"/>
            </w:pPr>
            <w:r>
              <w:t xml:space="preserve">6–10 T€</w:t>
            </w:r>
          </w:p>
        </w:tc>
      </w:tr>
      <w:tr>
        <w:tc>
          <w:tcPr/>
          <w:p>
            <w:pPr>
              <w:pStyle w:val="Compact"/>
              <w:jc w:val="left"/>
            </w:pPr>
            <w:r>
              <w:t xml:space="preserve">Fachübersetzungen FR/EN</w:t>
            </w:r>
          </w:p>
        </w:tc>
        <w:tc>
          <w:tcPr/>
          <w:p>
            <w:pPr>
              <w:pStyle w:val="Compact"/>
              <w:jc w:val="left"/>
            </w:pPr>
            <w:r>
              <w:t xml:space="preserve">Pauschale</w:t>
            </w:r>
          </w:p>
        </w:tc>
        <w:tc>
          <w:tcPr/>
          <w:p>
            <w:pPr>
              <w:pStyle w:val="Compact"/>
              <w:jc w:val="right"/>
            </w:pPr>
            <w:r>
              <w:t xml:space="preserve">7–12 T€</w:t>
            </w:r>
          </w:p>
        </w:tc>
      </w:tr>
      <w:tr>
        <w:tc>
          <w:tcPr/>
          <w:p>
            <w:pPr>
              <w:pStyle w:val="Compact"/>
              <w:jc w:val="left"/>
            </w:pPr>
            <w:r>
              <w:t xml:space="preserve">Reise-/Nebenkosten (im Pauschalhonorar enthalten)</w:t>
            </w:r>
          </w:p>
        </w:tc>
        <w:tc>
          <w:tcPr/>
          <w:p>
            <w:pPr>
              <w:pStyle w:val="Compact"/>
              <w:jc w:val="left"/>
            </w:pPr>
            <w:r>
              <w:t xml:space="preserve">Pauschale</w:t>
            </w:r>
          </w:p>
        </w:tc>
        <w:tc>
          <w:tcPr/>
          <w:p>
            <w:pPr>
              <w:pStyle w:val="Compact"/>
              <w:jc w:val="right"/>
            </w:pPr>
            <w:r>
              <w:t xml:space="preserve">2–4 T€</w:t>
            </w:r>
          </w:p>
        </w:tc>
      </w:tr>
      <w:tr>
        <w:tc>
          <w:tcPr/>
          <w:p>
            <w:pPr>
              <w:pStyle w:val="Compact"/>
              <w:jc w:val="left"/>
            </w:pPr>
            <w:r>
              <w:rPr>
                <w:bCs/>
                <w:b/>
              </w:rPr>
              <w:t xml:space="preserve">Summe</w:t>
            </w:r>
          </w:p>
        </w:tc>
        <w:tc>
          <w:tcPr/>
          <w:p>
            <w:pPr>
              <w:pStyle w:val="Compact"/>
              <w:jc w:val="left"/>
            </w:pPr>
            <w:r>
              <w:rPr>
                <w:bCs/>
                <w:b/>
              </w:rPr>
              <w:t xml:space="preserve">~102–132 PT</w:t>
            </w:r>
          </w:p>
        </w:tc>
        <w:tc>
          <w:tcPr/>
          <w:p>
            <w:pPr>
              <w:pStyle w:val="Compact"/>
              <w:jc w:val="right"/>
            </w:pPr>
            <w:r>
              <w:rPr>
                <w:bCs/>
                <w:b/>
              </w:rPr>
              <w:t xml:space="preserve">~107–150 T€</w:t>
            </w:r>
          </w:p>
        </w:tc>
      </w:tr>
    </w:tbl>
    <w:p>
      <w:pPr>
        <w:pStyle w:val="BodyText"/>
      </w:pPr>
      <w:r>
        <w:rPr>
          <w:bCs/>
          <w:b/>
        </w:rPr>
        <w:t xml:space="preserve">Empfehlung:</w:t>
      </w:r>
      <w:r>
        <w:t xml:space="preserve"> </w:t>
      </w:r>
      <w:r>
        <w:t xml:space="preserve">Zielpreis</w:t>
      </w:r>
      <w:r>
        <w:t xml:space="preserve"> </w:t>
      </w:r>
      <w:r>
        <w:rPr>
          <w:bCs/>
          <w:b/>
        </w:rPr>
        <w:t xml:space="preserve">ca. 118.000–132.000 € netto</w:t>
      </w:r>
      <w:r>
        <w:t xml:space="preserve"> </w:t>
      </w:r>
      <w:r>
        <w:t xml:space="preserve">(zzgl. 21 % MwSt.). Das bleibt sicher unter dem Deckel von 140.000 € und lässt Puffer für Auftragsänderungen nach Art. 37 ff. KE 14.01.2013. Bei Preisdruck den Umfang straffen (2 statt 3 Varianten, 3 statt 4 Workshops, Bürgerdialog als freie Option), aber</w:t>
      </w:r>
      <w:r>
        <w:t xml:space="preserve"> </w:t>
      </w:r>
      <w:r>
        <w:rPr>
          <w:bCs/>
          <w:b/>
        </w:rPr>
        <w:t xml:space="preserve">nie die Musterlieferobjekte</w:t>
      </w:r>
      <w:r>
        <w:t xml:space="preserve">.</w:t>
      </w:r>
    </w:p>
    <w:p>
      <w:r>
        <w:pict>
          <v:rect style="width:0;height:1.5pt" o:hralign="center" o:hrstd="t" o:hr="t"/>
        </w:pict>
      </w:r>
    </w:p>
    <w:bookmarkEnd w:id="29"/>
    <w:bookmarkStart w:id="37" w:name="Xa8a7a482696a203286a8504cc552dd82c5a6308"/>
    <w:p>
      <w:pPr>
        <w:pStyle w:val="Heading2"/>
      </w:pPr>
      <w:r>
        <w:t xml:space="preserve">10. Workshop-Drehbuch (90–120 Minuten)</w:t>
      </w:r>
    </w:p>
    <w:bookmarkStart w:id="30" w:name="ziele"/>
    <w:p>
      <w:pPr>
        <w:pStyle w:val="Heading3"/>
      </w:pPr>
      <w:r>
        <w:t xml:space="preserve">Ziele</w:t>
      </w:r>
    </w:p>
    <w:p>
      <w:pPr>
        <w:numPr>
          <w:ilvl w:val="0"/>
          <w:numId w:val="1004"/>
        </w:numPr>
        <w:pStyle w:val="Compact"/>
      </w:pPr>
      <w:r>
        <w:t xml:space="preserve">Verstehen, was „Erfolg“ für das MDG bedeutet: politisch (MP/Regierung), fachlich (FB Raumordnung), lokal (Gemeinde Kelmis).</w:t>
      </w:r>
    </w:p>
    <w:p>
      <w:pPr>
        <w:numPr>
          <w:ilvl w:val="0"/>
          <w:numId w:val="1004"/>
        </w:numPr>
        <w:pStyle w:val="Compact"/>
      </w:pPr>
      <w:r>
        <w:t xml:space="preserve">Kompetenz zeigen, ohne die Lösung vorwegzunehmen: Methodik und Muster zeigen, Fragen stellen.</w:t>
      </w:r>
    </w:p>
    <w:p>
      <w:pPr>
        <w:numPr>
          <w:ilvl w:val="0"/>
          <w:numId w:val="1004"/>
        </w:numPr>
        <w:pStyle w:val="Compact"/>
      </w:pPr>
      <w:r>
        <w:t xml:space="preserve">Informationen für das Folgeangebot sammeln: Zeit, Umfang, Erwartungen an Formate und Themenpräferenz.</w:t>
      </w:r>
    </w:p>
    <w:bookmarkEnd w:id="30"/>
    <w:bookmarkStart w:id="31" w:name="agenda"/>
    <w:p>
      <w:pPr>
        <w:pStyle w:val="Heading3"/>
      </w:pPr>
      <w:r>
        <w:t xml:space="preserve">Agenda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Min</w:t>
            </w:r>
          </w:p>
        </w:tc>
        <w:tc>
          <w:tcPr/>
          <w:p>
            <w:pPr>
              <w:pStyle w:val="Compact"/>
              <w:jc w:val="left"/>
            </w:pPr>
            <w:r>
              <w:t xml:space="preserve">Block</w:t>
            </w:r>
          </w:p>
        </w:tc>
        <w:tc>
          <w:tcPr/>
          <w:p>
            <w:pPr>
              <w:pStyle w:val="Compact"/>
              <w:jc w:val="left"/>
            </w:pPr>
            <w:r>
              <w:t xml:space="preserve">Inhalt</w:t>
            </w:r>
          </w:p>
        </w:tc>
      </w:tr>
      <w:tr>
        <w:tc>
          <w:tcPr/>
          <w:p>
            <w:pPr>
              <w:pStyle w:val="Compact"/>
              <w:jc w:val="right"/>
            </w:pPr>
            <w:r>
              <w:t xml:space="preserve">0–10</w:t>
            </w:r>
          </w:p>
        </w:tc>
        <w:tc>
          <w:tcPr/>
          <w:p>
            <w:pPr>
              <w:pStyle w:val="Compact"/>
              <w:jc w:val="left"/>
            </w:pPr>
            <w:r>
              <w:t xml:space="preserve">Einstieg</w:t>
            </w:r>
          </w:p>
        </w:tc>
        <w:tc>
          <w:tcPr/>
          <w:p>
            <w:pPr>
              <w:pStyle w:val="Compact"/>
              <w:jc w:val="left"/>
            </w:pPr>
            <w:r>
              <w:t xml:space="preserve">Vorstellung, Zielklärung, Erwartungen abfragen („Woran merken Sie im Januar 2028, dass das Projekt erfolgreich war?“)</w:t>
            </w:r>
          </w:p>
        </w:tc>
      </w:tr>
      <w:tr>
        <w:tc>
          <w:tcPr/>
          <w:p>
            <w:pPr>
              <w:pStyle w:val="Compact"/>
              <w:jc w:val="right"/>
            </w:pPr>
            <w:r>
              <w:t xml:space="preserve">10–25</w:t>
            </w:r>
          </w:p>
        </w:tc>
        <w:tc>
          <w:tcPr/>
          <w:p>
            <w:pPr>
              <w:pStyle w:val="Compact"/>
              <w:jc w:val="left"/>
            </w:pPr>
            <w:r>
              <w:t xml:space="preserve">Unser Verständnis</w:t>
            </w:r>
          </w:p>
        </w:tc>
        <w:tc>
          <w:tcPr/>
          <w:p>
            <w:pPr>
              <w:pStyle w:val="Compact"/>
              <w:jc w:val="left"/>
            </w:pPr>
            <w:r>
              <w:t xml:space="preserve">5 Folien: Auftrag in eigenen Worten, Ausgangslage Kelmis, Vorarbeiten, Leitplanken (Thema statt Campus, Quartier statt Gewerbepark, Einbettung)</w:t>
            </w:r>
          </w:p>
        </w:tc>
      </w:tr>
      <w:tr>
        <w:tc>
          <w:tcPr/>
          <w:p>
            <w:pPr>
              <w:pStyle w:val="Compact"/>
              <w:jc w:val="right"/>
            </w:pPr>
            <w:r>
              <w:t xml:space="preserve">25–50</w:t>
            </w:r>
          </w:p>
        </w:tc>
        <w:tc>
          <w:tcPr/>
          <w:p>
            <w:pPr>
              <w:pStyle w:val="Compact"/>
              <w:jc w:val="left"/>
            </w:pPr>
            <w:r>
              <w:t xml:space="preserve">Standort &amp; Markt</w:t>
            </w:r>
          </w:p>
        </w:tc>
        <w:tc>
          <w:tcPr/>
          <w:p>
            <w:pPr>
              <w:pStyle w:val="Compact"/>
              <w:jc w:val="left"/>
            </w:pPr>
            <w:r>
              <w:t xml:space="preserve">Suchräume, Stärken/Restriktionen, Marktfenster (Aachener Flächenknappheit, ET, Defence-Hochlauf), Zielgruppen</w:t>
            </w:r>
          </w:p>
        </w:tc>
      </w:tr>
      <w:tr>
        <w:tc>
          <w:tcPr/>
          <w:p>
            <w:pPr>
              <w:pStyle w:val="Compact"/>
              <w:jc w:val="right"/>
            </w:pPr>
            <w:r>
              <w:t xml:space="preserve">50–75</w:t>
            </w:r>
          </w:p>
        </w:tc>
        <w:tc>
          <w:tcPr/>
          <w:p>
            <w:pPr>
              <w:pStyle w:val="Compact"/>
              <w:jc w:val="left"/>
            </w:pPr>
            <w:r>
              <w:rPr>
                <w:bCs/>
                <w:b/>
              </w:rPr>
              <w:t xml:space="preserve">Interaktiv: Themenprofil</w:t>
            </w:r>
          </w:p>
        </w:tc>
        <w:tc>
          <w:tcPr/>
          <w:p>
            <w:pPr>
              <w:pStyle w:val="Compact"/>
              <w:jc w:val="left"/>
            </w:pPr>
            <w:r>
              <w:t xml:space="preserve">Cluster-Scoring als Arbeitsmatrix; Teilnehmende gewichten live die Kriterien (Punktekleben oder Mentimeter)</w:t>
            </w:r>
          </w:p>
        </w:tc>
      </w:tr>
      <w:tr>
        <w:tc>
          <w:tcPr/>
          <w:p>
            <w:pPr>
              <w:pStyle w:val="Compact"/>
              <w:jc w:val="right"/>
            </w:pPr>
            <w:r>
              <w:t xml:space="preserve">75–95</w:t>
            </w:r>
          </w:p>
        </w:tc>
        <w:tc>
          <w:tcPr/>
          <w:p>
            <w:pPr>
              <w:pStyle w:val="Compact"/>
              <w:jc w:val="left"/>
            </w:pPr>
            <w:r>
              <w:t xml:space="preserve">Methode &amp; Muster</w:t>
            </w:r>
          </w:p>
        </w:tc>
        <w:tc>
          <w:tcPr/>
          <w:p>
            <w:pPr>
              <w:pStyle w:val="Compact"/>
              <w:jc w:val="left"/>
            </w:pPr>
            <w:r>
              <w:t xml:space="preserve">Ablaufplan, Meilensteine, Musterlieferobjekte (Gebäudesteckbrief, Exposé, Dashboard)</w:t>
            </w:r>
          </w:p>
        </w:tc>
      </w:tr>
      <w:tr>
        <w:tc>
          <w:tcPr/>
          <w:p>
            <w:pPr>
              <w:pStyle w:val="Compact"/>
              <w:jc w:val="right"/>
            </w:pPr>
            <w:r>
              <w:t xml:space="preserve">95–110</w:t>
            </w:r>
          </w:p>
        </w:tc>
        <w:tc>
          <w:tcPr/>
          <w:p>
            <w:pPr>
              <w:pStyle w:val="Compact"/>
              <w:jc w:val="left"/>
            </w:pPr>
            <w:r>
              <w:t xml:space="preserve">Offene Fragen</w:t>
            </w:r>
          </w:p>
        </w:tc>
        <w:tc>
          <w:tcPr/>
          <w:p>
            <w:pPr>
              <w:pStyle w:val="Compact"/>
              <w:jc w:val="left"/>
            </w:pPr>
            <w:r>
              <w:t xml:space="preserve">Fragenkatalog unten</w:t>
            </w:r>
          </w:p>
        </w:tc>
      </w:tr>
      <w:tr>
        <w:tc>
          <w:tcPr/>
          <w:p>
            <w:pPr>
              <w:pStyle w:val="Compact"/>
              <w:jc w:val="right"/>
            </w:pPr>
            <w:r>
              <w:t xml:space="preserve">110–120</w:t>
            </w:r>
          </w:p>
        </w:tc>
        <w:tc>
          <w:tcPr/>
          <w:p>
            <w:pPr>
              <w:pStyle w:val="Compact"/>
              <w:jc w:val="left"/>
            </w:pPr>
            <w:r>
              <w:t xml:space="preserve">Abschluss</w:t>
            </w:r>
          </w:p>
        </w:tc>
        <w:tc>
          <w:tcPr/>
          <w:p>
            <w:pPr>
              <w:pStyle w:val="Compact"/>
              <w:jc w:val="left"/>
            </w:pPr>
            <w:r>
              <w:t xml:space="preserve">Nächste Schritte, Leave-behind (Kurzbriefing PDF), Dank</w:t>
            </w:r>
          </w:p>
        </w:tc>
      </w:tr>
    </w:tbl>
    <w:bookmarkEnd w:id="31"/>
    <w:bookmarkStart w:id="32" w:name="fragenkatalog-an-den-kunden-priorisiert"/>
    <w:p>
      <w:pPr>
        <w:pStyle w:val="Heading3"/>
      </w:pPr>
      <w:r>
        <w:t xml:space="preserve">Fragenkatalog an den Kunden (priorisiert)</w:t>
      </w:r>
    </w:p>
    <w:p>
      <w:pPr>
        <w:numPr>
          <w:ilvl w:val="0"/>
          <w:numId w:val="1005"/>
        </w:numPr>
        <w:pStyle w:val="Compact"/>
      </w:pPr>
      <w:r>
        <w:rPr>
          <w:bCs/>
          <w:b/>
        </w:rPr>
        <w:t xml:space="preserve">Themenpräferenz:</w:t>
      </w:r>
      <w:r>
        <w:t xml:space="preserve"> </w:t>
      </w:r>
      <w:r>
        <w:t xml:space="preserve">Gibt es politisch ein Wunschthema (Sicherheit/Verteidigung, Einstein-Teleskop, Digital) oder soll das Thema im Projekt hergeleitet werden? Wer entscheidet?</w:t>
      </w:r>
    </w:p>
    <w:p>
      <w:pPr>
        <w:numPr>
          <w:ilvl w:val="0"/>
          <w:numId w:val="1005"/>
        </w:numPr>
        <w:pStyle w:val="Compact"/>
      </w:pPr>
      <w:r>
        <w:rPr>
          <w:bCs/>
          <w:b/>
        </w:rPr>
        <w:t xml:space="preserve">Ortschaft:</w:t>
      </w:r>
      <w:r>
        <w:t xml:space="preserve"> </w:t>
      </w:r>
      <w:r>
        <w:t xml:space="preserve">Die erste vorläufige Abnahme heißt „Festlegung der weiter zu beplanenden Ortschaft“. Ist Kelmis-Zentrum (Lütticher Straße/Museum) gesetzt, oder sollen Hergenrath (Bahnhof) und Neu-Moresnet mitgeprüft werden?</w:t>
      </w:r>
    </w:p>
    <w:p>
      <w:pPr>
        <w:numPr>
          <w:ilvl w:val="0"/>
          <w:numId w:val="1005"/>
        </w:numPr>
        <w:pStyle w:val="Compact"/>
      </w:pPr>
      <w:r>
        <w:rPr>
          <w:bCs/>
          <w:b/>
        </w:rPr>
        <w:t xml:space="preserve">Gemeinde:</w:t>
      </w:r>
      <w:r>
        <w:t xml:space="preserve"> </w:t>
      </w:r>
      <w:r>
        <w:t xml:space="preserve">Wie positionieren sich</w:t>
      </w:r>
      <w:r>
        <w:t xml:space="preserve"> </w:t>
      </w:r>
      <w:r>
        <w:rPr>
          <w:bCs/>
          <w:b/>
        </w:rPr>
        <w:t xml:space="preserve">Bürgermeister Daniel Hilligsmann (ELAN, seit 12/2024, zuvor Kabinettschef MP Paasch)</w:t>
      </w:r>
      <w:r>
        <w:t xml:space="preserve"> </w:t>
      </w:r>
      <w:r>
        <w:t xml:space="preserve">und das Kollegium (ELAN + SP-Offene Bürgerliste, 12/21 Sitze)? Die Interviews der Gewerbeflächenstrategie fanden 2023 noch mit Ex-BM Luc Frank (CSP, heute Opposition) statt; der Konsens muss neu verankert werden. Rolle der</w:t>
      </w:r>
      <w:r>
        <w:t xml:space="preserve"> </w:t>
      </w:r>
      <w:r>
        <w:rPr>
          <w:bCs/>
          <w:b/>
        </w:rPr>
        <w:t xml:space="preserve">AGR Kelmis</w:t>
      </w:r>
      <w:r>
        <w:t xml:space="preserve"> </w:t>
      </w:r>
      <w:r>
        <w:t xml:space="preserve">(Flächen, Kapital, Personal)? Status der Verlagerung des</w:t>
      </w:r>
      <w:r>
        <w:t xml:space="preserve"> </w:t>
      </w:r>
      <w:r>
        <w:rPr>
          <w:bCs/>
          <w:b/>
        </w:rPr>
        <w:t xml:space="preserve">Keolis-Busbetriebshofs</w:t>
      </w:r>
      <w:r>
        <w:t xml:space="preserve">?</w:t>
      </w:r>
      <w:r>
        <w:t xml:space="preserve"> </w:t>
      </w:r>
      <w:r>
        <w:t xml:space="preserve">3b.</w:t>
      </w:r>
      <w:r>
        <w:t xml:space="preserve"> </w:t>
      </w:r>
      <w:r>
        <w:rPr>
          <w:bCs/>
          <w:b/>
        </w:rPr>
        <w:t xml:space="preserve">Planungsrecht:</w:t>
      </w:r>
      <w:r>
        <w:t xml:space="preserve"> </w:t>
      </w:r>
      <w:r>
        <w:t xml:space="preserve">Der Teilbereich Lütticher Straße Süd ist im Sektorenplan</w:t>
      </w:r>
      <w:r>
        <w:t xml:space="preserve"> </w:t>
      </w:r>
      <w:r>
        <w:rPr>
          <w:bCs/>
          <w:b/>
        </w:rPr>
        <w:t xml:space="preserve">Wohngebiet</w:t>
      </w:r>
      <w:r>
        <w:t xml:space="preserve">; die Gewerbeflächenstrategie empfiehlt die Umwidmung zur Gewerbezone. Das würde den geforderten Wohnanteil des Quartiers verhindern. Soll Süd als Mischquartier entwickelt werden? Wie ist der Stand der GRE-Reform (Orientierungsschema, Instrumente)?</w:t>
      </w:r>
    </w:p>
    <w:p>
      <w:pPr>
        <w:numPr>
          <w:ilvl w:val="0"/>
          <w:numId w:val="1005"/>
        </w:numPr>
        <w:pStyle w:val="Compact"/>
      </w:pPr>
      <w:r>
        <w:rPr>
          <w:bCs/>
          <w:b/>
        </w:rPr>
        <w:t xml:space="preserve">Eigentum &amp; Flächen:</w:t>
      </w:r>
      <w:r>
        <w:t xml:space="preserve"> </w:t>
      </w:r>
      <w:r>
        <w:t xml:space="preserve">Welche Flächen sind öffentlich oder bereits im Gespräch (Bauhof, Tankstelle, Baustoffhandel)?</w:t>
      </w:r>
    </w:p>
    <w:p>
      <w:pPr>
        <w:numPr>
          <w:ilvl w:val="0"/>
          <w:numId w:val="1005"/>
        </w:numPr>
        <w:pStyle w:val="Compact"/>
      </w:pPr>
      <w:r>
        <w:rPr>
          <w:bCs/>
          <w:b/>
        </w:rPr>
        <w:t xml:space="preserve">Vorarbeiten:</w:t>
      </w:r>
      <w:r>
        <w:t xml:space="preserve"> </w:t>
      </w:r>
      <w:r>
        <w:t xml:space="preserve">Welche unveröffentlichten Unterlagen werden nach Auftragserteilung bereitgestellt (MORO-Bericht, OBL'EU-Ergebnisse, Euregio Meuse-Rhine Innovation District)?</w:t>
      </w:r>
    </w:p>
    <w:p>
      <w:pPr>
        <w:numPr>
          <w:ilvl w:val="0"/>
          <w:numId w:val="1005"/>
        </w:numPr>
        <w:pStyle w:val="Compact"/>
      </w:pPr>
      <w:r>
        <w:rPr>
          <w:bCs/>
          <w:b/>
        </w:rPr>
        <w:t xml:space="preserve">Beteiligung:</w:t>
      </w:r>
      <w:r>
        <w:t xml:space="preserve"> </w:t>
      </w:r>
      <w:r>
        <w:t xml:space="preserve">Erwünschte Tiefe der Bürgerbeteiligung? Abstimmung mit OBL'EU (Ausstellung November 2026)?</w:t>
      </w:r>
    </w:p>
    <w:p>
      <w:pPr>
        <w:numPr>
          <w:ilvl w:val="0"/>
          <w:numId w:val="1005"/>
        </w:numPr>
        <w:pStyle w:val="Compact"/>
      </w:pPr>
      <w:r>
        <w:rPr>
          <w:bCs/>
          <w:b/>
        </w:rPr>
        <w:t xml:space="preserve">Umsetzungshorizont:</w:t>
      </w:r>
      <w:r>
        <w:t xml:space="preserve"> </w:t>
      </w:r>
      <w:r>
        <w:t xml:space="preserve">Gibt es Haushaltsmittel oder Förderanträge (EFRE, Interreg), auf die das Konzept einzahlen soll? Zeitfenster?</w:t>
      </w:r>
    </w:p>
    <w:p>
      <w:pPr>
        <w:numPr>
          <w:ilvl w:val="0"/>
          <w:numId w:val="1005"/>
        </w:numPr>
        <w:pStyle w:val="Compact"/>
      </w:pPr>
      <w:r>
        <w:rPr>
          <w:bCs/>
          <w:b/>
        </w:rPr>
        <w:t xml:space="preserve">Formate:</w:t>
      </w:r>
      <w:r>
        <w:t xml:space="preserve"> </w:t>
      </w:r>
      <w:r>
        <w:t xml:space="preserve">Erwartung an die Vermarktungsprodukte (Print, Web, Broschüre, Story Map)? Wer lektoriert FR/EN?</w:t>
      </w:r>
    </w:p>
    <w:p>
      <w:pPr>
        <w:numPr>
          <w:ilvl w:val="0"/>
          <w:numId w:val="1005"/>
        </w:numPr>
        <w:pStyle w:val="Compact"/>
      </w:pPr>
      <w:r>
        <w:rPr>
          <w:bCs/>
          <w:b/>
        </w:rPr>
        <w:t xml:space="preserve">GIS:</w:t>
      </w:r>
      <w:r>
        <w:t xml:space="preserve"> </w:t>
      </w:r>
      <w:r>
        <w:t xml:space="preserve">Lambert 72 oder Lambert 2008? Gewünschte Datenformate (Shapefile, GeoPackage, DWG)?</w:t>
      </w:r>
    </w:p>
    <w:p>
      <w:pPr>
        <w:numPr>
          <w:ilvl w:val="0"/>
          <w:numId w:val="1005"/>
        </w:numPr>
        <w:pStyle w:val="Compact"/>
      </w:pPr>
      <w:r>
        <w:rPr>
          <w:bCs/>
          <w:b/>
        </w:rPr>
        <w:t xml:space="preserve">Lieferzeitpunkt:</w:t>
      </w:r>
      <w:r>
        <w:t xml:space="preserve"> </w:t>
      </w:r>
      <w:r>
        <w:t xml:space="preserve">Wie wird das Kriterium bewertet (Datum der Endabgabe, Formel)? Sind Zwischenergebnisse (z. B. Positionspapier) gewünscht?</w:t>
      </w:r>
    </w:p>
    <w:p>
      <w:pPr>
        <w:numPr>
          <w:ilvl w:val="0"/>
          <w:numId w:val="1005"/>
        </w:numPr>
        <w:pStyle w:val="Compact"/>
      </w:pPr>
      <w:r>
        <w:rPr>
          <w:bCs/>
          <w:b/>
        </w:rPr>
        <w:t xml:space="preserve">Externe Kontakte:</w:t>
      </w:r>
      <w:r>
        <w:t xml:space="preserve"> </w:t>
      </w:r>
      <w:r>
        <w:t xml:space="preserve">Dürfen wir nach Abstimmung früh mit Investoren oder Ankermietern sprechen (Lastenheft verlangt Einverständnis der DG)?</w:t>
      </w:r>
    </w:p>
    <w:bookmarkEnd w:id="32"/>
    <w:bookmarkStart w:id="33" w:name="X2f4d6ed6de3ea788a2dad2ba89b05d5718f1acc"/>
    <w:p>
      <w:pPr>
        <w:pStyle w:val="Heading3"/>
      </w:pPr>
      <w:r>
        <w:t xml:space="preserve">Politische Konstellation (Fakten aus 01_Standortanalyse)</w:t>
      </w:r>
    </w:p>
    <w:p>
      <w:pPr>
        <w:numPr>
          <w:ilvl w:val="0"/>
          <w:numId w:val="1006"/>
        </w:numPr>
        <w:pStyle w:val="Compact"/>
      </w:pPr>
      <w:r>
        <w:rPr>
          <w:bCs/>
          <w:b/>
        </w:rPr>
        <w:t xml:space="preserve">Gemeinde Kelmis:</w:t>
      </w:r>
      <w:r>
        <w:t xml:space="preserve"> </w:t>
      </w:r>
      <w:r>
        <w:t xml:space="preserve">BM Daniel Hilligsmann (ELAN) seit 12/2024, zuvor Kabinettschef von MP Oliver Paasch. Das verspricht kurze Wege zwischen Gemeinde und DG-Regierung; Mehrheit ELAN + SP-Offene Bürgerliste (12/21), 1. Schöffe Björn Klinkenberg. Die Opposition (u. a. CSP, Ex-BM Luc Frank) früh einbinden, denn das Konzept läuft über 2028 hinaus.</w:t>
      </w:r>
    </w:p>
    <w:p>
      <w:pPr>
        <w:numPr>
          <w:ilvl w:val="0"/>
          <w:numId w:val="1006"/>
        </w:numPr>
        <w:pStyle w:val="Compact"/>
      </w:pPr>
      <w:r>
        <w:rPr>
          <w:bCs/>
          <w:b/>
        </w:rPr>
        <w:t xml:space="preserve">DG:</w:t>
      </w:r>
      <w:r>
        <w:t xml:space="preserve"> </w:t>
      </w:r>
      <w:r>
        <w:t xml:space="preserve">Das Projekt liegt beim FB Raumordnung, Wohnen und Energie (Kay Raddatz, Dr. Lucyna Zalas). Bei OBL'EU war das Kabinett Minister Gregor Freches beteiligt, außerdem das Kabinett MP Paasch (Alfred Ossemann).</w:t>
      </w:r>
    </w:p>
    <w:bookmarkEnd w:id="33"/>
    <w:bookmarkStart w:id="34" w:name="einwandbehandlung"/>
    <w:p>
      <w:pPr>
        <w:pStyle w:val="Heading3"/>
      </w:pPr>
      <w:r>
        <w:t xml:space="preserve">Einwandbehandlung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Einwand</w:t>
            </w:r>
          </w:p>
        </w:tc>
        <w:tc>
          <w:tcPr/>
          <w:p>
            <w:pPr>
              <w:pStyle w:val="Compact"/>
              <w:jc w:val="left"/>
            </w:pPr>
            <w:r>
              <w:t xml:space="preserve">Antwort</w:t>
            </w:r>
          </w:p>
        </w:tc>
      </w:tr>
      <w:tr>
        <w:tc>
          <w:tcPr/>
          <w:p>
            <w:pPr>
              <w:pStyle w:val="Compact"/>
              <w:jc w:val="left"/>
            </w:pPr>
            <w:r>
              <w:t xml:space="preserve">„Es gibt doch schon Gewerbeflächenstrategie und OBL'EU.“</w:t>
            </w:r>
          </w:p>
        </w:tc>
        <w:tc>
          <w:tcPr/>
          <w:p>
            <w:pPr>
              <w:pStyle w:val="Compact"/>
              <w:jc w:val="left"/>
            </w:pPr>
            <w:r>
              <w:t xml:space="preserve">Genau deshalb: Wir synthetisieren in 6 Wochen und investieren das Budget in Fokus, Zahlen und Vermarktung, nicht in eine weitere Analyse.</w:t>
            </w:r>
          </w:p>
        </w:tc>
      </w:tr>
      <w:tr>
        <w:tc>
          <w:tcPr/>
          <w:p>
            <w:pPr>
              <w:pStyle w:val="Compact"/>
              <w:jc w:val="left"/>
            </w:pPr>
            <w:r>
              <w:t xml:space="preserve">„Kelmis hat keine Hochschule.“</w:t>
            </w:r>
          </w:p>
        </w:tc>
        <w:tc>
          <w:tcPr/>
          <w:p>
            <w:pPr>
              <w:pStyle w:val="Compact"/>
              <w:jc w:val="left"/>
            </w:pPr>
            <w:r>
              <w:t xml:space="preserve">Das Quartier ist komplementär. Aachen hat Gründer, aber zu wenig bezahlbare Scale-up- und Wohnflächen. Kelmis liegt 10–15 km entfernt, mit Buslinie und Bahnhof Hergenrath.</w:t>
            </w:r>
          </w:p>
        </w:tc>
      </w:tr>
      <w:tr>
        <w:tc>
          <w:tcPr/>
          <w:p>
            <w:pPr>
              <w:pStyle w:val="Compact"/>
              <w:jc w:val="left"/>
            </w:pPr>
            <w:r>
              <w:t xml:space="preserve">„Verteidigung in einer Wohngemeinde?“</w:t>
            </w:r>
          </w:p>
        </w:tc>
        <w:tc>
          <w:tcPr/>
          <w:p>
            <w:pPr>
              <w:pStyle w:val="Compact"/>
              <w:jc w:val="left"/>
            </w:pPr>
            <w:r>
              <w:t xml:space="preserve">Dual-Use und Resilienz: Software, Sensorik, Materialien, Präzisionstechnik. Keine Munitions- oder Waffenfertigung. Akzeptanz durch Beteiligung und klare Ausschlusskriterien.</w:t>
            </w:r>
          </w:p>
        </w:tc>
      </w:tr>
      <w:tr>
        <w:tc>
          <w:tcPr/>
          <w:p>
            <w:pPr>
              <w:pStyle w:val="Compact"/>
              <w:jc w:val="left"/>
            </w:pPr>
            <w:r>
              <w:t xml:space="preserve">„Wer soll das bezahlen?“</w:t>
            </w:r>
          </w:p>
        </w:tc>
        <w:tc>
          <w:tcPr/>
          <w:p>
            <w:pPr>
              <w:pStyle w:val="Compact"/>
              <w:jc w:val="left"/>
            </w:pPr>
            <w:r>
              <w:t xml:space="preserve">Gestaffelt: DG, EFRE/Interreg, AGR mit Erbpacht und Bodenwertsteigerung, private Investoren für Wohnen und Büro. Die Wirtschaftlichkeitsbetrachtung zeigt das je Gebäude.</w:t>
            </w:r>
          </w:p>
        </w:tc>
      </w:tr>
      <w:tr>
        <w:tc>
          <w:tcPr/>
          <w:p>
            <w:pPr>
              <w:pStyle w:val="Compact"/>
              <w:jc w:val="left"/>
            </w:pPr>
            <w:r>
              <w:t xml:space="preserve">„13 Monate sind ambitioniert.“</w:t>
            </w:r>
          </w:p>
        </w:tc>
        <w:tc>
          <w:tcPr/>
          <w:p>
            <w:pPr>
              <w:pStyle w:val="Compact"/>
              <w:jc w:val="left"/>
            </w:pPr>
            <w:r>
              <w:t xml:space="preserve">Die Vorarbeiten verkürzen AP1. Parallelisierung von AP4/AP5 und fester Jour fixe; der Entwurf liegt nach 11 Monaten vor, mit Puffer bis zur Frist.</w:t>
            </w:r>
          </w:p>
        </w:tc>
      </w:tr>
      <w:tr>
        <w:tc>
          <w:tcPr/>
          <w:p>
            <w:pPr>
              <w:pStyle w:val="Compact"/>
              <w:jc w:val="left"/>
            </w:pPr>
            <w:r>
              <w:t xml:space="preserve">„Ist das nicht zu groß für Kelmis?“</w:t>
            </w:r>
          </w:p>
        </w:tc>
        <w:tc>
          <w:tcPr/>
          <w:p>
            <w:pPr>
              <w:pStyle w:val="Compact"/>
              <w:jc w:val="left"/>
            </w:pPr>
            <w:r>
              <w:t xml:space="preserve">„Kleiner Start, große Story“: Phase 1 ist ein Technologie-/Gründerhaus am Museum plus Wohnangebot; weitere Phasen folgen der Nachfrage.</w:t>
            </w:r>
          </w:p>
        </w:tc>
      </w:tr>
    </w:tbl>
    <w:bookmarkEnd w:id="34"/>
    <w:bookmarkStart w:id="35" w:name="dos--donts"/>
    <w:p>
      <w:pPr>
        <w:pStyle w:val="Heading3"/>
      </w:pPr>
      <w:r>
        <w:t xml:space="preserve">Do's &amp; Don'ts</w:t>
      </w:r>
    </w:p>
    <w:p>
      <w:pPr>
        <w:numPr>
          <w:ilvl w:val="0"/>
          <w:numId w:val="1007"/>
        </w:numPr>
        <w:pStyle w:val="Compact"/>
      </w:pPr>
      <w:r>
        <w:rPr>
          <w:bCs/>
          <w:b/>
        </w:rPr>
        <w:t xml:space="preserve">Do:</w:t>
      </w:r>
      <w:r>
        <w:t xml:space="preserve"> </w:t>
      </w:r>
      <w:r>
        <w:t xml:space="preserve">Den Auftraggeber über seine Vorarbeiten sprechen lassen und sie wertschätzen; mit den Begriffen des Lastenhefts arbeiten (Ökosphäre, Quartier, Einbettung, Vermarktungsskizzen); Fragen notieren und im Folgeangebot sichtbar beantworten.</w:t>
      </w:r>
    </w:p>
    <w:p>
      <w:pPr>
        <w:numPr>
          <w:ilvl w:val="0"/>
          <w:numId w:val="1007"/>
        </w:numPr>
        <w:pStyle w:val="Compact"/>
      </w:pPr>
      <w:r>
        <w:rPr>
          <w:bCs/>
          <w:b/>
        </w:rPr>
        <w:t xml:space="preserve">Don't:</w:t>
      </w:r>
      <w:r>
        <w:t xml:space="preserve"> </w:t>
      </w:r>
      <w:r>
        <w:t xml:space="preserve">Mitbewerber kritisieren; ein Thema als fertige Lösung verkaufen (die Entscheidung liegt bei der DG); Preise im Workshop nennen, bevor das Folgeangebot steht; externe Akteure ohne Einverständnis der DG kontaktieren.</w:t>
      </w:r>
    </w:p>
    <w:bookmarkEnd w:id="35"/>
    <w:bookmarkStart w:id="36" w:name="leave-behind"/>
    <w:p>
      <w:pPr>
        <w:pStyle w:val="Heading3"/>
      </w:pPr>
      <w:r>
        <w:t xml:space="preserve">Leave-behind</w:t>
      </w:r>
    </w:p>
    <w:p>
      <w:pPr>
        <w:pStyle w:val="FirstParagraph"/>
      </w:pPr>
      <w:r>
        <w:t xml:space="preserve">Ein 2-seitiges Kurzbriefing (Verständnis, Methode, Muster, Zeitplan) ohne Preis.</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uvcw.be/marches-publics/actus/art-9773" TargetMode="External" /></Relationships>
</file>

<file path=word/_rels/footnotes.xml.rels><?xml version="1.0" encoding="UTF-8"?><Relationships xmlns="http://schemas.openxmlformats.org/package/2006/relationships"><Relationship Type="http://schemas.openxmlformats.org/officeDocument/2006/relationships/hyperlink" Id="rId20" Target="https://uvcw.be/marches-publics/actus/art-97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2026-10-14T07:25:53Z</dcterms:created>
  <dcterms:modified xsi:type="dcterms:W3CDTF">2026-10-14T07:25:53Z</dcterms:modified>
</cp:coreProperties>
</file>

<file path=docProps/custom.xml><?xml version="1.0" encoding="utf-8"?>
<Properties xmlns="http://schemas.openxmlformats.org/officeDocument/2006/custom-properties" xmlns:vt="http://schemas.openxmlformats.org/officeDocument/2006/docPropsVTypes"/>
</file>