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200"/>
      </w:pPr>
      <w:r>
        <w:rPr>
          <w:color w:val="595959"/>
          <w:sz w:val="22"/>
          <w:szCs w:val="22"/>
        </w:rPr>
        <w:t xml:space="preserve">Vertraulich – nur zur internen Verwendung</w:t>
      </w:r>
    </w:p>
    <w:p>
      <w:pPr>
        <w:pBdr>
          <w:bottom w:val="single" w:color="000000" w:sz="8" w:space="10"/>
        </w:pBdr>
        <w:spacing w:after="160"/>
      </w:pPr>
      <w:r>
        <w:rPr>
          <w:b/>
          <w:bCs/>
          <w:sz w:val="52"/>
          <w:szCs w:val="52"/>
        </w:rPr>
        <w:t xml:space="preserve">EMRIQ Kelmis</w:t>
      </w:r>
    </w:p>
    <w:p>
      <w:pPr>
        <w:spacing w:after="120" w:before="200" w:line="320"/>
      </w:pPr>
      <w:r>
        <w:rPr>
          <w:sz w:val="28"/>
          <w:szCs w:val="28"/>
        </w:rPr>
        <w:t xml:space="preserve">Vorbereitung des Workshops mit dem Ministerium der Deutschsprachigen Gemeinschaft</w:t>
      </w:r>
    </w:p>
    <w:p>
      <w:pPr>
        <w:spacing w:after="2400" w:before="600"/>
      </w:pPr>
      <w:r>
        <w:rPr>
          <w:b/>
          <w:bCs/>
          <w:sz w:val="28"/>
          <w:szCs w:val="28"/>
        </w:rPr>
        <w:t xml:space="preserve">Workshop-Briefing</w:t>
      </w:r>
    </w:p>
    <w:p>
      <w:pPr>
        <w:tabs>
          <w:tab w:val="left" w:pos="2268"/>
        </w:tabs>
        <w:spacing w:after="60"/>
        <w:ind w:left="2268" w:hanging="2268"/>
      </w:pPr>
      <w:r>
        <w:rPr>
          <w:color w:val="595959"/>
          <w:sz w:val="20"/>
          <w:szCs w:val="20"/>
        </w:rPr>
        <w:t xml:space="preserve">Verfahren</w:t>
      </w:r>
      <w:r>
        <w:rPr>
          <w:sz w:val="20"/>
          <w:szCs w:val="20"/>
        </w:rPr>
        <w:t xml:space="preserve">	FbRAUM.KaR/39.02-01/26.128, Verhandlungsverfahren ohne vorherige Bekanntmachung</w:t>
      </w:r>
    </w:p>
    <w:p>
      <w:pPr>
        <w:tabs>
          <w:tab w:val="left" w:pos="2268"/>
        </w:tabs>
        <w:spacing w:after="60"/>
        <w:ind w:left="2268" w:hanging="2268"/>
      </w:pPr>
      <w:r>
        <w:rPr>
          <w:color w:val="595959"/>
          <w:sz w:val="20"/>
          <w:szCs w:val="20"/>
        </w:rPr>
        <w:t xml:space="preserve">Stand</w:t>
      </w:r>
      <w:r>
        <w:rPr>
          <w:sz w:val="20"/>
          <w:szCs w:val="20"/>
        </w:rPr>
        <w:t xml:space="preserve">	Oktober 2026</w:t>
      </w:r>
    </w:p>
    <w:p>
      <w:pPr>
        <w:tabs>
          <w:tab w:val="left" w:pos="2268"/>
        </w:tabs>
        <w:spacing w:after="60"/>
        <w:ind w:left="2268" w:hanging="2268"/>
      </w:pPr>
      <w:r>
        <w:rPr>
          <w:color w:val="595959"/>
          <w:sz w:val="20"/>
          <w:szCs w:val="20"/>
        </w:rPr>
        <w:t xml:space="preserve">Begleitdokument</w:t>
      </w:r>
      <w:r>
        <w:rPr>
          <w:sz w:val="20"/>
          <w:szCs w:val="20"/>
        </w:rPr>
        <w:t xml:space="preserve">	EMRIQ Kelmis – Endbericht</w:t>
      </w:r>
    </w:p>
    <w:p>
      <w:pPr>
        <w:spacing w:before="600"/>
      </w:pPr>
    </w:p>
    <w:p>
      <w:pPr>
        <w:spacing w:line="276"/>
        <w:jc w:val="both"/>
      </w:pPr>
      <w:r>
        <w:rPr>
          <w:color w:val="595959"/>
          <w:sz w:val="18"/>
          <w:szCs w:val="18"/>
        </w:rPr>
        <w:t xml:space="preserve">Das Briefing enthält Überlegungen zu Preis, Wettbewerb und Verhandlung und ist nicht zur Weitergabe an den Auftraggeber bestimmt. Angaben zu Wettbewerbern sind Annahmen, Kalkulationswerte dienen der Orientierung.</w:t>
      </w:r>
    </w:p>
    <w:p>
      <w:pPr>
        <w:sectPr>
          <w:pgSz w:w="11906" w:h="16838" w:orient="portrait"/>
          <w:pgMar w:top="1418" w:right="1134" w:bottom="1247" w:left="1418" w:header="709" w:footer="567" w:gutter="0"/>
          <w:pgNumType/>
          <w:docGrid w:linePitch="360"/>
        </w:sectPr>
      </w:pPr>
    </w:p>
    <w:p>
      <w:pPr>
        <w:spacing w:after="240"/>
      </w:pPr>
      <w:r>
        <w:rPr>
          <w:b/>
          <w:bCs/>
          <w:sz w:val="28"/>
          <w:szCs w:val="28"/>
        </w:rPr>
        <w:t xml:space="preserve">Inhaltsverzeichnis</w:t>
      </w:r>
    </w:p>
    <w:p>
      <w:pPr>
        <w:tabs>
          <w:tab w:val="left" w:pos="680"/>
          <w:tab w:val="right" w:pos="9354" w:leader="dot"/>
        </w:tabs>
        <w:spacing w:after="20" w:before="120"/>
        <w:ind w:left="680" w:hanging="680"/>
      </w:pPr>
      <w:r>
        <w:rPr>
          <w:b/>
          <w:bCs/>
        </w:rPr>
        <w:t xml:space="preserve">1</w:t>
      </w:r>
      <w:r>
        <w:rPr>
          <w:b/>
          <w:bCs/>
        </w:rPr>
        <w:t xml:space="preserve">	Ziel des Workshops	3</w:t>
      </w:r>
    </w:p>
    <w:p>
      <w:pPr>
        <w:tabs>
          <w:tab w:val="left" w:pos="680"/>
          <w:tab w:val="right" w:pos="9354" w:leader="dot"/>
        </w:tabs>
        <w:spacing w:after="20" w:before="120"/>
        <w:ind w:left="680" w:hanging="680"/>
      </w:pPr>
      <w:r>
        <w:rPr>
          <w:b/>
          <w:bCs/>
        </w:rPr>
        <w:t xml:space="preserve">2</w:t>
      </w:r>
      <w:r>
        <w:rPr>
          <w:b/>
          <w:bCs/>
        </w:rPr>
        <w:t xml:space="preserve">	Wesentliche Punkte	3</w:t>
      </w:r>
    </w:p>
    <w:p>
      <w:pPr>
        <w:tabs>
          <w:tab w:val="left" w:pos="680"/>
          <w:tab w:val="right" w:pos="9354" w:leader="dot"/>
        </w:tabs>
        <w:spacing w:after="20" w:before="120"/>
        <w:ind w:left="680" w:hanging="680"/>
      </w:pPr>
      <w:r>
        <w:rPr>
          <w:b/>
          <w:bCs/>
        </w:rPr>
        <w:t xml:space="preserve">3</w:t>
      </w:r>
      <w:r>
        <w:rPr>
          <w:b/>
          <w:bCs/>
        </w:rPr>
        <w:t xml:space="preserve">	Bewertungslogik und Ansatzpunkte	4</w:t>
      </w:r>
    </w:p>
    <w:p>
      <w:pPr>
        <w:tabs>
          <w:tab w:val="left" w:pos="680"/>
          <w:tab w:val="right" w:pos="9354" w:leader="dot"/>
        </w:tabs>
        <w:spacing w:after="20" w:before="120"/>
        <w:ind w:left="680" w:hanging="680"/>
      </w:pPr>
      <w:r>
        <w:rPr>
          <w:b/>
          <w:bCs/>
        </w:rPr>
        <w:t xml:space="preserve">4</w:t>
      </w:r>
      <w:r>
        <w:rPr>
          <w:b/>
          <w:bCs/>
        </w:rPr>
        <w:t xml:space="preserve">	Wettbewerbsumfeld	5</w:t>
      </w:r>
    </w:p>
    <w:p>
      <w:pPr>
        <w:tabs>
          <w:tab w:val="left" w:pos="680"/>
          <w:tab w:val="right" w:pos="9354" w:leader="dot"/>
        </w:tabs>
        <w:spacing w:after="20" w:before="120"/>
        <w:ind w:left="680" w:hanging="680"/>
      </w:pPr>
      <w:r>
        <w:rPr>
          <w:b/>
          <w:bCs/>
        </w:rPr>
        <w:t xml:space="preserve">5</w:t>
      </w:r>
      <w:r>
        <w:rPr>
          <w:b/>
          <w:bCs/>
        </w:rPr>
        <w:t xml:space="preserve">	Kernbotschaft	5</w:t>
      </w:r>
    </w:p>
    <w:p>
      <w:pPr>
        <w:tabs>
          <w:tab w:val="left" w:pos="680"/>
          <w:tab w:val="right" w:pos="9354" w:leader="dot"/>
        </w:tabs>
        <w:spacing w:after="20" w:before="120"/>
        <w:ind w:left="680" w:hanging="680"/>
      </w:pPr>
      <w:r>
        <w:rPr>
          <w:b/>
          <w:bCs/>
        </w:rPr>
        <w:t xml:space="preserve">6</w:t>
      </w:r>
      <w:r>
        <w:rPr>
          <w:b/>
          <w:bCs/>
        </w:rPr>
        <w:t xml:space="preserve">	Ablaufplan	6</w:t>
      </w:r>
    </w:p>
    <w:p>
      <w:pPr>
        <w:tabs>
          <w:tab w:val="left" w:pos="680"/>
          <w:tab w:val="right" w:pos="9354" w:leader="dot"/>
        </w:tabs>
        <w:spacing w:after="20" w:before="120"/>
        <w:ind w:left="680" w:hanging="680"/>
      </w:pPr>
      <w:r>
        <w:rPr>
          <w:b/>
          <w:bCs/>
        </w:rPr>
        <w:t xml:space="preserve">7</w:t>
      </w:r>
      <w:r>
        <w:rPr>
          <w:b/>
          <w:bCs/>
        </w:rPr>
        <w:t xml:space="preserve">	Musterlieferobjekte	7</w:t>
      </w:r>
    </w:p>
    <w:p>
      <w:pPr>
        <w:tabs>
          <w:tab w:val="left" w:pos="680"/>
          <w:tab w:val="right" w:pos="9354" w:leader="dot"/>
        </w:tabs>
        <w:spacing w:after="20" w:before="120"/>
        <w:ind w:left="680" w:hanging="680"/>
      </w:pPr>
      <w:r>
        <w:rPr>
          <w:b/>
          <w:bCs/>
        </w:rPr>
        <w:t xml:space="preserve">8</w:t>
      </w:r>
      <w:r>
        <w:rPr>
          <w:b/>
          <w:bCs/>
        </w:rPr>
        <w:t xml:space="preserve">	Auszahlungsplan	8</w:t>
      </w:r>
    </w:p>
    <w:p>
      <w:pPr>
        <w:tabs>
          <w:tab w:val="left" w:pos="680"/>
          <w:tab w:val="right" w:pos="9354" w:leader="dot"/>
        </w:tabs>
        <w:spacing w:after="20" w:before="120"/>
        <w:ind w:left="680" w:hanging="680"/>
      </w:pPr>
      <w:r>
        <w:rPr>
          <w:b/>
          <w:bCs/>
        </w:rPr>
        <w:t xml:space="preserve">9</w:t>
      </w:r>
      <w:r>
        <w:rPr>
          <w:b/>
          <w:bCs/>
        </w:rPr>
        <w:t xml:space="preserve">	Team und Eignung	8</w:t>
      </w:r>
    </w:p>
    <w:p>
      <w:pPr>
        <w:tabs>
          <w:tab w:val="left" w:pos="680"/>
          <w:tab w:val="right" w:pos="9354" w:leader="dot"/>
        </w:tabs>
        <w:spacing w:after="20" w:before="120"/>
        <w:ind w:left="680" w:hanging="680"/>
      </w:pPr>
      <w:r>
        <w:rPr>
          <w:b/>
          <w:bCs/>
        </w:rPr>
        <w:t xml:space="preserve">10</w:t>
      </w:r>
      <w:r>
        <w:rPr>
          <w:b/>
          <w:bCs/>
        </w:rPr>
        <w:t xml:space="preserve">	Kalkulation	9</w:t>
      </w:r>
    </w:p>
    <w:p>
      <w:pPr>
        <w:tabs>
          <w:tab w:val="left" w:pos="680"/>
          <w:tab w:val="right" w:pos="9354" w:leader="dot"/>
        </w:tabs>
        <w:spacing w:after="20" w:before="120"/>
        <w:ind w:left="680" w:hanging="680"/>
      </w:pPr>
      <w:r>
        <w:rPr>
          <w:b/>
          <w:bCs/>
        </w:rPr>
        <w:t xml:space="preserve">11</w:t>
      </w:r>
      <w:r>
        <w:rPr>
          <w:b/>
          <w:bCs/>
        </w:rPr>
        <w:t xml:space="preserve">	Ablauf des Workshops	9</w:t>
      </w:r>
    </w:p>
    <w:p>
      <w:pPr>
        <w:tabs>
          <w:tab w:val="left" w:pos="1247"/>
          <w:tab w:val="right" w:pos="9354" w:leader="dot"/>
        </w:tabs>
        <w:spacing w:after="20" w:before="20"/>
        <w:ind w:left="1247" w:hanging="680"/>
      </w:pPr>
      <w:r>
        <w:rPr>
          <w:b w:val="false"/>
          <w:bCs w:val="false"/>
        </w:rPr>
        <w:t xml:space="preserve">11.1</w:t>
      </w:r>
      <w:r>
        <w:rPr>
          <w:b w:val="false"/>
          <w:bCs w:val="false"/>
        </w:rPr>
        <w:t xml:space="preserve">	Ziele	9</w:t>
      </w:r>
    </w:p>
    <w:p>
      <w:pPr>
        <w:tabs>
          <w:tab w:val="left" w:pos="1247"/>
          <w:tab w:val="right" w:pos="9354" w:leader="dot"/>
        </w:tabs>
        <w:spacing w:after="20" w:before="20"/>
        <w:ind w:left="1247" w:hanging="680"/>
      </w:pPr>
      <w:r>
        <w:rPr>
          <w:b w:val="false"/>
          <w:bCs w:val="false"/>
        </w:rPr>
        <w:t xml:space="preserve">11.2</w:t>
      </w:r>
      <w:r>
        <w:rPr>
          <w:b w:val="false"/>
          <w:bCs w:val="false"/>
        </w:rPr>
        <w:t xml:space="preserve">	Ablauf	9</w:t>
      </w:r>
    </w:p>
    <w:p>
      <w:pPr>
        <w:tabs>
          <w:tab w:val="left" w:pos="1247"/>
          <w:tab w:val="right" w:pos="9354" w:leader="dot"/>
        </w:tabs>
        <w:spacing w:after="20" w:before="20"/>
        <w:ind w:left="1247" w:hanging="680"/>
      </w:pPr>
      <w:r>
        <w:rPr>
          <w:b w:val="false"/>
          <w:bCs w:val="false"/>
        </w:rPr>
        <w:t xml:space="preserve">11.3</w:t>
      </w:r>
      <w:r>
        <w:rPr>
          <w:b w:val="false"/>
          <w:bCs w:val="false"/>
        </w:rPr>
        <w:t xml:space="preserve">	Fragen an den Auftraggeber	10</w:t>
      </w:r>
    </w:p>
    <w:p>
      <w:pPr>
        <w:tabs>
          <w:tab w:val="left" w:pos="1247"/>
          <w:tab w:val="right" w:pos="9354" w:leader="dot"/>
        </w:tabs>
        <w:spacing w:after="20" w:before="20"/>
        <w:ind w:left="1247" w:hanging="680"/>
      </w:pPr>
      <w:r>
        <w:rPr>
          <w:b w:val="false"/>
          <w:bCs w:val="false"/>
        </w:rPr>
        <w:t xml:space="preserve">11.4</w:t>
      </w:r>
      <w:r>
        <w:rPr>
          <w:b w:val="false"/>
          <w:bCs w:val="false"/>
        </w:rPr>
        <w:t xml:space="preserve">	Politische Ausgangslage	11</w:t>
      </w:r>
    </w:p>
    <w:p>
      <w:pPr>
        <w:tabs>
          <w:tab w:val="left" w:pos="1247"/>
          <w:tab w:val="right" w:pos="9354" w:leader="dot"/>
        </w:tabs>
        <w:spacing w:after="20" w:before="20"/>
        <w:ind w:left="1247" w:hanging="680"/>
      </w:pPr>
      <w:r>
        <w:rPr>
          <w:b w:val="false"/>
          <w:bCs w:val="false"/>
        </w:rPr>
        <w:t xml:space="preserve">11.5</w:t>
      </w:r>
      <w:r>
        <w:rPr>
          <w:b w:val="false"/>
          <w:bCs w:val="false"/>
        </w:rPr>
        <w:t xml:space="preserve">	Mögliche Einwände	12</w:t>
      </w:r>
    </w:p>
    <w:p>
      <w:pPr>
        <w:tabs>
          <w:tab w:val="left" w:pos="1247"/>
          <w:tab w:val="right" w:pos="9354" w:leader="dot"/>
        </w:tabs>
        <w:spacing w:after="20" w:before="20"/>
        <w:ind w:left="1247" w:hanging="680"/>
      </w:pPr>
      <w:r>
        <w:rPr>
          <w:b w:val="false"/>
          <w:bCs w:val="false"/>
        </w:rPr>
        <w:t xml:space="preserve">11.6</w:t>
      </w:r>
      <w:r>
        <w:rPr>
          <w:b w:val="false"/>
          <w:bCs w:val="false"/>
        </w:rPr>
        <w:t xml:space="preserve">	Hinweise zur Gesprächsführung	12</w:t>
      </w:r>
    </w:p>
    <w:p>
      <w:pPr>
        <w:tabs>
          <w:tab w:val="left" w:pos="1247"/>
          <w:tab w:val="right" w:pos="9354" w:leader="dot"/>
        </w:tabs>
        <w:spacing w:after="20" w:before="20"/>
        <w:ind w:left="1247" w:hanging="680"/>
      </w:pPr>
      <w:r>
        <w:rPr>
          <w:b w:val="false"/>
          <w:bCs w:val="false"/>
        </w:rPr>
        <w:t xml:space="preserve">11.7</w:t>
      </w:r>
      <w:r>
        <w:rPr>
          <w:b w:val="false"/>
          <w:bCs w:val="false"/>
        </w:rPr>
        <w:t xml:space="preserve">	Unterlagen zum Verbleib	13</w:t>
      </w:r>
    </w:p>
    <w:p>
      <w:pPr>
        <w:pStyle w:val="Heading1"/>
        <w:pageBreakBefore/>
        <w:tabs>
          <w:tab w:val="left" w:pos="680"/>
        </w:tabs>
      </w:pPr>
      <w:r>
        <w:t xml:space="preserve">1	Ziel des Workshops</w:t>
      </w:r>
    </w:p>
    <w:p>
      <w:pPr>
        <w:keepNext w:val="false"/>
        <w:spacing w:after="140" w:line="288"/>
        <w:jc w:val="both"/>
      </w:pPr>
      <w:r>
        <w:t xml:space="preserve">Ziel ist der Auftrag für das städtebauliche Entwicklungskonzept mit Umsetzungsplan für das EMRIQ Kelmis. Im Workshop sollen wir die Erwartungen des Ministeriums genauer kennenlernen, Vertrauen in Vorgehen und Team aufbauen und die Informationen sammeln, die wir für ein verbessertes Folgeangebot benötigen.</w:t>
      </w:r>
    </w:p>
    <w:p>
      <w:pPr>
        <w:pStyle w:val="Heading1"/>
        <w:tabs>
          <w:tab w:val="left" w:pos="680"/>
        </w:tabs>
        <w:spacing w:after="240" w:before="480"/>
      </w:pPr>
      <w:r>
        <w:t xml:space="preserve">2	Wesentliche Punkte</w:t>
      </w:r>
    </w:p>
    <w:p>
      <w:pPr>
        <w:pStyle w:val="ListParagraph"/>
        <w:numPr>
          <w:ilvl w:val="0"/>
          <w:numId w:val="2"/>
        </w:numPr>
        <w:spacing w:after="60" w:line="288"/>
        <w:jc w:val="left"/>
      </w:pPr>
      <w:r>
        <w:t xml:space="preserve">Das Honorar ist praktisch gedeckelt. Das Verfahren nach Art. 42 § 1 1° a des Gesetzes vom 17.06.2016 ist nur zulässig, wenn die zu genehmigende Ausgabe 140.000 € netto nicht überschreitet (Schwelle seit 01.01.2026, zuvor 143.000 €; Quelle: </w:t>
      </w:r>
      <w:hyperlink w:history="1" r:id="rIdf6tdevnwndp27el1xsvcl">
        <w:r>
          <w:rPr>
            <w:color w:val="0563C1"/>
            <w:u w:val="single"/>
          </w:rPr>
          <w:t xml:space="preserve">UVCW</w:t>
        </w:r>
      </w:hyperlink>
      <w:r>
        <w:t xml:space="preserve">). Unser Angebot muss deutlich darunter liegen.</w:t>
      </w:r>
    </w:p>
    <w:p>
      <w:pPr>
        <w:pStyle w:val="ListParagraph"/>
        <w:numPr>
          <w:ilvl w:val="0"/>
          <w:numId w:val="2"/>
        </w:numPr>
        <w:spacing w:after="60" w:line="288"/>
        <w:jc w:val="left"/>
      </w:pPr>
      <w:r>
        <w:t xml:space="preserve">60 von 100 Punkten werden nicht über den Preis vergeben. Lieferzeit (15), Ablaufplan (20), Methodik mit Musterlieferobjekten (20) und Auszahlungsplan (5) entscheiden über den Zuschlag. Die Musterlieferobjekte bereits im Workshop zu zeigen, ist unser stärkstes Argument.</w:t>
      </w:r>
    </w:p>
    <w:p>
      <w:pPr>
        <w:pStyle w:val="ListParagraph"/>
        <w:numPr>
          <w:ilvl w:val="0"/>
          <w:numId w:val="2"/>
        </w:numPr>
        <w:spacing w:after="60" w:line="288"/>
        <w:jc w:val="left"/>
      </w:pPr>
      <w:r>
        <w:t xml:space="preserve">Fachgutachten Raumstrategie, Gewerbeflächenstrategie mit Musterprojekt Kelmis und die Ergebnisse von OBL'EU liegen vor. Wir schlagen vor, diese Arbeiten in den ersten sechs Wochen auszuwerten und das Budget danach für Fokussierung, Kosten- und Wirtschaftlichkeitsrechnung und Vermarktung einzusetzen, statt erneut zu analysieren.</w:t>
      </w:r>
    </w:p>
    <w:p>
      <w:pPr>
        <w:pStyle w:val="ListParagraph"/>
        <w:numPr>
          <w:ilvl w:val="0"/>
          <w:numId w:val="2"/>
        </w:numPr>
        <w:spacing w:after="60" w:line="288"/>
        <w:jc w:val="left"/>
      </w:pPr>
      <w:r>
        <w:t xml:space="preserve">Der Auftraggeber wünscht ausdrücklich keine Campusstrategie. Wir bringen eine bewertete Auswahl möglicher Themenprofile mit und schlagen ein nachvollziehbares Auswahlverfahren vor. Die Entscheidung liegt bei der DG.</w:t>
      </w:r>
    </w:p>
    <w:p>
      <w:pPr>
        <w:pStyle w:val="ListParagraph"/>
        <w:numPr>
          <w:ilvl w:val="0"/>
          <w:numId w:val="2"/>
        </w:numPr>
        <w:spacing w:after="60" w:line="288"/>
        <w:jc w:val="left"/>
      </w:pPr>
      <w:r>
        <w:t xml:space="preserve">Gefordert ist ein Quartier und kein Gewerbepark: Wohnen, Arbeiten und Forschung sollen in den Ort eingebunden werden. Museum Vieille Montagne, Lütticher Straße und Bahnhof Hergenrath bilden den räumlichen Rahmen, die Geschichte von Neutral-Moresnet den inhaltlichen.</w:t>
      </w:r>
    </w:p>
    <w:p>
      <w:pPr>
        <w:pStyle w:val="ListParagraph"/>
        <w:numPr>
          <w:ilvl w:val="0"/>
          <w:numId w:val="2"/>
        </w:numPr>
        <w:spacing w:after="60" w:line="288"/>
        <w:jc w:val="left"/>
      </w:pPr>
      <w:r>
        <w:t xml:space="preserve">Überzeugen wird ein Konzept, das sich umsetzen lässt. Dazu gehören Kosten je Gebäude, Folgekosten und Einnahmen der öffentlichen Hand, ein Träger (AGR Kelmis), Fördermöglichkeiten und Phasen, aufbereitet für Politik und Investoren in drei Sprachen.</w:t>
      </w:r>
    </w:p>
    <w:p>
      <w:pPr>
        <w:pStyle w:val="ListParagraph"/>
        <w:numPr>
          <w:ilvl w:val="0"/>
          <w:numId w:val="2"/>
        </w:numPr>
        <w:spacing w:after="60" w:line="288"/>
        <w:jc w:val="left"/>
      </w:pPr>
      <w:r>
        <w:t xml:space="preserve">Von anderen Bietern unterscheiden wir uns durch das Entwicklungsmodell. Die öffentliche Hand entwickelt die Flächen bis zur Baureife, vergibt die Baufelder in drei Tranchen parallel zur Erschließung, vorzugsweise in kapitalisierter Erbpacht, und errichtet in der Anlaufphase eigene Pilotgebäude. Ein revolvierender Bodenfonds und eine Überleitungsrechnung zeigen, unter welchen Bedingungen die Baulandentwicklung refinanziert werden kann (Deckungsgrad 59 % im Basisszenario, 107 % im Zielbild). Damit beantworten wir die Frage des Lastenhefts nach den Einnahmen der öffentlichen Hand und der Vermarktbarkeit.</w:t>
      </w:r>
    </w:p>
    <w:p>
      <w:pPr>
        <w:pStyle w:val="Heading1"/>
        <w:tabs>
          <w:tab w:val="left" w:pos="680"/>
        </w:tabs>
        <w:spacing w:after="240" w:before="480"/>
      </w:pPr>
      <w:r>
        <w:t xml:space="preserve">3	Bewertungslogik und Ansatzpunkte</w:t>
      </w:r>
    </w:p>
    <w:p>
      <w:pPr>
        <w:keepNext/>
        <w:spacing w:after="80" w:before="160"/>
      </w:pPr>
      <w:r>
        <w:rPr>
          <w:b/>
          <w:bCs/>
          <w:sz w:val="16"/>
          <w:szCs w:val="16"/>
        </w:rPr>
        <w:t xml:space="preserve">Tabelle 1: </w:t>
      </w:r>
      <w:r>
        <w:rPr>
          <w:sz w:val="16"/>
          <w:szCs w:val="16"/>
        </w:rPr>
        <w:t xml:space="preserve">Zuschlagskriterien und Ansatzpunkte</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889"/>
        <w:gridCol w:w="2885"/>
        <w:gridCol w:w="3114"/>
      </w:tblGrid>
      <w:tr>
        <w:trPr>
          <w:tblHeader/>
        </w:trPr>
        <w:tc>
          <w:tcPr>
            <w:tcW w:type="dxa" w:w="246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Kriterium</w:t>
            </w:r>
          </w:p>
        </w:tc>
        <w:tc>
          <w:tcPr>
            <w:tcW w:type="dxa" w:w="88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Punkte</w:t>
            </w:r>
          </w:p>
        </w:tc>
        <w:tc>
          <w:tcPr>
            <w:tcW w:type="dxa" w:w="288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Bewertungsgegenstand (Auslegung)</w:t>
            </w:r>
          </w:p>
        </w:tc>
        <w:tc>
          <w:tcPr>
            <w:tcW w:type="dxa" w:w="311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Ansatzpunkt</w:t>
            </w:r>
          </w:p>
        </w:tc>
      </w:tr>
      <w:tr>
        <w:trPr>
          <w:cantSplit/>
        </w:trPr>
        <w:tc>
          <w:tcPr>
            <w:tcW w:type="dxa" w:w="24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Preis</w:t>
            </w:r>
          </w:p>
        </w:tc>
        <w:tc>
          <w:tcPr>
            <w:tcW w:type="dxa" w:w="88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40</w:t>
            </w:r>
          </w:p>
        </w:tc>
        <w:tc>
          <w:tcPr>
            <w:tcW w:type="dxa" w:w="288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40 × (günstigstes Angebot / eigenes Angebot)</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knappe Kalkulation unter dem Deckel, keine doppelten Analysen, Nutzung der vorhandenen Studien</w:t>
            </w:r>
          </w:p>
        </w:tc>
      </w:tr>
      <w:tr>
        <w:trPr>
          <w:cantSplit/>
        </w:trPr>
        <w:tc>
          <w:tcPr>
            <w:tcW w:type="dxa" w:w="24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Lieferzeitpunkt</w:t>
            </w:r>
          </w:p>
        </w:tc>
        <w:tc>
          <w:tcPr>
            <w:tcW w:type="dxa" w:w="88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15</w:t>
            </w:r>
          </w:p>
        </w:tc>
        <w:tc>
          <w:tcPr>
            <w:tcW w:type="dxa" w:w="288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Formel nicht veröffentlicht, vermutlich früheste realistische Endabgabe</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verbindliche Endabgabe spätestens 13 Monate nach Notifizierung, Entwurf nach 11 Monaten</w:t>
            </w:r>
          </w:p>
        </w:tc>
      </w:tr>
      <w:tr>
        <w:trPr>
          <w:cantSplit/>
        </w:trPr>
        <w:tc>
          <w:tcPr>
            <w:tcW w:type="dxa" w:w="24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Ablaufplan und Projektkonzeption</w:t>
            </w:r>
          </w:p>
        </w:tc>
        <w:tc>
          <w:tcPr>
            <w:tcW w:type="dxa" w:w="88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20</w:t>
            </w:r>
          </w:p>
        </w:tc>
        <w:tc>
          <w:tcPr>
            <w:tcW w:type="dxa" w:w="288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Logik, Meilensteine, Abstimmungs- und Beteiligungsformate, Risikomanagement</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sechs Arbeitspakete, fünf Meilensteine, klare Entscheidungspunkte, regelmäßige Abstimmungstermine</w:t>
            </w:r>
          </w:p>
        </w:tc>
      </w:tr>
      <w:tr>
        <w:trPr>
          <w:cantSplit/>
        </w:trPr>
        <w:tc>
          <w:tcPr>
            <w:tcW w:type="dxa" w:w="24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Methodik mit Musterlieferobjekten</w:t>
            </w:r>
          </w:p>
        </w:tc>
        <w:tc>
          <w:tcPr>
            <w:tcW w:type="dxa" w:w="88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20</w:t>
            </w:r>
          </w:p>
        </w:tc>
        <w:tc>
          <w:tcPr>
            <w:tcW w:type="dxa" w:w="288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Qualität und Anschaulichkeit der Endprodukte</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zehn bis dreizehn konkrete Muster (Kapitel 7), u. a. Gebäudesteckbrief mit Kosten und dreisprachiges Exposé</w:t>
            </w:r>
          </w:p>
        </w:tc>
      </w:tr>
      <w:tr>
        <w:trPr>
          <w:cantSplit/>
        </w:trPr>
        <w:tc>
          <w:tcPr>
            <w:tcW w:type="dxa" w:w="24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Auszahlungsplan</w:t>
            </w:r>
          </w:p>
        </w:tc>
        <w:tc>
          <w:tcPr>
            <w:tcW w:type="dxa" w:w="88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right"/>
            </w:pPr>
            <w:r>
              <w:rPr>
                <w:sz w:val="18"/>
                <w:szCs w:val="18"/>
              </w:rPr>
              <w:t xml:space="preserve">5</w:t>
            </w:r>
          </w:p>
        </w:tc>
        <w:tc>
          <w:tcPr>
            <w:tcW w:type="dxa" w:w="288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Kopplung an Meilensteine, Nachvollziehbarkeit</w:t>
            </w:r>
          </w:p>
        </w:tc>
        <w:tc>
          <w:tcPr>
            <w:tcW w:type="dxa" w:w="311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ausgewogene Verteilung ohne Vorauszahlungen, vereinbar mit der 80/20-Regel und Peppol</w:t>
            </w:r>
          </w:p>
        </w:tc>
      </w:tr>
    </w:tbl>
    <w:p>
      <w:pPr>
        <w:spacing w:after="40"/>
      </w:pPr>
    </w:p>
    <w:p>
      <w:pPr>
        <w:spacing w:after="220"/>
      </w:pPr>
      <w:r>
        <w:rPr>
          <w:color w:val="595959"/>
          <w:sz w:val="16"/>
          <w:szCs w:val="16"/>
        </w:rPr>
        <w:t xml:space="preserve">Quelle: Lastenheft; eigene Auslegung</w:t>
      </w:r>
    </w:p>
    <w:p>
      <w:pPr>
        <w:keepNext w:val="false"/>
        <w:spacing w:after="140" w:line="288"/>
        <w:jc w:val="both"/>
      </w:pPr>
      <w:r>
        <w:t xml:space="preserve">Zum Preis ein Rechenbeispiel: Liegt das günstigste Angebot bei 110.000 € und unser Angebot bei 125.000 €, erhalten wir 40 × 110/125 = 35,2 Punkte, also 4,8 Punkte weniger als der günstigste Bieter. Jede 10 % über dem günstigsten Angebot kosten rund 3,6 Punkte. Das lässt sich über Qualität und Lieferzeit ausgleichen, sofern die Qualität erkennbar besser ist.</w:t>
      </w:r>
    </w:p>
    <w:p>
      <w:pPr>
        <w:keepNext w:val="false"/>
        <w:spacing w:after="140" w:line="288"/>
        <w:jc w:val="both"/>
      </w:pPr>
      <w:r>
        <w:t xml:space="preserve">Art. 36 des Königlichen Erlasses vom 18.04.2017 sieht eine Prüfung ungewöhnlich niedriger Preise vor. Für rund 13 Monate Bearbeitung mit drei Sprachen und Wirtschaftlichkeitsbetrachtung wäre ein Preis unter etwa 95.000 € netto nach unserer Einschätzung schwer zu begründen.</w:t>
      </w:r>
    </w:p>
    <w:p>
      <w:pPr>
        <w:keepNext w:val="false"/>
        <w:spacing w:after="140" w:line="288"/>
        <w:jc w:val="both"/>
      </w:pPr>
      <w:r>
        <w:t xml:space="preserve">Im Verhandlungsverfahren sind die Zuschlagskriterien nicht verhandelbar, die Inhalte des Angebots dagegen schon (Leistungsumfang, Zeitplan, Preis, Muster). Der Workshop dient deshalb vor allem dazu, Informationen für das Folgeangebot zu gewinnen.</w:t>
      </w:r>
    </w:p>
    <w:p>
      <w:pPr>
        <w:pStyle w:val="Heading1"/>
        <w:tabs>
          <w:tab w:val="left" w:pos="680"/>
        </w:tabs>
        <w:spacing w:after="240" w:before="480"/>
      </w:pPr>
      <w:r>
        <w:t xml:space="preserve">4	Wettbewerbsumfeld</w:t>
      </w:r>
    </w:p>
    <w:p>
      <w:pPr>
        <w:keepNext/>
        <w:spacing w:after="140" w:line="288"/>
        <w:jc w:val="both"/>
      </w:pPr>
      <w:r>
        <w:t xml:space="preserve">Die folgenden Angaben zu möglichen Mitbewerbern sind Annahmen und nicht überprüft.</w:t>
      </w:r>
    </w:p>
    <w:p>
      <w:pPr>
        <w:keepNext/>
        <w:spacing w:after="80" w:before="160"/>
      </w:pPr>
      <w:r>
        <w:rPr>
          <w:b/>
          <w:bCs/>
          <w:sz w:val="16"/>
          <w:szCs w:val="16"/>
        </w:rPr>
        <w:t xml:space="preserve">Tabelle 2: </w:t>
      </w:r>
      <w:r>
        <w:rPr>
          <w:sz w:val="16"/>
          <w:szCs w:val="16"/>
        </w:rPr>
        <w:t xml:space="preserve">Mögliche Mitbewerber</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2"/>
        <w:gridCol w:w="2047"/>
        <w:gridCol w:w="2302"/>
        <w:gridCol w:w="2203"/>
      </w:tblGrid>
      <w:tr>
        <w:trPr>
          <w:tblHeader/>
        </w:trPr>
        <w:tc>
          <w:tcPr>
            <w:tcW w:type="dxa" w:w="280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Mitbewerber</w:t>
            </w:r>
          </w:p>
        </w:tc>
        <w:tc>
          <w:tcPr>
            <w:tcW w:type="dxa" w:w="204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Stärken</w:t>
            </w:r>
          </w:p>
        </w:tc>
        <w:tc>
          <w:tcPr>
            <w:tcW w:type="dxa" w:w="230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Schwächen</w:t>
            </w:r>
          </w:p>
        </w:tc>
        <w:tc>
          <w:tcPr>
            <w:tcW w:type="dxa" w:w="220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Unsere Antwort</w:t>
            </w:r>
          </w:p>
        </w:tc>
      </w:tr>
      <w:tr>
        <w:trPr>
          <w:cantSplit/>
        </w:trPr>
        <w:tc>
          <w:tcPr>
            <w:tcW w:type="dxa" w:w="280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HJPplan+ (Aachen), Verfasser von Fachgutachten Raumstrategie und Gewerbeflächenstrategie einschließlich Musterprojekt Kelmis</w:t>
            </w:r>
          </w:p>
        </w:tc>
        <w:tc>
          <w:tcPr>
            <w:tcW w:type="dxa" w:w="20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gute Ortskenntnis, Strukturkonzepte für Kelmis liegen vor, Vertrauen beim Fachbereich Raumordnung</w:t>
            </w:r>
          </w:p>
        </w:tc>
        <w:tc>
          <w:tcPr>
            <w:tcW w:type="dxa" w:w="230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Schwerpunkt Gewerbe und Planung; Ökonomie, Vermarktung und französisch- bzw. englischsprachige Kommunikation weniger ausgeprägt</w:t>
            </w:r>
          </w:p>
        </w:tc>
        <w:tc>
          <w:tcPr>
            <w:tcW w:type="dxa" w:w="220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Weiterentwicklung vom Gewerbegebiet zum Quartier: Themenprofil, Wohnen, Sicht der Investoren, drei Sprachen</w:t>
            </w:r>
          </w:p>
        </w:tc>
      </w:tr>
      <w:tr>
        <w:trPr>
          <w:cantSplit/>
        </w:trPr>
        <w:tc>
          <w:tcPr>
            <w:tcW w:type="dxa" w:w="280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RHA Reicher Haase, Maurer United und RWTH (Team OBL'EU), Ausstellung im Museum Vieille Montagne im November 2026</w:t>
            </w:r>
          </w:p>
        </w:tc>
        <w:tc>
          <w:tcPr>
            <w:tcW w:type="dxa" w:w="20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Netzwerk in der Euregio, Nähe zur RWTH, derzeit hohe Sichtbarkeit</w:t>
            </w:r>
          </w:p>
        </w:tc>
        <w:tc>
          <w:tcPr>
            <w:tcW w:type="dxa" w:w="230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Ausrichtung auf Forschung und Prozess; Wirtschaftlichkeit und Umsetzung weniger im Vordergrund</w:t>
            </w:r>
          </w:p>
        </w:tc>
        <w:tc>
          <w:tcPr>
            <w:tcW w:type="dxa" w:w="220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Schlüsselprojekte aus OBL'EU aufgreifen und in ein durchgerechnetes Quartier übertragen</w:t>
            </w:r>
          </w:p>
        </w:tc>
      </w:tr>
      <w:tr>
        <w:trPr>
          <w:cantSplit/>
        </w:trPr>
        <w:tc>
          <w:tcPr>
            <w:tcW w:type="dxa" w:w="280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Belgische bzw. wallonische Büros mit französischsprachigem Schwerpunkt</w:t>
            </w:r>
          </w:p>
        </w:tc>
        <w:tc>
          <w:tcPr>
            <w:tcW w:type="dxa" w:w="20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Kenntnis des wallonischen Rechts und der SPI, Sprache</w:t>
            </w:r>
          </w:p>
        </w:tc>
        <w:tc>
          <w:tcPr>
            <w:tcW w:type="dxa" w:w="230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Bezug zur deutschsprachigen Verwaltung und zu Aachen</w:t>
            </w:r>
          </w:p>
        </w:tc>
        <w:tc>
          <w:tcPr>
            <w:tcW w:type="dxa" w:w="220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Team mit Deutsch, Französisch und Englisch, Kenntnis beider Seiten der Grenze</w:t>
            </w:r>
          </w:p>
        </w:tc>
      </w:tr>
    </w:tbl>
    <w:p>
      <w:pPr>
        <w:spacing w:after="40"/>
      </w:pPr>
    </w:p>
    <w:p>
      <w:pPr>
        <w:spacing w:after="220"/>
      </w:pPr>
      <w:r>
        <w:rPr>
          <w:color w:val="595959"/>
          <w:sz w:val="16"/>
          <w:szCs w:val="16"/>
        </w:rPr>
        <w:t xml:space="preserve">Quelle: eigene Einschätzung</w:t>
      </w:r>
    </w:p>
    <w:p>
      <w:pPr>
        <w:keepNext w:val="false"/>
        <w:spacing w:after="140" w:line="288"/>
        <w:jc w:val="both"/>
      </w:pPr>
      <w:r>
        <w:t xml:space="preserve">Wir sollten auf den Vorarbeiten aufbauen, statt uns von ihnen abzugrenzen, und die Leistungen ergänzen, die dort fehlen: Fokussierung, Zahlen, Vermarktung und Umsetzung.</w:t>
      </w:r>
    </w:p>
    <w:p>
      <w:pPr>
        <w:pStyle w:val="Heading1"/>
        <w:tabs>
          <w:tab w:val="left" w:pos="680"/>
        </w:tabs>
        <w:spacing w:after="240" w:before="480"/>
      </w:pPr>
      <w:r>
        <w:t xml:space="preserve">5	Kernbotschaft</w:t>
      </w:r>
    </w:p>
    <w:p>
      <w:pPr>
        <w:keepNext/>
        <w:spacing w:after="140" w:line="288"/>
        <w:jc w:val="both"/>
      </w:pPr>
      <w:r>
        <w:t xml:space="preserve">Für die Vorstellung schlagen wir folgende Kernbotschaft vor: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rPr>
          <w:cantSplit/>
        </w:trPr>
        <w:tc>
          <w:tcPr>
            <w:tcW w:type="dxa" w:w="9354"/>
            <w:tcBorders>
              <w:top w:val="single" w:color="808080" w:sz="4"/>
              <w:left w:val="single" w:color="808080" w:sz="4"/>
              <w:bottom w:val="single" w:color="808080" w:sz="4"/>
              <w:right w:val="single" w:color="808080" w:sz="4"/>
            </w:tcBorders>
            <w:shd w:fill="F2F2F2" w:color="auto" w:val="clear"/>
            <w:tcMar>
              <w:top w:type="dxa" w:w="120"/>
              <w:left w:type="dxa" w:w="160"/>
              <w:bottom w:type="dxa" w:w="100"/>
              <w:right w:type="dxa" w:w="160"/>
            </w:tcMar>
          </w:tcPr>
          <w:p>
            <w:pPr>
              <w:spacing w:after="80" w:line="288"/>
              <w:jc w:val="both"/>
            </w:pPr>
            <w:r>
              <w:t xml:space="preserve">Kelmis bringt gute Voraussetzungen für ein Innovationsquartier mit: die Lage zwischen drei Universitäten, eine besondere Geschichte und untergenutzte Flächen im Ortskern. Es fehlen ein klares Thema, ein durchgerechnetes Programm und eine Darstellung, die Investoren und Fachkräfte in drei Sprachen anspricht. Diese Leistungen erbringen wir in 13 Monaten auf Grundlage Ihrer Vorarbeiten, mit Kosten je Gebäude sowie einem Träger- und Förderkonzept, das unmittelbar umgesetzt werden kann.</w:t>
            </w:r>
          </w:p>
        </w:tc>
      </w:tr>
    </w:tbl>
    <w:p>
      <w:pPr>
        <w:spacing w:after="100"/>
      </w:pPr>
    </w:p>
    <w:p>
      <w:pPr>
        <w:pStyle w:val="Heading1"/>
        <w:tabs>
          <w:tab w:val="left" w:pos="680"/>
        </w:tabs>
        <w:spacing w:after="240" w:before="480"/>
      </w:pPr>
      <w:r>
        <w:t xml:space="preserve">6	Ablaufplan</w:t>
      </w:r>
    </w:p>
    <w:p>
      <w:pPr>
        <w:keepNext/>
        <w:spacing w:after="80" w:before="160"/>
      </w:pPr>
      <w:r>
        <w:rPr>
          <w:b/>
          <w:bCs/>
          <w:sz w:val="16"/>
          <w:szCs w:val="16"/>
        </w:rPr>
        <w:t xml:space="preserve">Tabelle 3: </w:t>
      </w:r>
      <w:r>
        <w:rPr>
          <w:sz w:val="16"/>
          <w:szCs w:val="16"/>
        </w:rPr>
        <w:t xml:space="preserve">Vorschlag Ablaufplan (Monat 0 = Notifizierung)</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7"/>
        <w:gridCol w:w="4616"/>
        <w:gridCol w:w="947"/>
        <w:gridCol w:w="3244"/>
      </w:tblGrid>
      <w:tr>
        <w:trPr>
          <w:tblHeader/>
        </w:trPr>
        <w:tc>
          <w:tcPr>
            <w:tcW w:type="dxa" w:w="54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AP</w:t>
            </w:r>
          </w:p>
        </w:tc>
        <w:tc>
          <w:tcPr>
            <w:tcW w:type="dxa" w:w="461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Inhalt</w:t>
            </w:r>
          </w:p>
        </w:tc>
        <w:tc>
          <w:tcPr>
            <w:tcW w:type="dxa" w:w="94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Monate</w:t>
            </w:r>
          </w:p>
        </w:tc>
        <w:tc>
          <w:tcPr>
            <w:tcW w:type="dxa" w:w="324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Ergebnis, Meilenstein</w:t>
            </w:r>
          </w:p>
        </w:tc>
      </w:tr>
      <w:tr>
        <w:trPr>
          <w:cantSplit/>
        </w:trPr>
        <w:tc>
          <w:tcPr>
            <w:tcW w:type="dxa" w:w="5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0</w:t>
            </w:r>
          </w:p>
        </w:tc>
        <w:tc>
          <w:tcPr>
            <w:tcW w:type="dxa" w:w="461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Auftaktgespräch, Datenraum, Übersicht der Beteiligten, Kommunikationsplan, Abstimmungstermine alle vier Wochen</w:t>
            </w:r>
          </w:p>
        </w:tc>
        <w:tc>
          <w:tcPr>
            <w:tcW w:type="dxa" w:w="9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0–1</w:t>
            </w:r>
          </w:p>
        </w:tc>
        <w:tc>
          <w:tcPr>
            <w:tcW w:type="dxa" w:w="32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Arbeitsprogramm, Liste der Beteiligten (Abstimmung mit der DG)</w:t>
            </w:r>
          </w:p>
        </w:tc>
      </w:tr>
      <w:tr>
        <w:trPr>
          <w:cantSplit/>
        </w:trPr>
        <w:tc>
          <w:tcPr>
            <w:tcW w:type="dxa" w:w="5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1</w:t>
            </w:r>
          </w:p>
        </w:tc>
        <w:tc>
          <w:tcPr>
            <w:tcW w:type="dxa" w:w="461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Auswertung der Vorstudien; Standort- und Bestandsanalyse (Sektorenplan, Eigentum, Altlasten, Naturschutz, Mobilität); 10 bis 12 Fachgespräche (Gemeinde und AGR, WFG, SPI, RWTH, ULiège, LIOF bzw. Projektbüro Einstein-Teleskop, Unternehmen vor Ort)</w:t>
            </w:r>
          </w:p>
        </w:tc>
        <w:tc>
          <w:tcPr>
            <w:tcW w:type="dxa" w:w="9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1–3</w:t>
            </w:r>
          </w:p>
        </w:tc>
        <w:tc>
          <w:tcPr>
            <w:tcW w:type="dxa" w:w="32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MS1: Standortdossier und Festlegung des Plangebiets (erste vorläufige Abnahme nach Lastenheft)</w:t>
            </w:r>
          </w:p>
        </w:tc>
      </w:tr>
      <w:tr>
        <w:trPr>
          <w:cantSplit/>
        </w:trPr>
        <w:tc>
          <w:tcPr>
            <w:tcW w:type="dxa" w:w="5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2</w:t>
            </w:r>
          </w:p>
        </w:tc>
        <w:tc>
          <w:tcPr>
            <w:tcW w:type="dxa" w:w="461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Themenprofil (Bewertung der Branchencluster, Auswahl und Entscheidung), Zielgruppen und Anforderungen an Arbeiten und Wohnen, Nachfrage und Raumprogramm in Szenarien, erster Workshop mit Akteuren</w:t>
            </w:r>
          </w:p>
        </w:tc>
        <w:tc>
          <w:tcPr>
            <w:tcW w:type="dxa" w:w="9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3–5</w:t>
            </w:r>
          </w:p>
        </w:tc>
        <w:tc>
          <w:tcPr>
            <w:tcW w:type="dxa" w:w="32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MS2: Profil- und Programmpapier</w:t>
            </w:r>
          </w:p>
        </w:tc>
      </w:tr>
      <w:tr>
        <w:trPr>
          <w:cantSplit/>
        </w:trPr>
        <w:tc>
          <w:tcPr>
            <w:tcW w:type="dxa" w:w="5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3</w:t>
            </w:r>
          </w:p>
        </w:tc>
        <w:tc>
          <w:tcPr>
            <w:tcW w:type="dxa" w:w="461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zwei bis drei städtebauliche Varianten mit Mobilitäts- und Freiraumkonzept, Bewertung der Varianten (Weiterentwicklung der Prüfliste der Gewerbeflächenstrategie), zweiter Workshop und Bürgerdialog</w:t>
            </w:r>
          </w:p>
        </w:tc>
        <w:tc>
          <w:tcPr>
            <w:tcW w:type="dxa" w:w="9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5–8</w:t>
            </w:r>
          </w:p>
        </w:tc>
        <w:tc>
          <w:tcPr>
            <w:tcW w:type="dxa" w:w="32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MS3: Variantenvergleich und Vorzugsvariante</w:t>
            </w:r>
          </w:p>
        </w:tc>
      </w:tr>
      <w:tr>
        <w:trPr>
          <w:cantSplit/>
        </w:trPr>
        <w:tc>
          <w:tcPr>
            <w:tcW w:type="dxa" w:w="5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4</w:t>
            </w:r>
          </w:p>
        </w:tc>
        <w:tc>
          <w:tcPr>
            <w:tcW w:type="dxa" w:w="461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Strukturplan der Vorzugsvariante mit Geschossen, Höhen, Dachformen, Gebäudelängen, Abständen, Straßenquerschnitten, Abgrenzung öffentlich/privat und Nutzungen; ausgewählte 3D-Ansichten; GIS-Daten im Lambert-System</w:t>
            </w:r>
          </w:p>
        </w:tc>
        <w:tc>
          <w:tcPr>
            <w:tcW w:type="dxa" w:w="9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8–11</w:t>
            </w:r>
          </w:p>
        </w:tc>
        <w:tc>
          <w:tcPr>
            <w:tcW w:type="dxa" w:w="32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Strukturplan und 3D-Ansichten</w:t>
            </w:r>
          </w:p>
        </w:tc>
      </w:tr>
      <w:tr>
        <w:trPr>
          <w:cantSplit/>
        </w:trPr>
        <w:tc>
          <w:tcPr>
            <w:tcW w:type="dxa" w:w="5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5</w:t>
            </w:r>
          </w:p>
        </w:tc>
        <w:tc>
          <w:tcPr>
            <w:tcW w:type="dxa" w:w="461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Umsetzungsplan mit Phasen, Kostenschätzung je Gebäude und Infrastruktur, Folgekosten der Gemeinde, direkten und indirekten Einnahmen, Träger- und Betreibermodell, Fördermöglichkeiten, Risiken und Empfehlungen einschließlich erforderlicher Erhebungen</w:t>
            </w:r>
          </w:p>
        </w:tc>
        <w:tc>
          <w:tcPr>
            <w:tcW w:type="dxa" w:w="9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9–11</w:t>
            </w:r>
          </w:p>
        </w:tc>
        <w:tc>
          <w:tcPr>
            <w:tcW w:type="dxa" w:w="32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MS4: Entwurf des Gesamtkonzepts (Monat 11)</w:t>
            </w:r>
          </w:p>
        </w:tc>
      </w:tr>
      <w:tr>
        <w:trPr>
          <w:cantSplit/>
        </w:trPr>
        <w:tc>
          <w:tcPr>
            <w:tcW w:type="dxa" w:w="5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right"/>
            </w:pPr>
            <w:r>
              <w:rPr>
                <w:sz w:val="18"/>
                <w:szCs w:val="18"/>
              </w:rPr>
              <w:t xml:space="preserve">6</w:t>
            </w:r>
          </w:p>
        </w:tc>
        <w:tc>
          <w:tcPr>
            <w:tcW w:type="dxa" w:w="461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Vermarktungsunterlagen in Deutsch, Französisch und Englisch (Exposé, Datenblätter, Karten, Präsentation), Abschlusspräsentation, Einarbeitung der Anmerkungen</w:t>
            </w:r>
          </w:p>
        </w:tc>
        <w:tc>
          <w:tcPr>
            <w:tcW w:type="dxa" w:w="94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11–13</w:t>
            </w:r>
          </w:p>
        </w:tc>
        <w:tc>
          <w:tcPr>
            <w:tcW w:type="dxa" w:w="32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MS5: Endabgabe (Monat 13), Endabnahme</w:t>
            </w:r>
          </w:p>
        </w:tc>
      </w:tr>
    </w:tbl>
    <w:p>
      <w:pPr>
        <w:spacing w:after="40"/>
      </w:pPr>
    </w:p>
    <w:p>
      <w:pPr>
        <w:spacing w:after="220"/>
      </w:pPr>
      <w:r>
        <w:rPr>
          <w:color w:val="595959"/>
          <w:sz w:val="16"/>
          <w:szCs w:val="16"/>
        </w:rPr>
        <w:t xml:space="preserve">Quelle: eigene Darstellung</w:t>
      </w:r>
    </w:p>
    <w:p>
      <w:pPr>
        <w:keepNext w:val="false"/>
        <w:spacing w:after="140" w:line="288"/>
        <w:jc w:val="both"/>
      </w:pPr>
      <w:r>
        <w:t xml:space="preserve">Protokolle werden innerhalb von fünf Arbeitstagen verschickt. Risiken und Entscheidungen werden fortlaufend dokumentiert. Externe Gesprächspartner werden nach den Vorgaben des Lastenhefts erst nach Abstimmung mit der DG angesprochen.</w:t>
      </w:r>
    </w:p>
    <w:p>
      <w:pPr>
        <w:keepNext w:val="false"/>
        <w:spacing w:after="140" w:line="288"/>
        <w:jc w:val="both"/>
      </w:pPr>
      <w:r>
        <w:t xml:space="preserve">Bei einer Notifizierung Mitte Dezember 2026 läge MS1 Mitte März 2027, MS4 Mitte November 2027 und die Endabgabe Mitte Januar 2028, also mehr als neun Monate vor der Frist am 31.10.2028. Weihnachten und der Bauurlaub im Juli sind im Zeitplan berücksichtigt.</w:t>
      </w:r>
    </w:p>
    <w:p>
      <w:pPr>
        <w:keepNext w:val="false"/>
        <w:spacing w:after="140" w:line="288"/>
        <w:jc w:val="both"/>
      </w:pPr>
      <w:r>
        <w:t xml:space="preserve">Als zusätzliche Leistung ohne Mehrkosten kann nach acht Wochen ein kurzes Positionspapier zum EMRIQ angeboten werden. Es kann für die politische Kommunikation genutzt werden und an die Ausstellung von OBL'EU und den Zeitplan des Einstein-Teleskops anknüpfen.</w:t>
      </w:r>
    </w:p>
    <w:p>
      <w:pPr>
        <w:pStyle w:val="Heading1"/>
        <w:tabs>
          <w:tab w:val="left" w:pos="680"/>
        </w:tabs>
        <w:spacing w:after="240" w:before="480"/>
      </w:pPr>
      <w:r>
        <w:t xml:space="preserve">7	Musterlieferobjekte</w:t>
      </w:r>
    </w:p>
    <w:p>
      <w:pPr>
        <w:keepNext/>
        <w:spacing w:after="140" w:line="288"/>
        <w:jc w:val="both"/>
      </w:pPr>
      <w:r>
        <w:t xml:space="preserve">Für das Kriterium Methodik (20 Punkte) zeigen wir im Workshop zu jedem Objekt eine Beispielseite:</w:t>
      </w:r>
    </w:p>
    <w:p>
      <w:pPr>
        <w:pStyle w:val="ListParagraph"/>
        <w:numPr>
          <w:ilvl w:val="0"/>
          <w:numId w:val="3"/>
        </w:numPr>
        <w:spacing w:after="60" w:line="288"/>
        <w:jc w:val="left"/>
      </w:pPr>
      <w:r>
        <w:t xml:space="preserve">Standortsteckbrief mit Bewertung der Teilräume Lütticher Straße/Museum, Hochheid und Bahnhof Hergenrath nach sieben Kriterien; die Bewertungsskala knüpft an die Gewerbeflächenstrategie an.</w:t>
      </w:r>
    </w:p>
    <w:p>
      <w:pPr>
        <w:pStyle w:val="ListParagraph"/>
        <w:numPr>
          <w:ilvl w:val="0"/>
          <w:numId w:val="3"/>
        </w:numPr>
        <w:spacing w:after="60" w:line="288"/>
        <w:jc w:val="left"/>
      </w:pPr>
      <w:r>
        <w:t xml:space="preserve">Bewertungsmatrix der Branchencluster als nachvollziehbare Entscheidungsgrundlage für die DG (Teilberichte 03a und 03b).</w:t>
      </w:r>
    </w:p>
    <w:p>
      <w:pPr>
        <w:pStyle w:val="ListParagraph"/>
        <w:numPr>
          <w:ilvl w:val="0"/>
          <w:numId w:val="3"/>
        </w:numPr>
        <w:spacing w:after="60" w:line="288"/>
        <w:jc w:val="left"/>
      </w:pPr>
      <w:r>
        <w:t xml:space="preserve">Beschreibung typischer Nutzerinnen und Nutzer, etwa einer Gründerin aus der RWTH, eines Forschers aus Italien, des technischen Leiters eines wachsenden Unternehmens, eines mittelständischen Betriebs aus der DG und eines Auszubildenden, jeweils mit Anforderungen an Fläche, Wohnen, Dienstleistungen und Mobilität.</w:t>
      </w:r>
    </w:p>
    <w:p>
      <w:pPr>
        <w:pStyle w:val="ListParagraph"/>
        <w:numPr>
          <w:ilvl w:val="0"/>
          <w:numId w:val="3"/>
        </w:numPr>
        <w:spacing w:after="60" w:line="288"/>
        <w:jc w:val="left"/>
      </w:pPr>
      <w:r>
        <w:t xml:space="preserve">Rechenmodell für das Raumprogramm: Bruttogrundfläche nach Nutzungen und Phasen, Arbeitsplätze, Wohneinheiten, Stellplätze.</w:t>
      </w:r>
    </w:p>
    <w:p>
      <w:pPr>
        <w:pStyle w:val="ListParagraph"/>
        <w:numPr>
          <w:ilvl w:val="0"/>
          <w:numId w:val="3"/>
        </w:numPr>
        <w:spacing w:after="60" w:line="288"/>
        <w:jc w:val="left"/>
      </w:pPr>
      <w:r>
        <w:t xml:space="preserve">Ausschnitt aus dem Strukturplan im Maßstab 1:1.000 mit Bemaßung, Geschossigkeit, Dachformen, Straßenquerschnitt und Abgrenzung öffentlich/privat. Er beantwortet unmittelbar die entsprechende Frage aus dem Forum.</w:t>
      </w:r>
    </w:p>
    <w:p>
      <w:pPr>
        <w:pStyle w:val="ListParagraph"/>
        <w:numPr>
          <w:ilvl w:val="0"/>
          <w:numId w:val="3"/>
        </w:numPr>
        <w:spacing w:after="60" w:line="288"/>
        <w:jc w:val="left"/>
      </w:pPr>
      <w:r>
        <w:t xml:space="preserve">Gebäudesteckbrief mit Nutzung, Bruttogrundfläche, Geschossen, Kostenkennwert, Investition, Phase, Träger und Fördermöglichkeit je Gebäude.</w:t>
      </w:r>
    </w:p>
    <w:p>
      <w:pPr>
        <w:pStyle w:val="ListParagraph"/>
        <w:numPr>
          <w:ilvl w:val="0"/>
          <w:numId w:val="3"/>
        </w:numPr>
        <w:spacing w:after="60" w:line="288"/>
        <w:jc w:val="left"/>
      </w:pPr>
      <w:r>
        <w:t xml:space="preserve">Übersicht zur Wirtschaftlichkeit mit Investitionen für Infrastruktur und Hochbau, Finanzierung, Folgekosten der Gemeinde, Einnahmen der öffentlichen Hand und Kennzahlen je Arbeitsplatz (Teilbericht 04).</w:t>
      </w:r>
    </w:p>
    <w:p>
      <w:pPr>
        <w:pStyle w:val="ListParagraph"/>
        <w:numPr>
          <w:ilvl w:val="0"/>
          <w:numId w:val="3"/>
        </w:numPr>
        <w:spacing w:after="60" w:line="288"/>
        <w:jc w:val="left"/>
      </w:pPr>
      <w:r>
        <w:t xml:space="preserve">Zeit- und Umsetzungsplan 2027–2035 mit Entscheidungspunkten, Trägern und Förderzeiträumen.</w:t>
      </w:r>
    </w:p>
    <w:p>
      <w:pPr>
        <w:pStyle w:val="ListParagraph"/>
        <w:numPr>
          <w:ilvl w:val="0"/>
          <w:numId w:val="3"/>
        </w:numPr>
        <w:spacing w:after="60" w:line="288"/>
        <w:jc w:val="left"/>
      </w:pPr>
      <w:r>
        <w:t xml:space="preserve">Dreisprachiges Vermarktungsexposé als Doppelseite mit Standortvorteilen, Lagekarte, Eckdaten und der Geschichte von Neutral-Moresnet.</w:t>
      </w:r>
    </w:p>
    <w:p>
      <w:pPr>
        <w:pStyle w:val="ListParagraph"/>
        <w:numPr>
          <w:ilvl w:val="0"/>
          <w:numId w:val="3"/>
        </w:numPr>
        <w:spacing w:after="60" w:line="288"/>
        <w:jc w:val="left"/>
      </w:pPr>
      <w:r>
        <w:t xml:space="preserve">GIS-Datenmodell mit Ebenen und Attributtabellen in Lambert 72 (EPSG:31370) oder Lambert 2008 (EPSG:3812), abzustimmen mit dem Auftraggeber.</w:t>
      </w:r>
    </w:p>
    <w:p>
      <w:pPr>
        <w:pStyle w:val="ListParagraph"/>
        <w:numPr>
          <w:ilvl w:val="0"/>
          <w:numId w:val="3"/>
        </w:numPr>
        <w:spacing w:after="60" w:line="288"/>
        <w:jc w:val="left"/>
      </w:pPr>
      <w:r>
        <w:t xml:space="preserve">Baufeldpass in drei Sprachen mit Fläche, zulässigen Nutzungen, Kubatur, Vergabeform (Verkauf oder kapitalisierte Erbpacht), Tranche, Preisrahmen, Vertragsklauseln und Bodenzustand. Er dient zugleich der Vermarktung und dem Genehmigungsverfahren.</w:t>
      </w:r>
    </w:p>
    <w:p>
      <w:pPr>
        <w:pStyle w:val="ListParagraph"/>
        <w:numPr>
          <w:ilvl w:val="0"/>
          <w:numId w:val="3"/>
        </w:numPr>
        <w:spacing w:after="60" w:line="288"/>
        <w:jc w:val="left"/>
      </w:pPr>
      <w:r>
        <w:t xml:space="preserve">Rechnung der Baulandentwicklung mit Kosten bis zum vergabefähigen Baufeld, Erlösen, Fördermitteln und Beiträgen der Eigentümer in drei Szenarien, dazu der höchste Kapitalbedarf des Bodenfonds und die vier Maßnahmen für eine vollständige Refinanzierung (Endbericht, Kapitel 7).</w:t>
      </w:r>
    </w:p>
    <w:p>
      <w:pPr>
        <w:pStyle w:val="ListParagraph"/>
        <w:numPr>
          <w:ilvl w:val="0"/>
          <w:numId w:val="3"/>
        </w:numPr>
        <w:spacing w:after="60" w:line="288"/>
        <w:jc w:val="left"/>
      </w:pPr>
      <w:r>
        <w:t xml:space="preserve">Gliederung einer Investorenunterlage und eines Datenraums mit den Standortargumenten (Märkte in Belgien und Deutschland, Steueranreize, Flächenmangel in Aachen, Einstein-Teleskop, Nachhaltigkeit) und einer Liste der Unterlagen, die Investoren erwarten.</w:t>
      </w:r>
    </w:p>
    <w:p>
      <w:pPr>
        <w:pStyle w:val="Heading1"/>
        <w:tabs>
          <w:tab w:val="left" w:pos="680"/>
        </w:tabs>
        <w:spacing w:after="240" w:before="480"/>
      </w:pPr>
      <w:r>
        <w:t xml:space="preserve">8	Auszahlungsplan</w:t>
      </w:r>
    </w:p>
    <w:p>
      <w:pPr>
        <w:keepNext/>
        <w:spacing w:after="80" w:before="160"/>
      </w:pPr>
      <w:r>
        <w:rPr>
          <w:b/>
          <w:bCs/>
          <w:sz w:val="16"/>
          <w:szCs w:val="16"/>
        </w:rPr>
        <w:t xml:space="preserve">Tabelle 4: </w:t>
      </w:r>
      <w:r>
        <w:rPr>
          <w:sz w:val="16"/>
          <w:szCs w:val="16"/>
        </w:rPr>
        <w:t xml:space="preserve">Vorschlag Auszahlungsplan</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83"/>
        <w:gridCol w:w="965"/>
        <w:gridCol w:w="1084"/>
        <w:gridCol w:w="2522"/>
      </w:tblGrid>
      <w:tr>
        <w:trPr>
          <w:tblHeader/>
        </w:trPr>
        <w:tc>
          <w:tcPr>
            <w:tcW w:type="dxa" w:w="478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Meilenstein</w:t>
            </w:r>
          </w:p>
        </w:tc>
        <w:tc>
          <w:tcPr>
            <w:tcW w:type="dxa" w:w="965"/>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Monat</w:t>
            </w:r>
          </w:p>
        </w:tc>
        <w:tc>
          <w:tcPr>
            <w:tcW w:type="dxa" w:w="108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Anteil</w:t>
            </w:r>
          </w:p>
        </w:tc>
        <w:tc>
          <w:tcPr>
            <w:tcW w:type="dxa" w:w="2522"/>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Anmerkung</w:t>
            </w:r>
          </w:p>
        </w:tc>
      </w:tr>
      <w:tr>
        <w:trPr>
          <w:cantSplit/>
        </w:trPr>
        <w:tc>
          <w:tcPr>
            <w:tcW w:type="dxa" w:w="47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MS1 Standortdossier und Festlegung des Plangebiets</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3</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15 %</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erste Rechnung frühestens zwei Monate nach Auftrag</w:t>
            </w:r>
          </w:p>
        </w:tc>
      </w:tr>
      <w:tr>
        <w:trPr>
          <w:cantSplit/>
        </w:trPr>
        <w:tc>
          <w:tcPr>
            <w:tcW w:type="dxa" w:w="47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MS2 Profil- und Programmpapier</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5</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15 %</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
            </w:r>
          </w:p>
        </w:tc>
      </w:tr>
      <w:tr>
        <w:trPr>
          <w:cantSplit/>
        </w:trPr>
        <w:tc>
          <w:tcPr>
            <w:tcW w:type="dxa" w:w="47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MS3 Variantenvergleich und Vorzugsvariante</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8</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20 %</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Hauptaufwand Entwurf</w:t>
            </w:r>
          </w:p>
        </w:tc>
      </w:tr>
      <w:tr>
        <w:trPr>
          <w:cantSplit/>
        </w:trPr>
        <w:tc>
          <w:tcPr>
            <w:tcW w:type="dxa" w:w="47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MS4 Entwurf Gesamtkonzept (Strukturplan, Umsetzung, Wirtschaftlichkeit)</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11</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right"/>
            </w:pPr>
            <w:r>
              <w:rPr>
                <w:sz w:val="18"/>
                <w:szCs w:val="18"/>
              </w:rPr>
              <w:t xml:space="preserve">30 %</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Kernleistung</w:t>
            </w:r>
          </w:p>
        </w:tc>
      </w:tr>
      <w:tr>
        <w:trPr>
          <w:cantSplit/>
        </w:trPr>
        <w:tc>
          <w:tcPr>
            <w:tcW w:type="dxa" w:w="47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MS5 Endabgabe in drei Sprachen und Abschlusspräsentation</w:t>
            </w:r>
          </w:p>
        </w:tc>
        <w:tc>
          <w:tcPr>
            <w:tcW w:type="dxa" w:w="96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right"/>
            </w:pPr>
            <w:r>
              <w:rPr>
                <w:sz w:val="18"/>
                <w:szCs w:val="18"/>
              </w:rPr>
              <w:t xml:space="preserve">13</w:t>
            </w:r>
          </w:p>
        </w:tc>
        <w:tc>
          <w:tcPr>
            <w:tcW w:type="dxa" w:w="108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right"/>
            </w:pPr>
            <w:r>
              <w:rPr>
                <w:sz w:val="18"/>
                <w:szCs w:val="18"/>
              </w:rPr>
              <w:t xml:space="preserve">20 %</w:t>
            </w:r>
          </w:p>
        </w:tc>
        <w:tc>
          <w:tcPr>
            <w:tcW w:type="dxa" w:w="252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Übersetzung, Vermarktung</w:t>
            </w:r>
          </w:p>
        </w:tc>
      </w:tr>
    </w:tbl>
    <w:p>
      <w:pPr>
        <w:spacing w:after="40"/>
      </w:pPr>
    </w:p>
    <w:p>
      <w:pPr>
        <w:spacing w:after="220"/>
      </w:pPr>
      <w:r>
        <w:rPr>
          <w:color w:val="595959"/>
          <w:sz w:val="16"/>
          <w:szCs w:val="16"/>
        </w:rPr>
        <w:t xml:space="preserve">Quelle: eigene Darstellung</w:t>
      </w:r>
    </w:p>
    <w:p>
      <w:pPr>
        <w:keepNext w:val="false"/>
        <w:spacing w:after="140" w:line="288"/>
        <w:jc w:val="both"/>
      </w:pPr>
      <w:r>
        <w:t xml:space="preserve">Je Meilenstein werden 80 % fällig. Die einbehaltenen 20 % werden zusammen mit MS5 in der Schlussrechnung abgerechnet (Lastenheft, Ziffer 13.4). Der Plan ist für den Auftraggeber gut planbar und verlangt keine Vorleistung.</w:t>
      </w:r>
    </w:p>
    <w:p>
      <w:pPr>
        <w:pStyle w:val="Heading1"/>
        <w:tabs>
          <w:tab w:val="left" w:pos="680"/>
        </w:tabs>
        <w:spacing w:after="240" w:before="480"/>
      </w:pPr>
      <w:r>
        <w:t xml:space="preserve">9	Team und Eignung</w:t>
      </w:r>
    </w:p>
    <w:p>
      <w:pPr>
        <w:keepNext/>
        <w:spacing w:after="140" w:line="288"/>
        <w:jc w:val="both"/>
      </w:pPr>
      <w:r>
        <w:t xml:space="preserve">Für die Eignung sind folgende Nachweise und Festlegungen vorzubereiten:</w:t>
      </w:r>
    </w:p>
    <w:p>
      <w:pPr>
        <w:pStyle w:val="ListParagraph"/>
        <w:numPr>
          <w:ilvl w:val="0"/>
          <w:numId w:val="4"/>
        </w:numPr>
        <w:spacing w:after="60" w:line="288"/>
        <w:jc w:val="left"/>
      </w:pPr>
      <w:r>
        <w:t xml:space="preserve">Projektleitung mit sehr guten Deutsch- und Französischkenntnissen sowie Englisch (Diplome oder eidesstattliche Erklärung)</w:t>
      </w:r>
    </w:p>
    <w:p>
      <w:pPr>
        <w:pStyle w:val="ListParagraph"/>
        <w:numPr>
          <w:ilvl w:val="0"/>
          <w:numId w:val="4"/>
        </w:numPr>
        <w:spacing w:after="60" w:line="288"/>
        <w:jc w:val="left"/>
      </w:pPr>
      <w:r>
        <w:t xml:space="preserve">Fachrichtungen Stadt- und Raumplanung, Ökonomie, Kommunikation und Umweltwissenschaften (Lebensläufe, Abschlüsse); die Umweltwissenschaften decken Altlasten und Natura 2000 ab</w:t>
      </w:r>
    </w:p>
    <w:p>
      <w:pPr>
        <w:pStyle w:val="ListParagraph"/>
        <w:numPr>
          <w:ilvl w:val="0"/>
          <w:numId w:val="4"/>
        </w:numPr>
        <w:spacing w:after="60" w:line="288"/>
        <w:jc w:val="left"/>
      </w:pPr>
      <w:r>
        <w:t xml:space="preserve">mindestens drei vergleichbare Referenzen aus den letzten fünf Jahren mit benannter Projektleitung; bei Eignungsleihe oder Unteraufträgen die Zusagen der Partner</w:t>
      </w:r>
    </w:p>
    <w:p>
      <w:pPr>
        <w:pStyle w:val="ListParagraph"/>
        <w:numPr>
          <w:ilvl w:val="0"/>
          <w:numId w:val="4"/>
        </w:numPr>
        <w:spacing w:after="60" w:line="288"/>
        <w:jc w:val="left"/>
      </w:pPr>
      <w:r>
        <w:t xml:space="preserve">geeignete Partner: Grafik- und Kommunikationsbüro mit drei Sprachen, Fachübersetzung, gegebenenfalls belgischer Partner für Recht und Kosten (ABEX-Kostenkennwerte)</w:t>
      </w:r>
    </w:p>
    <w:p>
      <w:pPr>
        <w:pStyle w:val="ListParagraph"/>
        <w:numPr>
          <w:ilvl w:val="0"/>
          <w:numId w:val="4"/>
        </w:numPr>
        <w:spacing w:after="60" w:line="288"/>
        <w:jc w:val="left"/>
      </w:pPr>
      <w:r>
        <w:t xml:space="preserve">persönlicher Ansprechpartner mit Deutsch und Französisch für Termine in Eupen</w:t>
      </w:r>
    </w:p>
    <w:p>
      <w:pPr>
        <w:pStyle w:val="ListParagraph"/>
        <w:numPr>
          <w:ilvl w:val="0"/>
          <w:numId w:val="4"/>
        </w:numPr>
        <w:spacing w:after="60" w:line="288"/>
        <w:jc w:val="left"/>
      </w:pPr>
      <w:r>
        <w:t xml:space="preserve">keine Mitarbeitenden, die in den letzten zwei Jahren beim Ministerium beschäftigt waren</w:t>
      </w:r>
    </w:p>
    <w:p>
      <w:pPr>
        <w:pStyle w:val="Heading1"/>
        <w:tabs>
          <w:tab w:val="left" w:pos="680"/>
        </w:tabs>
        <w:spacing w:after="240" w:before="480"/>
      </w:pPr>
      <w:r>
        <w:t xml:space="preserve">10	Kalkulation</w:t>
      </w:r>
    </w:p>
    <w:p>
      <w:pPr>
        <w:keepNext/>
        <w:spacing w:after="80" w:before="160"/>
      </w:pPr>
      <w:r>
        <w:rPr>
          <w:b/>
          <w:bCs/>
          <w:sz w:val="16"/>
          <w:szCs w:val="16"/>
        </w:rPr>
        <w:t xml:space="preserve">Tabelle 5: </w:t>
      </w:r>
      <w:r>
        <w:rPr>
          <w:sz w:val="16"/>
          <w:szCs w:val="16"/>
        </w:rPr>
        <w:t xml:space="preserve">Kalkulation nach Arbeitspaketen (Orientierungswerte)</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96"/>
        <w:gridCol w:w="1809"/>
        <w:gridCol w:w="1449"/>
      </w:tblGrid>
      <w:tr>
        <w:trPr>
          <w:tblHeader/>
        </w:trPr>
        <w:tc>
          <w:tcPr>
            <w:tcW w:type="dxa" w:w="609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Arbeitspaket</w:t>
            </w:r>
          </w:p>
        </w:tc>
        <w:tc>
          <w:tcPr>
            <w:tcW w:type="dxa" w:w="180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Aufwand</w:t>
            </w:r>
          </w:p>
        </w:tc>
        <w:tc>
          <w:tcPr>
            <w:tcW w:type="dxa" w:w="144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Netto</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AP0 Projektmanagement, 12 Abstimmungstermine, Protokolle</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10–14 PT</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9–13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AP1 Analyse und 10–12 Fachgespräche</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16–20 PT</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14–19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AP2 Themenprofil, Zielgruppen, Programm</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14–18 PT</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13–17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AP3 Varianten, Mobilität, Freiraum</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20–26 PT</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18–24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AP4 Strukturplan, 3D-Ansichten, GIS</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16–20 PT</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14–19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AP5 Umsetzung, Wirtschaftlichkeit, Trägerschaft, Förderung</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16–20 PT</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15–19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AP6 Vermarktungsunterlagen, Grafik</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10–14 PT</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9–13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Workshops (3–4, pauschal einschließlich Moderation und Material)</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pauschal</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6–10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Fachübersetzungen Französisch und Englisch</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pauschal</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7–12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Reise- und Nebenkosten (im Pauschalhonorar enthalten)</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pauschal</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2–4 T€</w:t>
            </w:r>
          </w:p>
        </w:tc>
      </w:tr>
      <w:tr>
        <w:trPr>
          <w:cantSplit/>
        </w:trPr>
        <w:tc>
          <w:tcPr>
            <w:tcW w:type="dxa" w:w="609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Summe</w:t>
            </w:r>
          </w:p>
        </w:tc>
        <w:tc>
          <w:tcPr>
            <w:tcW w:type="dxa" w:w="180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rd. 102–132 PT</w:t>
            </w:r>
          </w:p>
        </w:tc>
        <w:tc>
          <w:tcPr>
            <w:tcW w:type="dxa" w:w="144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rd. 107–150 T€</w:t>
            </w:r>
          </w:p>
        </w:tc>
      </w:tr>
    </w:tbl>
    <w:p>
      <w:pPr>
        <w:spacing w:after="40"/>
      </w:pPr>
    </w:p>
    <w:p>
      <w:pPr>
        <w:spacing w:after="220"/>
      </w:pPr>
      <w:r>
        <w:rPr>
          <w:color w:val="595959"/>
          <w:sz w:val="16"/>
          <w:szCs w:val="16"/>
        </w:rPr>
        <w:t xml:space="preserve">Quelle: eigene Schätzung; PT = Personentage</w:t>
      </w:r>
    </w:p>
    <w:p>
      <w:pPr>
        <w:keepNext w:val="false"/>
        <w:spacing w:after="140" w:line="288"/>
        <w:jc w:val="both"/>
      </w:pPr>
      <w:r>
        <w:t xml:space="preserve">Wir empfehlen einen Zielpreis von rund 118.000 bis 132.000 € netto zuzüglich 21 % Mehrwertsteuer. Damit bleibt das Angebot sicher unter der Grenze von 140.000 € und lässt Spielraum für Auftragsänderungen nach Art. 37 ff. des Königlichen Erlasses vom 14.01.2013. Bei Preisdruck kann der Umfang reduziert werden, etwa auf zwei statt drei Varianten, drei statt vier Workshops oder einen Bürgerdialog als Option. Die Musterlieferobjekte sollten dabei nicht gekürzt werden.</w:t>
      </w:r>
    </w:p>
    <w:p>
      <w:pPr>
        <w:pStyle w:val="Heading1"/>
        <w:tabs>
          <w:tab w:val="left" w:pos="680"/>
        </w:tabs>
        <w:spacing w:after="240" w:before="480"/>
      </w:pPr>
      <w:r>
        <w:t xml:space="preserve">11	Ablauf des Workshops</w:t>
      </w:r>
    </w:p>
    <w:p>
      <w:pPr>
        <w:pStyle w:val="Heading2"/>
        <w:tabs>
          <w:tab w:val="left" w:pos="680"/>
        </w:tabs>
      </w:pPr>
      <w:r>
        <w:t xml:space="preserve">11.1	Ziele</w:t>
      </w:r>
    </w:p>
    <w:p>
      <w:pPr>
        <w:pStyle w:val="ListParagraph"/>
        <w:numPr>
          <w:ilvl w:val="0"/>
          <w:numId w:val="5"/>
        </w:numPr>
        <w:spacing w:after="60" w:line="288"/>
        <w:jc w:val="left"/>
      </w:pPr>
      <w:r>
        <w:t xml:space="preserve">Verstehen, woran das Ministerium den Erfolg des Projekts misst: politisch (Ministerpräsident und Regierung), fachlich (Fachbereich Raumordnung) und lokal (Gemeinde Kelmis).</w:t>
      </w:r>
    </w:p>
    <w:p>
      <w:pPr>
        <w:pStyle w:val="ListParagraph"/>
        <w:numPr>
          <w:ilvl w:val="0"/>
          <w:numId w:val="5"/>
        </w:numPr>
        <w:spacing w:after="60" w:line="288"/>
        <w:jc w:val="left"/>
      </w:pPr>
      <w:r>
        <w:t xml:space="preserve">Kompetenz zeigen, ohne die Lösung vorwegzunehmen: Vorgehen und Muster vorstellen, Fragen stellen.</w:t>
      </w:r>
    </w:p>
    <w:p>
      <w:pPr>
        <w:pStyle w:val="ListParagraph"/>
        <w:numPr>
          <w:ilvl w:val="0"/>
          <w:numId w:val="5"/>
        </w:numPr>
        <w:spacing w:after="60" w:line="288"/>
        <w:jc w:val="left"/>
      </w:pPr>
      <w:r>
        <w:t xml:space="preserve">Informationen für das Folgeangebot sammeln: Zeit, Umfang, Erwartungen an die Ergebnisse und bevorzugte Themen.</w:t>
      </w:r>
    </w:p>
    <w:p>
      <w:pPr>
        <w:pStyle w:val="Heading2"/>
        <w:tabs>
          <w:tab w:val="left" w:pos="680"/>
        </w:tabs>
      </w:pPr>
      <w:r>
        <w:t xml:space="preserve">11.2	Ablauf</w:t>
      </w:r>
    </w:p>
    <w:p>
      <w:pPr>
        <w:keepNext/>
        <w:spacing w:after="80" w:before="160"/>
      </w:pPr>
      <w:r>
        <w:rPr>
          <w:b/>
          <w:bCs/>
          <w:sz w:val="16"/>
          <w:szCs w:val="16"/>
        </w:rPr>
        <w:t xml:space="preserve">Tabelle 6: </w:t>
      </w:r>
      <w:r>
        <w:rPr>
          <w:sz w:val="16"/>
          <w:szCs w:val="16"/>
        </w:rPr>
        <w:t xml:space="preserve">Ablauf des Workshops (90 bis 120 Minuten)</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6"/>
        <w:gridCol w:w="2688"/>
        <w:gridCol w:w="5600"/>
      </w:tblGrid>
      <w:tr>
        <w:trPr>
          <w:tblHeader/>
        </w:trPr>
        <w:tc>
          <w:tcPr>
            <w:tcW w:type="dxa" w:w="106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Minute</w:t>
            </w:r>
          </w:p>
        </w:tc>
        <w:tc>
          <w:tcPr>
            <w:tcW w:type="dxa" w:w="268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Abschnitt</w:t>
            </w:r>
          </w:p>
        </w:tc>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Inhalt</w:t>
            </w:r>
          </w:p>
        </w:tc>
      </w:tr>
      <w:tr>
        <w:trPr>
          <w:cantSplit/>
        </w:trPr>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0–10</w:t>
            </w:r>
          </w:p>
        </w:tc>
        <w:tc>
          <w:tcPr>
            <w:tcW w:type="dxa" w:w="26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Einstieg</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Vorstellung, Ziele und Erwartungen klären („Woran merken Sie im Januar 2028, dass das Projekt erfolgreich war?“)</w:t>
            </w:r>
          </w:p>
        </w:tc>
      </w:tr>
      <w:tr>
        <w:trPr>
          <w:cantSplit/>
        </w:trPr>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10–25</w:t>
            </w:r>
          </w:p>
        </w:tc>
        <w:tc>
          <w:tcPr>
            <w:tcW w:type="dxa" w:w="26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Unser Verständnis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fünf Folien: Auftrag in eigenen Worten, Ausgangslage Kelmis, Vorarbeiten, Leitlinien (ein Thema statt Campus, Quartier statt Gewerbepark, Einbindung in den Ort)</w:t>
            </w:r>
          </w:p>
        </w:tc>
      </w:tr>
      <w:tr>
        <w:trPr>
          <w:cantSplit/>
        </w:trPr>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25–50</w:t>
            </w:r>
          </w:p>
        </w:tc>
        <w:tc>
          <w:tcPr>
            <w:tcW w:type="dxa" w:w="26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Standort und Markt</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Teilräume, Stärken und Restriktionen, Marktlage (Flächenmangel in Aachen, Einstein-Teleskop, steigende Mittel für Sicherheit und Resilienz), Zielgruppen</w:t>
            </w:r>
          </w:p>
        </w:tc>
      </w:tr>
      <w:tr>
        <w:trPr>
          <w:cantSplit/>
        </w:trPr>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50–75</w:t>
            </w:r>
          </w:p>
        </w:tc>
        <w:tc>
          <w:tcPr>
            <w:tcW w:type="dxa" w:w="26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Themenprofil (gemeinsame Arbeit)</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Bewertungsmatrix der Branchencluster; die Teilnehmenden gewichten die Kriterien selbst</w:t>
            </w:r>
          </w:p>
        </w:tc>
      </w:tr>
      <w:tr>
        <w:trPr>
          <w:cantSplit/>
        </w:trPr>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75–90</w:t>
            </w:r>
          </w:p>
        </w:tc>
        <w:tc>
          <w:tcPr>
            <w:tcW w:type="dxa" w:w="26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Vorgehen und Muster</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Ablaufplan, Meilensteine, Musterlieferobjekte (Gebäudesteckbrief, Baufeldpass, Rechnung der Baulandentwicklung, Exposé)</w:t>
            </w:r>
          </w:p>
        </w:tc>
      </w:tr>
      <w:tr>
        <w:trPr>
          <w:cantSplit/>
        </w:trPr>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90–100</w:t>
            </w:r>
          </w:p>
        </w:tc>
        <w:tc>
          <w:tcPr>
            <w:tcW w:type="dxa" w:w="26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Entwicklungsmodell</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Entwicklung bis zur Baureife, Vergabe in Tranchen, Pilotgebäude, Bodenfonds; Frage an den Auftraggeber, wer die Flächenentwicklung übernehmen soll (AGR, SPI, Entwicklungsgesellschaft)</w:t>
            </w:r>
          </w:p>
        </w:tc>
      </w:tr>
      <w:tr>
        <w:trPr>
          <w:cantSplit/>
        </w:trPr>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100–112</w:t>
            </w:r>
          </w:p>
        </w:tc>
        <w:tc>
          <w:tcPr>
            <w:tcW w:type="dxa" w:w="26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Offene Fragen</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Fragen nach Abschnitt 11.3</w:t>
            </w:r>
          </w:p>
        </w:tc>
      </w:tr>
      <w:tr>
        <w:trPr>
          <w:cantSplit/>
        </w:trPr>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112–120</w:t>
            </w:r>
          </w:p>
        </w:tc>
        <w:tc>
          <w:tcPr>
            <w:tcW w:type="dxa" w:w="268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Abschluss</w:t>
            </w:r>
          </w:p>
        </w:tc>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nächste Schritte, Übergabe einer Kurzfassung, Dank</w:t>
            </w:r>
          </w:p>
        </w:tc>
      </w:tr>
    </w:tbl>
    <w:p>
      <w:pPr>
        <w:spacing w:after="40"/>
      </w:pPr>
    </w:p>
    <w:p>
      <w:pPr>
        <w:spacing w:after="220"/>
      </w:pPr>
      <w:r>
        <w:rPr>
          <w:color w:val="595959"/>
          <w:sz w:val="16"/>
          <w:szCs w:val="16"/>
        </w:rPr>
        <w:t xml:space="preserve">Quelle: eigene Darstellung</w:t>
      </w:r>
    </w:p>
    <w:p>
      <w:pPr>
        <w:pStyle w:val="Heading2"/>
        <w:tabs>
          <w:tab w:val="left" w:pos="680"/>
        </w:tabs>
      </w:pPr>
      <w:r>
        <w:t xml:space="preserve">11.3	Fragen an den Auftraggeber</w:t>
      </w:r>
    </w:p>
    <w:p>
      <w:pPr>
        <w:keepNext w:val="false"/>
        <w:spacing w:after="140" w:line="288"/>
        <w:jc w:val="both"/>
      </w:pPr>
      <w:r>
        <w:t xml:space="preserve">Die Fragen sind nach Priorität geordnet.</w:t>
      </w:r>
    </w:p>
    <w:p>
      <w:pPr>
        <w:pStyle w:val="ListParagraph"/>
        <w:numPr>
          <w:ilvl w:val="0"/>
          <w:numId w:val="6"/>
        </w:numPr>
        <w:spacing w:after="60" w:line="288"/>
        <w:jc w:val="left"/>
      </w:pPr>
      <w:r>
        <w:t xml:space="preserve">Themenprofil: Gibt es politisch ein bevorzugtes Thema (Sicherheit und Verteidigung, Einstein-Teleskop, Digitalwirtschaft), oder soll das Thema im Projekt hergeleitet werden? Wer entscheidet darüber?</w:t>
      </w:r>
    </w:p>
    <w:p>
      <w:pPr>
        <w:pStyle w:val="ListParagraph"/>
        <w:numPr>
          <w:ilvl w:val="0"/>
          <w:numId w:val="6"/>
        </w:numPr>
        <w:spacing w:after="60" w:line="288"/>
        <w:jc w:val="left"/>
      </w:pPr>
      <w:r>
        <w:t xml:space="preserve">Ortschaft: Die erste vorläufige Abnahme betrifft die „Festlegung der weiter zu beplanenden Ortschaft“. Ist das Zentrum von Kelmis (Lütticher Straße, Museum) gesetzt, oder sollen Hergenrath (Bahnhof) und Neu-Moresnet mitgeprüft werden?</w:t>
      </w:r>
    </w:p>
    <w:p>
      <w:pPr>
        <w:pStyle w:val="ListParagraph"/>
        <w:numPr>
          <w:ilvl w:val="0"/>
          <w:numId w:val="6"/>
        </w:numPr>
        <w:spacing w:after="60" w:line="288"/>
        <w:jc w:val="left"/>
      </w:pPr>
      <w:r>
        <w:t xml:space="preserve">Gemeinde: Wie stehen Bürgermeister Daniel Hilligsmann (ELAN, seit Dezember 2024, zuvor Kabinettschef von Ministerpräsident Paasch) und das Gemeindekollegium (ELAN und SP-Offene Bürgerliste, 12 von 21 Sitzen) zu dem Vorhaben? Die Gespräche zur Gewerbeflächenstrategie wurden 2023 noch mit dem damaligen Bürgermeister Luc Frank (CSP, heute Opposition) geführt; die Unterstützung muss daher neu gesichert werden. Welche Rolle soll die AGR Kelmis übernehmen (Flächen, Kapital, Personal)? Wie ist der Stand bei der Verlagerung des Busbetriebshofs von Keolis?</w:t>
      </w:r>
    </w:p>
    <w:p>
      <w:pPr>
        <w:pStyle w:val="ListParagraph"/>
        <w:numPr>
          <w:ilvl w:val="0"/>
          <w:numId w:val="6"/>
        </w:numPr>
        <w:spacing w:after="60" w:line="288"/>
        <w:jc w:val="left"/>
      </w:pPr>
      <w:r>
        <w:t xml:space="preserve">Planungsrecht: Der südliche Teil der Lütticher Straße ist im Sektorenplan Wohngebiet. Die Gewerbeflächenstrategie empfiehlt eine Ausweisung als Gewerbegebiet, was den geforderten Wohnanteil des Quartiers ausschließen würde. Soll der südliche Teil als gemischtes Quartier entwickelt werden? Wie ist der Stand der Reform des Gesetzbuchs über die räumliche Entwicklung (Orientierungsschema, Instrumente)?</w:t>
      </w:r>
    </w:p>
    <w:p>
      <w:pPr>
        <w:pStyle w:val="ListParagraph"/>
        <w:numPr>
          <w:ilvl w:val="0"/>
          <w:numId w:val="6"/>
        </w:numPr>
        <w:spacing w:after="60" w:line="288"/>
        <w:jc w:val="left"/>
      </w:pPr>
      <w:r>
        <w:t xml:space="preserve">Eigentum: Welche Flächen sind in öffentlichem Eigentum oder bereits im Gespräch (Bauhof, Tankstelle, Baustoffhandel)?</w:t>
      </w:r>
    </w:p>
    <w:p>
      <w:pPr>
        <w:pStyle w:val="ListParagraph"/>
        <w:numPr>
          <w:ilvl w:val="0"/>
          <w:numId w:val="6"/>
        </w:numPr>
        <w:spacing w:after="60" w:line="288"/>
        <w:jc w:val="left"/>
      </w:pPr>
      <w:r>
        <w:t xml:space="preserve">Vorarbeiten: Welche unveröffentlichten Unterlagen werden nach Auftragserteilung bereitgestellt (MORO-Bericht, Ergebnisse von OBL'EU, Euregio Meuse-Rhine Innovation District)?</w:t>
      </w:r>
    </w:p>
    <w:p>
      <w:pPr>
        <w:pStyle w:val="ListParagraph"/>
        <w:numPr>
          <w:ilvl w:val="0"/>
          <w:numId w:val="6"/>
        </w:numPr>
        <w:spacing w:after="60" w:line="288"/>
        <w:jc w:val="left"/>
      </w:pPr>
      <w:r>
        <w:t xml:space="preserve">Beteiligung: Wie weit soll die Bürgerbeteiligung gehen? Wie wird die Abstimmung mit OBL'EU und der Ausstellung im November 2026 organisiert?</w:t>
      </w:r>
    </w:p>
    <w:p>
      <w:pPr>
        <w:pStyle w:val="ListParagraph"/>
        <w:numPr>
          <w:ilvl w:val="0"/>
          <w:numId w:val="6"/>
        </w:numPr>
        <w:spacing w:after="60" w:line="288"/>
        <w:jc w:val="left"/>
      </w:pPr>
      <w:r>
        <w:t xml:space="preserve">Umsetzung: Gibt es Haushaltsmittel oder Förderanträge (EFRE, Interreg), auf die das Konzept ausgerichtet werden soll? In welchem Zeitraum?</w:t>
      </w:r>
    </w:p>
    <w:p>
      <w:pPr>
        <w:pStyle w:val="ListParagraph"/>
        <w:numPr>
          <w:ilvl w:val="0"/>
          <w:numId w:val="6"/>
        </w:numPr>
        <w:spacing w:after="60" w:line="288"/>
        <w:jc w:val="left"/>
      </w:pPr>
      <w:r>
        <w:t xml:space="preserve">Ergebnisse: Welche Form sollen die Vermarktungsunterlagen haben (Druck, Internet, Broschüre, interaktive Karte)? Wer übernimmt das Lektorat der französischen und englischen Fassung?</w:t>
      </w:r>
    </w:p>
    <w:p>
      <w:pPr>
        <w:pStyle w:val="ListParagraph"/>
        <w:numPr>
          <w:ilvl w:val="0"/>
          <w:numId w:val="6"/>
        </w:numPr>
        <w:spacing w:after="60" w:line="288"/>
        <w:jc w:val="left"/>
      </w:pPr>
      <w:r>
        <w:t xml:space="preserve">GIS: Lambert 72 oder Lambert 2008? Welche Datenformate werden benötigt (Shapefile, GeoPackage, DWG)?</w:t>
      </w:r>
    </w:p>
    <w:p>
      <w:pPr>
        <w:pStyle w:val="ListParagraph"/>
        <w:numPr>
          <w:ilvl w:val="0"/>
          <w:numId w:val="6"/>
        </w:numPr>
        <w:spacing w:after="60" w:line="288"/>
        <w:jc w:val="left"/>
      </w:pPr>
      <w:r>
        <w:t xml:space="preserve">Lieferzeitpunkt: Wie wird das Kriterium bewertet (Datum der Endabgabe, Formel)? Sind Zwischenergebnisse wie ein Positionspapier erwünscht?</w:t>
      </w:r>
    </w:p>
    <w:p>
      <w:pPr>
        <w:pStyle w:val="ListParagraph"/>
        <w:numPr>
          <w:ilvl w:val="0"/>
          <w:numId w:val="6"/>
        </w:numPr>
        <w:spacing w:after="60" w:line="288"/>
        <w:jc w:val="left"/>
      </w:pPr>
      <w:r>
        <w:t xml:space="preserve">Externe Gespräche: Dürfen wir nach Abstimmung frühzeitig mit Investoren oder möglichen Ankermietern sprechen? Das Lastenheft verlangt hierfür das Einverständnis der DG.</w:t>
      </w:r>
    </w:p>
    <w:p>
      <w:pPr>
        <w:pStyle w:val="ListParagraph"/>
        <w:numPr>
          <w:ilvl w:val="0"/>
          <w:numId w:val="6"/>
        </w:numPr>
        <w:spacing w:after="60" w:line="288"/>
        <w:jc w:val="left"/>
      </w:pPr>
      <w:r>
        <w:t xml:space="preserve">Flächenentwicklung: Wer soll das Quartier entwickeln (AGR, SPI als Betreiberin des Gewerbeteils, eine spätere Entwicklungsgesellschaft)? Ist die DG bereit, einen revolvierenden Bodenfonds einzurichten und ein Grundbudget für das Management bereitzustellen?</w:t>
      </w:r>
    </w:p>
    <w:p>
      <w:pPr>
        <w:pStyle w:val="ListParagraph"/>
        <w:numPr>
          <w:ilvl w:val="0"/>
          <w:numId w:val="6"/>
        </w:numPr>
        <w:spacing w:after="60" w:line="288"/>
        <w:jc w:val="left"/>
      </w:pPr>
      <w:r>
        <w:t xml:space="preserve">Vergabeformen: Ist die kapitalisierte Erbpacht politisch gewollt, wie sie die SPI seit 2017 und citydev.brussels anwenden, oder bevorzugen Gemeinde und DG den Verkauf?</w:t>
      </w:r>
    </w:p>
    <w:p>
      <w:pPr>
        <w:pStyle w:val="Heading2"/>
        <w:tabs>
          <w:tab w:val="left" w:pos="680"/>
        </w:tabs>
      </w:pPr>
      <w:r>
        <w:t xml:space="preserve">11.4	Politische Ausgangslage</w:t>
      </w:r>
    </w:p>
    <w:p>
      <w:pPr>
        <w:keepNext w:val="false"/>
        <w:spacing w:after="140" w:line="288"/>
        <w:jc w:val="both"/>
      </w:pPr>
      <w:r>
        <w:t xml:space="preserve">In der Gemeinde Kelmis ist Daniel Hilligsmann (ELAN) seit Dezember 2024 Bürgermeister. Zuvor war er Kabinettschef von Ministerpräsident Oliver Paasch, was eine enge Abstimmung zwischen Gemeinde und Regierung der DG erwarten lässt. Die Mehrheit bilden ELAN und SP-Offene Bürgerliste mit 12 von 21 Sitzen; Erster Schöffe ist Björn Klinkenberg. Die Opposition, darunter die CSP mit dem früheren Bürgermeister Luc Frank, sollte frühzeitig einbezogen werden, da das Konzept über die Wahlen 2029 und 2030 hinaus wirkt.</w:t>
      </w:r>
    </w:p>
    <w:p>
      <w:pPr>
        <w:keepNext w:val="false"/>
        <w:spacing w:after="140" w:line="288"/>
        <w:jc w:val="both"/>
      </w:pPr>
      <w:r>
        <w:t xml:space="preserve">In der DG liegt das Projekt beim Fachbereich Raumordnung, Wohnungswesen und Energie (Kay Raddatz, Dr. Lucyna Zalas). An OBL'EU waren das Kabinett von Minister Gregor Freches und das Kabinett von Ministerpräsident Paasch (Alfred Ossemann) beteiligt.</w:t>
      </w:r>
    </w:p>
    <w:p>
      <w:pPr>
        <w:pStyle w:val="Heading2"/>
        <w:tabs>
          <w:tab w:val="left" w:pos="680"/>
        </w:tabs>
      </w:pPr>
      <w:r>
        <w:t xml:space="preserve">11.5	Mögliche Einwände</w:t>
      </w:r>
    </w:p>
    <w:p>
      <w:pPr>
        <w:keepNext/>
        <w:spacing w:after="80" w:before="160"/>
      </w:pPr>
      <w:r>
        <w:rPr>
          <w:b/>
          <w:bCs/>
          <w:sz w:val="16"/>
          <w:szCs w:val="16"/>
        </w:rPr>
        <w:t xml:space="preserve">Tabelle 7: </w:t>
      </w:r>
      <w:r>
        <w:rPr>
          <w:sz w:val="16"/>
          <w:szCs w:val="16"/>
        </w:rPr>
        <w:t xml:space="preserve">Mögliche Einwände und Antworten</w:t>
      </w:r>
    </w:p>
    <w:tbl>
      <w:tblPr>
        <w:tblW w:type="dxa" w:w="935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0"/>
        <w:gridCol w:w="5644"/>
      </w:tblGrid>
      <w:tr>
        <w:trPr>
          <w:tblHeader/>
        </w:trPr>
        <w:tc>
          <w:tcPr>
            <w:tcW w:type="dxa" w:w="371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Einwand</w:t>
            </w:r>
          </w:p>
        </w:tc>
        <w:tc>
          <w:tcPr>
            <w:tcW w:type="dxa" w:w="564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keepNext/>
              <w:spacing w:after="0" w:line="240"/>
              <w:jc w:val="left"/>
            </w:pPr>
            <w:r>
              <w:rPr>
                <w:b/>
                <w:bCs/>
                <w:sz w:val="18"/>
                <w:szCs w:val="18"/>
              </w:rPr>
              <w:t xml:space="preserve">Antwort</w:t>
            </w:r>
          </w:p>
        </w:tc>
      </w:tr>
      <w:tr>
        <w:trPr>
          <w:cantSplit/>
        </w:trPr>
        <w:tc>
          <w:tcPr>
            <w:tcW w:type="dxa" w:w="371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Es gibt bereits die Gewerbeflächenstrategie und OBL'EU.</w:t>
            </w:r>
          </w:p>
        </w:tc>
        <w:tc>
          <w:tcPr>
            <w:tcW w:type="dxa" w:w="56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Deshalb werten wir die Vorarbeiten in sechs Wochen aus und setzen das Budget für Fokussierung, Zahlen und Vermarktung ein, nicht für eine weitere Analyse.</w:t>
            </w:r>
          </w:p>
        </w:tc>
      </w:tr>
      <w:tr>
        <w:trPr>
          <w:cantSplit/>
        </w:trPr>
        <w:tc>
          <w:tcPr>
            <w:tcW w:type="dxa" w:w="371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Kelmis hat keine Hochschule.</w:t>
            </w:r>
          </w:p>
        </w:tc>
        <w:tc>
          <w:tcPr>
            <w:tcW w:type="dxa" w:w="56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Das Quartier ergänzt Aachen. Dort entstehen Gründungen, es fehlen aber bezahlbare Flächen für wachsende Unternehmen und Wohnungen. Kelmis liegt rund 8 bis 10 km entfernt und ist über die Buslinie 24 und den Bahnhof Hergenrath angebunden.</w:t>
            </w:r>
          </w:p>
        </w:tc>
      </w:tr>
      <w:tr>
        <w:trPr>
          <w:cantSplit/>
        </w:trPr>
        <w:tc>
          <w:tcPr>
            <w:tcW w:type="dxa" w:w="371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Verteidigung in einer Wohngemeinde?</w:t>
            </w:r>
          </w:p>
        </w:tc>
        <w:tc>
          <w:tcPr>
            <w:tcW w:type="dxa" w:w="56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Es geht um Anwendungen mit doppeltem Verwendungszweck in Software, Sensorik, Werkstoffen und Präzisionstechnik. Waffen und Munition werden ausgeschlossen. Akzeptanz entsteht durch Beteiligung und klare Ausschlusskriterien.</w:t>
            </w:r>
          </w:p>
        </w:tc>
      </w:tr>
      <w:tr>
        <w:trPr>
          <w:cantSplit/>
        </w:trPr>
        <w:tc>
          <w:tcPr>
            <w:tcW w:type="dxa" w:w="371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Wer soll das bezahlen?</w:t>
            </w:r>
          </w:p>
        </w:tc>
        <w:tc>
          <w:tcPr>
            <w:tcW w:type="dxa" w:w="56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Die Finanzierung verteilt sich auf DG, EFRE und Interreg, die AGR mit Erbpacht und Bodenwertsteigerung sowie private Investoren für Wohnen und Büro. Die Wirtschaftlichkeitsbetrachtung weist das je Gebäude aus.</w:t>
            </w:r>
          </w:p>
        </w:tc>
      </w:tr>
      <w:tr>
        <w:trPr>
          <w:cantSplit/>
        </w:trPr>
        <w:tc>
          <w:tcPr>
            <w:tcW w:type="dxa" w:w="371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13 Monate sind knapp bemessen.</w:t>
            </w:r>
          </w:p>
        </w:tc>
        <w:tc>
          <w:tcPr>
            <w:tcW w:type="dxa" w:w="56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Die Vorarbeiten verkürzen die Analyse. AP4 und AP5 laufen teilweise parallel, die Abstimmungstermine sind fest vereinbart. Der Entwurf liegt nach 11 Monaten vor, mit ausreichend Zeit bis zur Frist.</w:t>
            </w:r>
          </w:p>
        </w:tc>
      </w:tr>
      <w:tr>
        <w:trPr>
          <w:cantSplit/>
        </w:trPr>
        <w:tc>
          <w:tcPr>
            <w:tcW w:type="dxa" w:w="371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Ist das Vorhaben zu groß für Kelmis?</w:t>
            </w:r>
          </w:p>
        </w:tc>
        <w:tc>
          <w:tcPr>
            <w:tcW w:type="dxa" w:w="56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Die erste Phase umfasst ein Technologie- und Gründerzentrum am Museum und ein Wohnangebot. Weitere Phasen folgen nur bei entsprechender Nachfrage.</w:t>
            </w:r>
          </w:p>
        </w:tc>
      </w:tr>
      <w:tr>
        <w:trPr>
          <w:cantSplit/>
        </w:trPr>
        <w:tc>
          <w:tcPr>
            <w:tcW w:type="dxa" w:w="371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Grundstücksverkäufe allein finanzieren das nicht.</w:t>
            </w:r>
          </w:p>
        </w:tc>
        <w:tc>
          <w:tcPr>
            <w:tcW w:type="dxa" w:w="56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spacing w:after="0" w:line="240"/>
              <w:jc w:val="left"/>
            </w:pPr>
            <w:r>
              <w:rPr>
                <w:sz w:val="18"/>
                <w:szCs w:val="18"/>
              </w:rPr>
              <w:t xml:space="preserve">Das ist richtig: Die Baufelderlöse decken nach heutigem Stand nur rd. 23 % der Kosten. Mit der Förderung des Gewerbeteils über die SPI (65 bis 85 %), einer kooperativen Baulandentwicklung, einer sparsamen Erschließung und höheren Bodenwerten durch die Pilotgebäude erreicht das Zielbild rd. 107 %. Das Konzept legt diese Maßnahmen verbindlich fest.</w:t>
            </w:r>
          </w:p>
        </w:tc>
      </w:tr>
      <w:tr>
        <w:trPr>
          <w:cantSplit/>
        </w:trPr>
        <w:tc>
          <w:tcPr>
            <w:tcW w:type="dxa" w:w="371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Warum soll die öffentliche Hand selbst bauen?</w:t>
            </w:r>
          </w:p>
        </w:tc>
        <w:tc>
          <w:tcPr>
            <w:tcW w:type="dxa" w:w="564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keepNext w:val="false"/>
              <w:spacing w:after="0" w:line="240"/>
              <w:jc w:val="left"/>
            </w:pPr>
            <w:r>
              <w:rPr>
                <w:sz w:val="18"/>
                <w:szCs w:val="18"/>
              </w:rPr>
              <w:t xml:space="preserve">Investoren entscheiden auf Grundlage nachgewiesener Nachfrage. Der Initiator errichtet in der ersten Phase höchstens 25 bis 30 % der Bruttogrundfläche und setzt das Kapital erneut ein: Das Wohnmodul wird nach der Vermietung verkauft, das EMRIQ-Haus über einen Generalmietvertrag refinanziert.</w:t>
            </w:r>
          </w:p>
        </w:tc>
      </w:tr>
    </w:tbl>
    <w:p>
      <w:pPr>
        <w:spacing w:after="40"/>
      </w:pPr>
    </w:p>
    <w:p>
      <w:pPr>
        <w:spacing w:after="220"/>
      </w:pPr>
      <w:r>
        <w:rPr>
          <w:color w:val="595959"/>
          <w:sz w:val="16"/>
          <w:szCs w:val="16"/>
        </w:rPr>
        <w:t xml:space="preserve">Quelle: eigene Darstellung</w:t>
      </w:r>
    </w:p>
    <w:p>
      <w:pPr>
        <w:pStyle w:val="Heading2"/>
        <w:tabs>
          <w:tab w:val="left" w:pos="680"/>
        </w:tabs>
      </w:pPr>
      <w:r>
        <w:t xml:space="preserve">11.6	Hinweise zur Gesprächsführung</w:t>
      </w:r>
    </w:p>
    <w:p>
      <w:pPr>
        <w:keepNext w:val="false"/>
        <w:spacing w:after="140" w:line="288"/>
        <w:jc w:val="both"/>
      </w:pPr>
      <w:r>
        <w:t xml:space="preserve">Der Auftraggeber sollte ausreichend Gelegenheit erhalten, über seine Vorarbeiten zu sprechen, und diese sollten gewürdigt werden. Wir verwenden die Begriffe des Lastenhefts (Ökosphäre, Quartier, Einbettung, Vermarktungsskizzen), notieren alle Fragen und beantworten sie im Folgeangebot erkennbar.</w:t>
      </w:r>
    </w:p>
    <w:p>
      <w:pPr>
        <w:keepNext w:val="false"/>
        <w:spacing w:after="140" w:line="288"/>
        <w:jc w:val="both"/>
      </w:pPr>
      <w:r>
        <w:t xml:space="preserve">Wir kritisieren keine Mitbewerber und stellen kein Thema als fertige Lösung dar, da die Entscheidung bei der DG liegt. Preise nennen wir im Workshop nicht, solange das Folgeangebot nicht vorliegt. Externe Akteure sprechen wir nicht ohne Einverständnis der DG an.</w:t>
      </w:r>
    </w:p>
    <w:p>
      <w:pPr>
        <w:pStyle w:val="Heading2"/>
        <w:tabs>
          <w:tab w:val="left" w:pos="680"/>
        </w:tabs>
      </w:pPr>
      <w:r>
        <w:t xml:space="preserve">11.7	Unterlagen zum Verbleib</w:t>
      </w:r>
    </w:p>
    <w:p>
      <w:pPr>
        <w:keepNext w:val="false"/>
        <w:spacing w:after="140" w:line="288"/>
        <w:jc w:val="both"/>
      </w:pPr>
      <w:r>
        <w:t xml:space="preserve">Zum Abschluss übergeben wir eine zweiseitige Kurzfassung mit unserem Verständnis der Aufgabe, dem Vorgehen, den Musterlieferobjekten und dem Zeitplan, ohne Preisangaben.</w:t>
      </w:r>
    </w:p>
    <w:sectPr>
      <w:headerReference w:type="default" r:id="rId7"/>
      <w:footerReference w:type="default" r:id="rId8"/>
      <w:pgSz w:w="11906" w:h="16838" w:orient="portrait"/>
      <w:pgMar w:top="1418" w:right="1134" w:bottom="1247" w:left="1418"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tabs>
        <w:tab w:val="right" w:pos="9354"/>
      </w:tabs>
    </w:pPr>
    <w:r>
      <w:rPr>
        <w:color w:val="595959"/>
        <w:sz w:val="16"/>
        <w:szCs w:val="16"/>
      </w:rPr>
      <w:t xml:space="preserve">EMRIQ Kelmis – Workshop-Briefing</w:t>
    </w:r>
    <w:r>
      <w:rPr>
        <w:color w:val="595959"/>
        <w:sz w:val="16"/>
        <w:szCs w:val="16"/>
      </w:rPr>
      <w:t xml:space="preserve">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57" w:hanging="357"/>
      </w:pPr>
    </w:lvl>
    <w:lvl w:ilvl="1" w15:tentative="1">
      <w:start w:val="1"/>
      <w:numFmt w:val="bullet"/>
      <w:lvlText w:val="–"/>
      <w:lvlJc w:val="left"/>
      <w:pPr>
        <w:ind w:left="714" w:hanging="357"/>
      </w:pPr>
    </w:lvl>
  </w:abstractNum>
  <w:abstractNum w:abstractNumId="3" w15:restartNumberingAfterBreak="0">
    <w:multiLevelType w:val="hybridMultilevel"/>
    <w:lvl w:ilvl="0" w15:tentative="1">
      <w:start w:val="1"/>
      <w:numFmt w:val="decimal"/>
      <w:lvlText w:val="%1."/>
      <w:lvlJc w:val="left"/>
      <w:pPr>
        <w:ind w:left="357" w:hanging="357"/>
      </w:pPr>
    </w:lvl>
    <w:lvl w:ilvl="1" w15:tentative="1">
      <w:start w:val="1"/>
      <w:numFmt w:val="lowerLetter"/>
      <w:lvlText w:val="%2)"/>
      <w:lvlJc w:val="left"/>
      <w:pPr>
        <w:ind w:left="714" w:hanging="357"/>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consecutiveHyphenLimit w:val="2"/>
  <w:hyphenationZone w:val="357"/>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300"/>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80" w:before="220"/>
      <w:outlineLvl w:val="2"/>
    </w:pPr>
    <w:rPr>
      <w:rFonts w:ascii="Arial" w:cs="Arial" w:eastAsia="Arial" w:hAnsi="Arial"/>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6tdevnwndp27el1xsvcl" Type="http://schemas.openxmlformats.org/officeDocument/2006/relationships/hyperlink" Target="https://uvcw.be/marches-publics/actus/art-9773"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EMRIQ Kelmis</dc:title>
  <cp:revision>1</cp:revision>
  <dcterms:created xsi:type="dcterms:W3CDTF">2026-10-14T08:18:21.216Z</dcterms:created>
  <dcterms:modified xsi:type="dcterms:W3CDTF">2026-10-14T08:18:21.216Z</dcterms:modified>
</cp:coreProperties>
</file>

<file path=docProps/custom.xml><?xml version="1.0" encoding="utf-8"?>
<Properties xmlns="http://schemas.openxmlformats.org/officeDocument/2006/custom-properties" xmlns:vt="http://schemas.openxmlformats.org/officeDocument/2006/docPropsVTypes"/>
</file>