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
      </w:pPr>
      <w:r>
        <w:rPr>
          <w:rFonts w:ascii="Roboto" w:cs="Roboto" w:eastAsia="Roboto" w:hAnsi="Roboto"/>
          <w:b/>
          <w:bCs/>
          <w:color w:val="1F2A44"/>
          <w:sz w:val="36"/>
          <w:szCs w:val="36"/>
        </w:rPr>
        <w:t xml:space="preserve">Discovery — Business Requirements</w:t>
      </w:r>
    </w:p>
    <w:p>
      <w:pPr>
        <w:spacing w:after="60"/>
      </w:pPr>
      <w:r>
        <w:rPr>
          <w:rFonts w:ascii="Roboto Mono" w:cs="Roboto Mono" w:eastAsia="Roboto Mono" w:hAnsi="Roboto Mono"/>
          <w:color w:val="5A6472"/>
          <w:sz w:val="18"/>
          <w:szCs w:val="18"/>
        </w:rPr>
        <w:t xml:space="preserve">Owner: Umakant Sista   ·   Version 2.1 (MVP scope)   ·   June 2026   ·   Status: draft for team distribution</w:t>
      </w:r>
    </w:p>
    <w:p>
      <w:pPr>
        <w:spacing w:after="200" w:before="120"/>
      </w:pPr>
      <w:r>
        <w:rPr>
          <w:rFonts w:ascii="Roboto" w:cs="Roboto" w:eastAsia="Roboto" w:hAnsi="Roboto"/>
          <w:color w:val="2A2F38"/>
          <w:sz w:val="21"/>
          <w:szCs w:val="21"/>
        </w:rPr>
        <w:t xml:space="preserve">This document defines the business requirements for Discovery — how a Blaugarnet project acquires the knowledge every later blueprint will be built on. Discovery has several workflows; this version specifies the first of them, the Cold Start, which carries a project from a small set of ingested sources to a validated Discovery Brief. The Cold Start is Section 1. The remaining Discovery workflows — including the mid-project flows that keep a project's knowledge current as it grows — will be added as further sections as they are specified. The scope here is deliberately narrow: a pilot for a small team working a single project, not an enterprise deployment. Requirements that belong to the larger product are named explicitly at the end so that the choices made now do not foreclose them later.</w:t>
      </w:r>
    </w:p>
    <w:p>
      <w:pPr>
        <w:pBdr>
          <w:bottom w:val="single" w:color="2E5AAC" w:sz="6" w:space="6"/>
        </w:pBdr>
        <w:spacing w:after="60" w:before="300"/>
      </w:pPr>
      <w:r>
        <w:rPr>
          <w:rFonts w:ascii="Roboto" w:cs="Roboto" w:eastAsia="Roboto" w:hAnsi="Roboto"/>
          <w:b/>
          <w:bCs/>
          <w:color w:val="2E5AAC"/>
          <w:sz w:val="28"/>
          <w:szCs w:val="28"/>
        </w:rPr>
        <w:t xml:space="preserve">Section 1 · Cold Start</w:t>
      </w:r>
    </w:p>
    <w:p>
      <w:pPr>
        <w:spacing w:after="100" w:before="240"/>
      </w:pPr>
      <w:r>
        <w:rPr>
          <w:rFonts w:ascii="Roboto" w:cs="Roboto" w:eastAsia="Roboto" w:hAnsi="Roboto"/>
          <w:b/>
          <w:bCs/>
          <w:color w:val="9B2A34"/>
          <w:sz w:val="23"/>
          <w:szCs w:val="23"/>
        </w:rPr>
        <w:t xml:space="preserve">1-0 · Cold Start: Section Intro</w:t>
      </w:r>
    </w:p>
    <w:p>
      <w:pPr>
        <w:spacing w:after="120"/>
      </w:pPr>
      <w:r>
        <w:rPr>
          <w:rFonts w:ascii="Roboto" w:cs="Roboto" w:eastAsia="Roboto" w:hAnsi="Roboto"/>
          <w:color w:val="2A2F38"/>
          <w:sz w:val="21"/>
          <w:szCs w:val="21"/>
        </w:rPr>
        <w:t xml:space="preserve">The Cold Start — surfaced to users as the Discovery Run — is how a project gets its initial knowledge. A small team loads a handful of project sources, and the system produces a validated Discovery Brief: the root of the project's intent lineage and the input to the next workflow, where the Discovery Brief becomes a BRD. Everything the product builds afterward grows from what this workflow produces, which is why it carries a particular weight. A governed blueprint is only as trustworthy as the knowledge beneath it, and this is where that knowledge — and its provenance — begins. Every statement in the Discovery Brief must trace back to a real source; if the system cannot show where something came from, the product's central promise of traceable, defensible intent fails at the root.</w:t>
      </w:r>
    </w:p>
    <w:p>
      <w:pPr>
        <w:spacing w:after="120"/>
      </w:pPr>
      <w:r>
        <w:rPr>
          <w:rFonts w:ascii="Roboto" w:cs="Roboto" w:eastAsia="Roboto" w:hAnsi="Roboto"/>
          <w:color w:val="2A2F38"/>
          <w:sz w:val="21"/>
          <w:szCs w:val="21"/>
        </w:rPr>
        <w:t xml:space="preserve">It also has to work on the material a real project actually starts with, which is rarely clean and never complete. The guiding principle throughout is integrity over completeness: when the sources are thin, the system says so and asks the human rather than inventing. The snippets that follow specify the workflow one settled unit of intent at a time.</w:t>
      </w:r>
    </w:p>
    <w:p>
      <w:pPr>
        <w:spacing w:after="100" w:before="240"/>
      </w:pPr>
      <w:r>
        <w:rPr>
          <w:rFonts w:ascii="Roboto" w:cs="Roboto" w:eastAsia="Roboto" w:hAnsi="Roboto"/>
          <w:b/>
          <w:bCs/>
          <w:color w:val="9B2A34"/>
          <w:sz w:val="23"/>
          <w:szCs w:val="23"/>
        </w:rPr>
        <w:t xml:space="preserve">1-1 · Project Space and source selection</w:t>
      </w:r>
    </w:p>
    <w:p>
      <w:pPr>
        <w:spacing w:after="120"/>
      </w:pPr>
      <w:r>
        <w:rPr>
          <w:rFonts w:ascii="Roboto" w:cs="Roboto" w:eastAsia="Roboto" w:hAnsi="Roboto"/>
          <w:color w:val="2A2F38"/>
          <w:sz w:val="21"/>
          <w:szCs w:val="21"/>
        </w:rPr>
        <w:t xml:space="preserve">A user begins by naming a Project Space and choosing which sources to bring into it. Loading is deliberate and user-initiated — the user decides what goes in, nothing is pulled automatically. For this MVP the available sources are a fixed set: local file upload, Google Drive, an internal or shared network folder, clipboard paste, and a GitHub repository. The supported file types are PDF, plain text, Markdown, DOCX, Google Docs, RTF, CSV, and the contents of a GitHub repository, both code and documentation. Other formats — web pages, databases, images, binaries — are out of scope for this round.</w:t>
      </w:r>
    </w:p>
    <w:p>
      <w:pPr>
        <w:spacing w:after="100" w:before="240"/>
      </w:pPr>
      <w:r>
        <w:rPr>
          <w:rFonts w:ascii="Roboto" w:cs="Roboto" w:eastAsia="Roboto" w:hAnsi="Roboto"/>
          <w:b/>
          <w:bCs/>
          <w:color w:val="9B2A34"/>
          <w:sz w:val="23"/>
          <w:szCs w:val="23"/>
        </w:rPr>
        <w:t xml:space="preserve">1-2 · Ingestion and retrievable storage with origin</w:t>
      </w:r>
    </w:p>
    <w:p>
      <w:pPr>
        <w:spacing w:after="120"/>
      </w:pPr>
      <w:r>
        <w:rPr>
          <w:rFonts w:ascii="Roboto" w:cs="Roboto" w:eastAsia="Roboto" w:hAnsi="Roboto"/>
          <w:color w:val="2A2F38"/>
          <w:sz w:val="21"/>
          <w:szCs w:val="21"/>
        </w:rPr>
        <w:t xml:space="preserve">When the user loads the selected sources, the system ingests them on demand and stores their content so that it can later be retrieved by relevance when the Discovery Brief is generated. Every piece of stored content carries a reference back to where it came from. That origin reference is the seed of provenance, and it is not optional: it is captured at the moment of ingestion and travels with the content from then on. The system captures only the source reference needed to prove origin — richer metadata such as authorship or edit history is not part of this round.</w:t>
      </w:r>
    </w:p>
    <w:p>
      <w:pPr>
        <w:spacing w:after="100" w:before="240"/>
      </w:pPr>
      <w:r>
        <w:rPr>
          <w:rFonts w:ascii="Roboto" w:cs="Roboto" w:eastAsia="Roboto" w:hAnsi="Roboto"/>
          <w:b/>
          <w:bCs/>
          <w:color w:val="9B2A34"/>
          <w:sz w:val="23"/>
          <w:szCs w:val="23"/>
        </w:rPr>
        <w:t xml:space="preserve">1-3 · Live overview</w:t>
      </w:r>
    </w:p>
    <w:p>
      <w:pPr>
        <w:spacing w:after="120"/>
      </w:pPr>
      <w:r>
        <w:rPr>
          <w:rFonts w:ascii="Roboto" w:cs="Roboto" w:eastAsia="Roboto" w:hAnsi="Roboto"/>
          <w:color w:val="2A2F38"/>
          <w:sz w:val="21"/>
          <w:szCs w:val="21"/>
        </w:rPr>
        <w:t xml:space="preserve">As each source is ingested, the system refreshes a running overview of what the Project Space now holds, so the user watches the material take shape rather than staring at a progress bar. The overview has two parts: the key themes the system has detected across the loaded material, and a short summary — a paragraph or two — of what the body of sources amounts to so far. Both update with each new source, giving the user an immediate, evolving sense of what they have assembled.</w:t>
      </w:r>
    </w:p>
    <w:p>
      <w:pPr>
        <w:spacing w:after="100" w:before="240"/>
      </w:pPr>
      <w:r>
        <w:rPr>
          <w:rFonts w:ascii="Roboto" w:cs="Roboto" w:eastAsia="Roboto" w:hAnsi="Roboto"/>
          <w:b/>
          <w:bCs/>
          <w:color w:val="9B2A34"/>
          <w:sz w:val="23"/>
          <w:szCs w:val="23"/>
        </w:rPr>
        <w:t xml:space="preserve">1-4 · Coverage indicator</w:t>
      </w:r>
    </w:p>
    <w:p>
      <w:pPr>
        <w:spacing w:after="120"/>
      </w:pPr>
      <w:r>
        <w:rPr>
          <w:rFonts w:ascii="Roboto" w:cs="Roboto" w:eastAsia="Roboto" w:hAnsi="Roboto"/>
          <w:color w:val="2A2F38"/>
          <w:sz w:val="21"/>
          <w:szCs w:val="21"/>
        </w:rPr>
        <w:t xml:space="preserve">Alongside the overview, the system shows a coverage indicator: a qualitative signal of how complete the assembled material is, moving from thin toward rich as sources and answers accumulate. It is deliberately qualitative rather than a precise percentage — its job is to give the user a felt sense of whether there is enough here to generate something worthwhile. The indicator is present in two places: during ingestion, as sources are added, and during the guided questions that follow, so the user can watch the material strengthen as they answer.</w:t>
      </w:r>
    </w:p>
    <w:p>
      <w:pPr>
        <w:spacing w:after="100" w:before="240"/>
      </w:pPr>
      <w:r>
        <w:rPr>
          <w:rFonts w:ascii="Roboto" w:cs="Roboto" w:eastAsia="Roboto" w:hAnsi="Roboto"/>
          <w:b/>
          <w:bCs/>
          <w:color w:val="9B2A34"/>
          <w:sz w:val="23"/>
          <w:szCs w:val="23"/>
        </w:rPr>
        <w:t xml:space="preserve">1-5 · Guided questions to close gaps</w:t>
      </w:r>
    </w:p>
    <w:p>
      <w:pPr>
        <w:spacing w:after="120"/>
      </w:pPr>
      <w:r>
        <w:rPr>
          <w:rFonts w:ascii="Roboto" w:cs="Roboto" w:eastAsia="Roboto" w:hAnsi="Roboto"/>
          <w:color w:val="2A2F38"/>
          <w:sz w:val="21"/>
          <w:szCs w:val="21"/>
        </w:rPr>
        <w:t xml:space="preserve">Before generating anything, the system assesses coverage and, where the sources leave gaps, asks the user a short set of guided questions aimed squarely at what the sources do not cover — typically the audience, the timeline, the measure of success, and the constraints. This is the workflow's central safeguard against generating a confident brief from thin material, and on the kind of incomplete sources most pilots will start with, it is the single biggest determinant of whether the Discovery Brief is any good.</w:t>
      </w:r>
    </w:p>
    <w:p>
      <w:pPr>
        <w:spacing w:after="120"/>
      </w:pPr>
      <w:r>
        <w:rPr>
          <w:rFonts w:ascii="Roboto" w:cs="Roboto" w:eastAsia="Roboto" w:hAnsi="Roboto"/>
          <w:color w:val="2A2F38"/>
          <w:sz w:val="21"/>
          <w:szCs w:val="21"/>
        </w:rPr>
        <w:t xml:space="preserve">The questions must stay light. The overriding design concern is the user's cognitive load: the set should feel quick and easy, not like a drag or an interrogation. Each question offers a few concise options to make answering fast, with a free-text path for anyone who wants to give a fuller answer. Answers are recorded as human-sourced entries — content that the human contributed, with the human as its source — and they raise the coverage the indicator reflects.</w:t>
      </w:r>
    </w:p>
    <w:p>
      <w:pPr>
        <w:spacing w:after="100" w:before="240"/>
      </w:pPr>
      <w:r>
        <w:rPr>
          <w:rFonts w:ascii="Roboto" w:cs="Roboto" w:eastAsia="Roboto" w:hAnsi="Roboto"/>
          <w:b/>
          <w:bCs/>
          <w:color w:val="9B2A34"/>
          <w:sz w:val="23"/>
          <w:szCs w:val="23"/>
        </w:rPr>
        <w:t xml:space="preserve">1-6 · Human-supplied facts as a source</w:t>
      </w:r>
    </w:p>
    <w:p>
      <w:pPr>
        <w:spacing w:after="120"/>
      </w:pPr>
      <w:r>
        <w:rPr>
          <w:rFonts w:ascii="Roboto" w:cs="Roboto" w:eastAsia="Roboto" w:hAnsi="Roboto"/>
          <w:color w:val="2A2F38"/>
          <w:sz w:val="21"/>
          <w:szCs w:val="21"/>
        </w:rPr>
        <w:t xml:space="preserve">Beyond answering the guided questions, the user can supply a missing fact directly, and when they do it is recorded with its own source — the human. This keeps the provenance model honest: a fact the human provided is attributed to the human, exactly as a fact drawn from a document is attributed to that document. Nothing in the Discovery Brief is ever sourceless, whether it came from a file or from the person.</w:t>
      </w:r>
    </w:p>
    <w:p>
      <w:pPr>
        <w:spacing w:after="100" w:before="240"/>
      </w:pPr>
      <w:r>
        <w:rPr>
          <w:rFonts w:ascii="Roboto" w:cs="Roboto" w:eastAsia="Roboto" w:hAnsi="Roboto"/>
          <w:b/>
          <w:bCs/>
          <w:color w:val="9B2A34"/>
          <w:sz w:val="23"/>
          <w:szCs w:val="23"/>
        </w:rPr>
        <w:t xml:space="preserve">1-7 · Discovery Brief generation</w:t>
      </w:r>
    </w:p>
    <w:p>
      <w:pPr>
        <w:spacing w:after="120"/>
      </w:pPr>
      <w:r>
        <w:rPr>
          <w:rFonts w:ascii="Roboto" w:cs="Roboto" w:eastAsia="Roboto" w:hAnsi="Roboto"/>
          <w:color w:val="2A2F38"/>
          <w:sz w:val="21"/>
          <w:szCs w:val="21"/>
        </w:rPr>
        <w:t xml:space="preserve">Once the material and the guided-question answers are in hand, the system assembles the Discovery Brief. The Brief is not monolithic prose; it is composed of snippets, each one a self-contained unit of intent that carries a reference to the source or sources it was drawn from. Where a snippet is synthesized from several sources, it keeps all of them. Provenance is never reduced to a single source and never silently dropped — this is the property the product exists to prove, and the generation step is where it is established for the project's very first snippets.</w:t>
      </w:r>
    </w:p>
    <w:p>
      <w:pPr>
        <w:spacing w:after="100" w:before="240"/>
      </w:pPr>
      <w:r>
        <w:rPr>
          <w:rFonts w:ascii="Roboto" w:cs="Roboto" w:eastAsia="Roboto" w:hAnsi="Roboto"/>
          <w:b/>
          <w:bCs/>
          <w:color w:val="9B2A34"/>
          <w:sz w:val="23"/>
          <w:szCs w:val="23"/>
        </w:rPr>
        <w:t xml:space="preserve">1-8 · Integrity when material is thin</w:t>
      </w:r>
    </w:p>
    <w:p>
      <w:pPr>
        <w:spacing w:after="120"/>
      </w:pPr>
      <w:r>
        <w:rPr>
          <w:rFonts w:ascii="Roboto" w:cs="Roboto" w:eastAsia="Roboto" w:hAnsi="Roboto"/>
          <w:color w:val="2A2F38"/>
          <w:sz w:val="21"/>
          <w:szCs w:val="21"/>
        </w:rPr>
        <w:t xml:space="preserve">When the material is still thin after the guided questions, the system does not paper over the gap by inventing. Instead it flags an explicit assumption where it had to reach beyond the evidence, and it tags output generated from limited material as such, so the human can see exactly where the ground is soft. This is the integrity-over-completeness principle made concrete: thin evidence produces an honest flag, never a confident fabrication.</w:t>
      </w:r>
    </w:p>
    <w:p>
      <w:pPr>
        <w:spacing w:after="100" w:before="240"/>
      </w:pPr>
      <w:r>
        <w:rPr>
          <w:rFonts w:ascii="Roboto" w:cs="Roboto" w:eastAsia="Roboto" w:hAnsi="Roboto"/>
          <w:b/>
          <w:bCs/>
          <w:color w:val="9B2A34"/>
          <w:sz w:val="23"/>
          <w:szCs w:val="23"/>
        </w:rPr>
        <w:t xml:space="preserve">1-9 · Human review, edit, and validation</w:t>
      </w:r>
    </w:p>
    <w:p>
      <w:pPr>
        <w:spacing w:after="120"/>
      </w:pPr>
      <w:r>
        <w:rPr>
          <w:rFonts w:ascii="Roboto" w:cs="Roboto" w:eastAsia="Roboto" w:hAnsi="Roboto"/>
          <w:color w:val="2A2F38"/>
          <w:sz w:val="21"/>
          <w:szCs w:val="21"/>
        </w:rPr>
        <w:t xml:space="preserve">The Discovery Brief is a draft until a human validates it. The user reviews the generated Brief, edits it inline where it needs correction or sharpening, and validates it. Validation is what turns the assembled material into the project's accepted root of intent and the input to the next workflow. The human is the final authority here, as they are throughout the product.</w:t>
      </w:r>
    </w:p>
    <w:p>
      <w:pPr>
        <w:pBdr>
          <w:bottom w:val="single" w:color="2E5AAC" w:sz="6" w:space="6"/>
        </w:pBdr>
        <w:spacing w:after="60" w:before="300"/>
      </w:pPr>
      <w:r>
        <w:rPr>
          <w:rFonts w:ascii="Roboto" w:cs="Roboto" w:eastAsia="Roboto" w:hAnsi="Roboto"/>
          <w:b/>
          <w:bCs/>
          <w:color w:val="2E5AAC"/>
          <w:sz w:val="28"/>
          <w:szCs w:val="28"/>
        </w:rPr>
        <w:t xml:space="preserve">Section 1 · Supplementals</w:t>
      </w:r>
    </w:p>
    <w:p>
      <w:pPr>
        <w:spacing w:after="140"/>
      </w:pPr>
      <w:r>
        <w:rPr>
          <w:rFonts w:ascii="Roboto" w:cs="Roboto" w:eastAsia="Roboto" w:hAnsi="Roboto"/>
          <w:color w:val="2A2F38"/>
          <w:sz w:val="21"/>
          <w:szCs w:val="21"/>
        </w:rPr>
        <w:t xml:space="preserve">Supplemental snippets carry the section’s definitional and structural content — the standing facts a reader needs to interpret the snippets above. They are reviewed and validated like any snippet, but they are not subjects of negotiation: a definition is not a contested intent. In rare cases a supplemental can carry a decision someone disputes (a scope boundary that is really a trust precondition, a success criterion that sets an unmeetable bar, a deferral that forces a later migration) — only then does one rise to an escalation.</w:t>
      </w:r>
    </w:p>
    <w:p>
      <w:pPr>
        <w:spacing w:after="100" w:before="240"/>
      </w:pPr>
      <w:r>
        <w:rPr>
          <w:rFonts w:ascii="Roboto" w:cs="Roboto" w:eastAsia="Roboto" w:hAnsi="Roboto"/>
          <w:b/>
          <w:bCs/>
          <w:color w:val="9B2A34"/>
          <w:sz w:val="23"/>
          <w:szCs w:val="23"/>
        </w:rPr>
        <w:t xml:space="preserve">1s-1 · What a snippet is</w:t>
      </w:r>
    </w:p>
    <w:p>
      <w:pPr>
        <w:spacing w:after="120"/>
      </w:pPr>
      <w:r>
        <w:rPr>
          <w:rFonts w:ascii="Roboto" w:cs="Roboto" w:eastAsia="Roboto" w:hAnsi="Roboto"/>
          <w:color w:val="2A2F38"/>
          <w:sz w:val="21"/>
          <w:szCs w:val="21"/>
        </w:rPr>
        <w:t xml:space="preserve">A snippet is the atomic unit of every blueprint: a single, self-contained unit of intent, sized roughly like a Scrum story — larger than a task, smaller than an epic. It is sized so that it can be authored, traced to its sources, challenged, and ratified on its own. The unit is format-agnostic — the same kind of snippet composes a Discovery Brief, a Scope, a BRD, a PRD, and a Solution Design alike. The Discovery Brief is where a project's first snippets are created, which is why the unit is defined here; every blueprint downstream is an assembly of snippets of this same kind, never monolithic prose.</w:t>
      </w:r>
    </w:p>
    <w:p>
      <w:pPr>
        <w:spacing w:after="100" w:before="240"/>
      </w:pPr>
      <w:r>
        <w:rPr>
          <w:rFonts w:ascii="Roboto" w:cs="Roboto" w:eastAsia="Roboto" w:hAnsi="Roboto"/>
          <w:b/>
          <w:bCs/>
          <w:color w:val="9B2A34"/>
          <w:sz w:val="23"/>
          <w:szCs w:val="23"/>
        </w:rPr>
        <w:t xml:space="preserve">1s-2 · Provenance</w:t>
      </w:r>
    </w:p>
    <w:p>
      <w:pPr>
        <w:spacing w:after="120"/>
      </w:pPr>
      <w:r>
        <w:rPr>
          <w:rFonts w:ascii="Roboto" w:cs="Roboto" w:eastAsia="Roboto" w:hAnsi="Roboto"/>
          <w:color w:val="2A2F38"/>
          <w:sz w:val="21"/>
          <w:szCs w:val="21"/>
        </w:rPr>
        <w:t xml:space="preserve">Each Discovery Brief snippet records the source or sources it was drawn from. A snippet synthesized from several sources keeps all of them; provenance is never reduced to a single source and never silently dropped. At this MVP the relationship is a single link — source to Discovery Brief snippet. The fuller downstream lineage, where intent is traced across every later blueprint, arrives with the later workflows and is described under Beyond the MVP. The design intent is that today's simple source-to-snippet link is a foundation that the fuller lineage extends, not something a later stage has to tear up and replace.</w:t>
      </w:r>
    </w:p>
    <w:p>
      <w:pPr>
        <w:spacing w:after="100" w:before="240"/>
      </w:pPr>
      <w:r>
        <w:rPr>
          <w:rFonts w:ascii="Roboto" w:cs="Roboto" w:eastAsia="Roboto" w:hAnsi="Roboto"/>
          <w:b/>
          <w:bCs/>
          <w:color w:val="9B2A34"/>
          <w:sz w:val="23"/>
          <w:szCs w:val="23"/>
        </w:rPr>
        <w:t xml:space="preserve">1s-6 · Scope Boundary</w:t>
      </w:r>
    </w:p>
    <w:p>
      <w:pPr>
        <w:spacing w:after="120"/>
      </w:pPr>
      <w:r>
        <w:rPr>
          <w:rFonts w:ascii="Roboto" w:cs="Roboto" w:eastAsia="Roboto" w:hAnsi="Roboto"/>
          <w:color w:val="2A2F38"/>
          <w:sz w:val="21"/>
          <w:szCs w:val="21"/>
        </w:rPr>
        <w:t xml:space="preserve">Several capabilities are deliberately out of scope for the MVP. Ingestion is a one-time, deliberate load: there is no continuous or background sync, and a user who changes a source simply re-ingests it. The system captures only the origin reference needed for provenance, not rich metadata like authorship, edit history, or folder structure. There is no source-permission inheritance or access enforcement — the pilot team shares one project and ingests deliberately, so per-source access control waits for a later round. There is no cross-project or cross-program sourcing; a project draws only on what is loaded into it. Retrieval is by relevance only — there is no relationship retrieval and no knowledge graph in this round. The source set is fixed at the five named connectors, with no Slack, Jira, or Confluence and no layered account-to-organization-to-project hub. All downstream blueprint generation — Scope, BRD, PRD, Solution Design, and the Seed Workflow that produces them — is out of scope here. And the exact ingestion, parsing, storage, and retrieval technology is a Solution Design matter, left to the team's research rather than settled in this document.</w:t>
      </w:r>
    </w:p>
    <w:p>
      <w:pPr>
        <w:spacing w:after="100" w:before="240"/>
      </w:pPr>
      <w:r>
        <w:rPr>
          <w:rFonts w:ascii="Roboto" w:cs="Roboto" w:eastAsia="Roboto" w:hAnsi="Roboto"/>
          <w:b/>
          <w:bCs/>
          <w:color w:val="9B2A34"/>
          <w:sz w:val="23"/>
          <w:szCs w:val="23"/>
        </w:rPr>
        <w:t xml:space="preserve">1s-3 · Input and output</w:t>
      </w:r>
    </w:p>
    <w:p>
      <w:pPr>
        <w:spacing w:after="80"/>
      </w:pPr>
      <w:r>
        <w:rPr>
          <w:rFonts w:ascii="Roboto" w:cs="Roboto" w:eastAsia="Roboto" w:hAnsi="Roboto"/>
          <w:b/>
          <w:bCs/>
          <w:color w:val="1F2A44"/>
          <w:sz w:val="21"/>
          <w:szCs w:val="21"/>
        </w:rPr>
        <w:t xml:space="preserve">Input.  </w:t>
      </w:r>
      <w:r>
        <w:rPr>
          <w:rFonts w:ascii="Roboto" w:cs="Roboto" w:eastAsia="Roboto" w:hAnsi="Roboto"/>
          <w:color w:val="2A2F38"/>
          <w:sz w:val="21"/>
          <w:szCs w:val="21"/>
        </w:rPr>
        <w:t xml:space="preserve">A small set of project sources the pilot team selects and loads from the MVP source set — real working material such as specs, notes, code, and threads exported to a supported file type. It is heterogeneous and often incomplete; the workflow assumes neither clean nor complete coverage.</w:t>
      </w:r>
    </w:p>
    <w:p>
      <w:pPr>
        <w:spacing w:after="80"/>
      </w:pPr>
      <w:r>
        <w:rPr>
          <w:rFonts w:ascii="Roboto" w:cs="Roboto" w:eastAsia="Roboto" w:hAnsi="Roboto"/>
          <w:b/>
          <w:bCs/>
          <w:color w:val="1F2A44"/>
          <w:sz w:val="21"/>
          <w:szCs w:val="21"/>
        </w:rPr>
        <w:t xml:space="preserve">Output.  </w:t>
      </w:r>
      <w:r>
        <w:rPr>
          <w:rFonts w:ascii="Roboto" w:cs="Roboto" w:eastAsia="Roboto" w:hAnsi="Roboto"/>
          <w:color w:val="2A2F38"/>
          <w:sz w:val="21"/>
          <w:szCs w:val="21"/>
        </w:rPr>
        <w:t xml:space="preserve">Two things. First, a populated Project Space: the ingested content, retrievable, each entry carrying a reference to where it came from. Second, a validated Discovery Brief: an assembly of snippets, each tracing to its source or sources — the root of the project's intent lineage and the input to the Discovery Brief to BRD run that follows.</w:t>
      </w:r>
    </w:p>
    <w:p>
      <w:pPr>
        <w:spacing w:after="100" w:before="240"/>
      </w:pPr>
      <w:r>
        <w:rPr>
          <w:rFonts w:ascii="Roboto" w:cs="Roboto" w:eastAsia="Roboto" w:hAnsi="Roboto"/>
          <w:b/>
          <w:bCs/>
          <w:color w:val="9B2A34"/>
          <w:sz w:val="23"/>
          <w:szCs w:val="23"/>
        </w:rPr>
        <w:t xml:space="preserve">1s-4 · Non-functional requirements</w:t>
      </w:r>
    </w:p>
    <w:p>
      <w:pPr>
        <w:pStyle w:val="ListParagraph"/>
        <w:numPr>
          <w:ilvl w:val="0"/>
          <w:numId w:val="2"/>
        </w:numPr>
        <w:spacing w:after="60"/>
      </w:pPr>
      <w:r>
        <w:rPr>
          <w:rFonts w:ascii="Roboto" w:cs="Roboto" w:eastAsia="Roboto" w:hAnsi="Roboto"/>
          <w:b/>
          <w:bCs/>
          <w:color w:val="2A2F38"/>
          <w:sz w:val="21"/>
          <w:szCs w:val="21"/>
        </w:rPr>
        <w:t xml:space="preserve">Integrity over completeness.</w:t>
      </w:r>
      <w:r>
        <w:rPr>
          <w:rFonts w:ascii="Roboto" w:cs="Roboto" w:eastAsia="Roboto" w:hAnsi="Roboto"/>
          <w:color w:val="2A2F38"/>
          <w:sz w:val="21"/>
          <w:szCs w:val="21"/>
        </w:rPr>
        <w:t xml:space="preserve"> The system never invents a source or a fact; thin evidence means asking, not guessing.</w:t>
      </w:r>
    </w:p>
    <w:p>
      <w:pPr>
        <w:pStyle w:val="ListParagraph"/>
        <w:numPr>
          <w:ilvl w:val="0"/>
          <w:numId w:val="2"/>
        </w:numPr>
        <w:spacing w:after="60"/>
      </w:pPr>
      <w:r>
        <w:rPr>
          <w:rFonts w:ascii="Roboto" w:cs="Roboto" w:eastAsia="Roboto" w:hAnsi="Roboto"/>
          <w:b/>
          <w:bCs/>
          <w:color w:val="2A2F38"/>
          <w:sz w:val="21"/>
          <w:szCs w:val="21"/>
        </w:rPr>
        <w:t xml:space="preserve">Traceability.</w:t>
      </w:r>
      <w:r>
        <w:rPr>
          <w:rFonts w:ascii="Roboto" w:cs="Roboto" w:eastAsia="Roboto" w:hAnsi="Roboto"/>
          <w:color w:val="2A2F38"/>
          <w:sz w:val="21"/>
          <w:szCs w:val="21"/>
        </w:rPr>
        <w:t xml:space="preserve"> Every Discovery Brief snippet resolves to the source or sources it came from.</w:t>
      </w:r>
    </w:p>
    <w:p>
      <w:pPr>
        <w:pStyle w:val="ListParagraph"/>
        <w:numPr>
          <w:ilvl w:val="0"/>
          <w:numId w:val="2"/>
        </w:numPr>
        <w:spacing w:after="60"/>
      </w:pPr>
      <w:r>
        <w:rPr>
          <w:rFonts w:ascii="Roboto" w:cs="Roboto" w:eastAsia="Roboto" w:hAnsi="Roboto"/>
          <w:b/>
          <w:bCs/>
          <w:color w:val="2A2F38"/>
          <w:sz w:val="21"/>
          <w:szCs w:val="21"/>
        </w:rPr>
        <w:t xml:space="preserve">Small-team reality.</w:t>
      </w:r>
      <w:r>
        <w:rPr>
          <w:rFonts w:ascii="Roboto" w:cs="Roboto" w:eastAsia="Roboto" w:hAnsi="Roboto"/>
          <w:color w:val="2A2F38"/>
          <w:sz w:val="21"/>
          <w:szCs w:val="21"/>
        </w:rPr>
        <w:t xml:space="preserve"> Built for a handful of deliberate pilot users on one shared project — not multi-tenant, not access-segmented, not enterprise scale.</w:t>
      </w:r>
    </w:p>
    <w:p>
      <w:pPr>
        <w:pStyle w:val="ListParagraph"/>
        <w:numPr>
          <w:ilvl w:val="0"/>
          <w:numId w:val="2"/>
        </w:numPr>
        <w:spacing w:after="60"/>
      </w:pPr>
      <w:r>
        <w:rPr>
          <w:rFonts w:ascii="Roboto" w:cs="Roboto" w:eastAsia="Roboto" w:hAnsi="Roboto"/>
          <w:b/>
          <w:bCs/>
          <w:color w:val="2A2F38"/>
          <w:sz w:val="21"/>
          <w:szCs w:val="21"/>
        </w:rPr>
        <w:t xml:space="preserve">Buildable in the window.</w:t>
      </w:r>
      <w:r>
        <w:rPr>
          <w:rFonts w:ascii="Roboto" w:cs="Roboto" w:eastAsia="Roboto" w:hAnsi="Roboto"/>
          <w:color w:val="2A2F38"/>
          <w:sz w:val="21"/>
          <w:szCs w:val="21"/>
        </w:rPr>
        <w:t xml:space="preserve"> Anything that endangers delivery in the MVP window belongs under Beyond the MVP, not here.</w:t>
      </w:r>
    </w:p>
    <w:p>
      <w:pPr>
        <w:spacing w:after="100" w:before="240"/>
      </w:pPr>
      <w:r>
        <w:rPr>
          <w:rFonts w:ascii="Roboto" w:cs="Roboto" w:eastAsia="Roboto" w:hAnsi="Roboto"/>
          <w:b/>
          <w:bCs/>
          <w:color w:val="9B2A34"/>
          <w:sz w:val="23"/>
          <w:szCs w:val="23"/>
        </w:rPr>
        <w:t xml:space="preserve">1s-5 · Success criteria</w:t>
      </w:r>
    </w:p>
    <w:p>
      <w:pPr>
        <w:spacing w:after="120"/>
      </w:pPr>
      <w:r>
        <w:rPr>
          <w:rFonts w:ascii="Roboto" w:cs="Roboto" w:eastAsia="Roboto" w:hAnsi="Roboto"/>
          <w:color w:val="2A2F38"/>
          <w:sz w:val="21"/>
          <w:szCs w:val="21"/>
        </w:rPr>
        <w:t xml:space="preserve">Given a real, messy set of project sources loaded by a pilot user, the workflow can ingest them; surface what is and is not covered and prompt the user, through the guided questions, for more input when the material is thin or missing something critical; generate a Discovery Brief whose every snippet traces to its sources; flag where the material was thin rather than guess; and let the human validate the result.</w:t>
      </w:r>
    </w:p>
    <w:p>
      <w:pPr>
        <w:spacing w:after="100" w:before="240"/>
      </w:pPr>
      <w:r>
        <w:rPr>
          <w:rFonts w:ascii="Roboto" w:cs="Roboto" w:eastAsia="Roboto" w:hAnsi="Roboto"/>
          <w:b/>
          <w:bCs/>
          <w:color w:val="9B2A34"/>
          <w:sz w:val="23"/>
          <w:szCs w:val="23"/>
        </w:rPr>
        <w:t xml:space="preserve">1s-7 · Beyond the MVP</w:t>
      </w:r>
    </w:p>
    <w:p>
      <w:pPr>
        <w:spacing w:after="120"/>
      </w:pPr>
      <w:r>
        <w:rPr>
          <w:rFonts w:ascii="Roboto" w:cs="Roboto" w:eastAsia="Roboto" w:hAnsi="Roboto"/>
          <w:color w:val="2A2F38"/>
          <w:sz w:val="21"/>
          <w:szCs w:val="21"/>
        </w:rPr>
        <w:t xml:space="preserve">These belong to the full product, not this build. They are listed so that the choices made now do not preclude them — not so that they are built today.</w:t>
      </w:r>
    </w:p>
    <w:p>
      <w:pPr>
        <w:pStyle w:val="ListParagraph"/>
        <w:numPr>
          <w:ilvl w:val="0"/>
          <w:numId w:val="2"/>
        </w:numPr>
        <w:spacing w:after="60"/>
      </w:pPr>
      <w:r>
        <w:rPr>
          <w:rFonts w:ascii="Roboto" w:cs="Roboto" w:eastAsia="Roboto" w:hAnsi="Roboto"/>
          <w:b/>
          <w:bCs/>
          <w:color w:val="2A2F38"/>
          <w:sz w:val="21"/>
          <w:szCs w:val="21"/>
        </w:rPr>
        <w:t xml:space="preserve">Continuous freshness</w:t>
      </w:r>
      <w:r>
        <w:rPr>
          <w:rFonts w:ascii="Roboto" w:cs="Roboto" w:eastAsia="Roboto" w:hAnsi="Roboto"/>
          <w:color w:val="2A2F38"/>
          <w:sz w:val="21"/>
          <w:szCs w:val="21"/>
        </w:rPr>
        <w:t xml:space="preserve"> — background sync as sources change.</w:t>
      </w:r>
    </w:p>
    <w:p>
      <w:pPr>
        <w:pStyle w:val="ListParagraph"/>
        <w:numPr>
          <w:ilvl w:val="0"/>
          <w:numId w:val="2"/>
        </w:numPr>
        <w:spacing w:after="60"/>
      </w:pPr>
      <w:r>
        <w:rPr>
          <w:rFonts w:ascii="Roboto" w:cs="Roboto" w:eastAsia="Roboto" w:hAnsi="Roboto"/>
          <w:b/>
          <w:bCs/>
          <w:color w:val="2A2F38"/>
          <w:sz w:val="21"/>
          <w:szCs w:val="21"/>
        </w:rPr>
        <w:t xml:space="preserve">Rich metadata</w:t>
      </w:r>
      <w:r>
        <w:rPr>
          <w:rFonts w:ascii="Roboto" w:cs="Roboto" w:eastAsia="Roboto" w:hAnsi="Roboto"/>
          <w:color w:val="2A2F38"/>
          <w:sz w:val="21"/>
          <w:szCs w:val="21"/>
        </w:rPr>
        <w:t xml:space="preserve"> — author, edit history, folder or location, type.</w:t>
      </w:r>
    </w:p>
    <w:p>
      <w:pPr>
        <w:pStyle w:val="ListParagraph"/>
        <w:numPr>
          <w:ilvl w:val="0"/>
          <w:numId w:val="2"/>
        </w:numPr>
        <w:spacing w:after="60"/>
      </w:pPr>
      <w:r>
        <w:rPr>
          <w:rFonts w:ascii="Roboto" w:cs="Roboto" w:eastAsia="Roboto" w:hAnsi="Roboto"/>
          <w:b/>
          <w:bCs/>
          <w:color w:val="2A2F38"/>
          <w:sz w:val="21"/>
          <w:szCs w:val="21"/>
        </w:rPr>
        <w:t xml:space="preserve">Access control</w:t>
      </w:r>
      <w:r>
        <w:rPr>
          <w:rFonts w:ascii="Roboto" w:cs="Roboto" w:eastAsia="Roboto" w:hAnsi="Roboto"/>
          <w:color w:val="2A2F38"/>
          <w:sz w:val="21"/>
          <w:szCs w:val="21"/>
        </w:rPr>
        <w:t xml:space="preserve"> — source-permission inheritance and retrieval-time enforcement, which is the basis of trust for any team beyond the pilot.</w:t>
      </w:r>
    </w:p>
    <w:p>
      <w:pPr>
        <w:pStyle w:val="ListParagraph"/>
        <w:numPr>
          <w:ilvl w:val="0"/>
          <w:numId w:val="2"/>
        </w:numPr>
        <w:spacing w:after="60"/>
      </w:pPr>
      <w:r>
        <w:rPr>
          <w:rFonts w:ascii="Roboto" w:cs="Roboto" w:eastAsia="Roboto" w:hAnsi="Roboto"/>
          <w:b/>
          <w:bCs/>
          <w:color w:val="2A2F38"/>
          <w:sz w:val="21"/>
          <w:szCs w:val="21"/>
        </w:rPr>
        <w:t xml:space="preserve">Cross-project and cross-program sourcing with isolation</w:t>
      </w:r>
      <w:r>
        <w:rPr>
          <w:rFonts w:ascii="Roboto" w:cs="Roboto" w:eastAsia="Roboto" w:hAnsi="Roboto"/>
          <w:color w:val="2A2F38"/>
          <w:sz w:val="21"/>
          <w:szCs w:val="21"/>
        </w:rPr>
        <w:t xml:space="preserve"> — the broader Knowledge Hub itself as a source for new projects, with strict need-to-know boundaries, so that (for example) a vendor-onboarding project cannot reach another team's salary data. The design note here matters: do not bake single-project assumptions so deep that adding isolation later means a rewrite.</w:t>
      </w:r>
    </w:p>
    <w:p>
      <w:pPr>
        <w:pStyle w:val="ListParagraph"/>
        <w:numPr>
          <w:ilvl w:val="0"/>
          <w:numId w:val="2"/>
        </w:numPr>
        <w:spacing w:after="60"/>
      </w:pPr>
      <w:r>
        <w:rPr>
          <w:rFonts w:ascii="Roboto" w:cs="Roboto" w:eastAsia="Roboto" w:hAnsi="Roboto"/>
          <w:b/>
          <w:bCs/>
          <w:color w:val="2A2F38"/>
          <w:sz w:val="21"/>
          <w:szCs w:val="21"/>
        </w:rPr>
        <w:t xml:space="preserve">Relationship retrieval and a knowledge graph</w:t>
      </w:r>
      <w:r>
        <w:rPr>
          <w:rFonts w:ascii="Roboto" w:cs="Roboto" w:eastAsia="Roboto" w:hAnsi="Roboto"/>
          <w:color w:val="2A2F38"/>
          <w:sz w:val="21"/>
          <w:szCs w:val="21"/>
        </w:rPr>
        <w:t xml:space="preserve"> — what is connected to this, not only what is similar to it.</w:t>
      </w:r>
    </w:p>
    <w:p>
      <w:pPr>
        <w:pStyle w:val="ListParagraph"/>
        <w:numPr>
          <w:ilvl w:val="0"/>
          <w:numId w:val="2"/>
        </w:numPr>
        <w:spacing w:after="60"/>
      </w:pPr>
      <w:r>
        <w:rPr>
          <w:rFonts w:ascii="Roboto" w:cs="Roboto" w:eastAsia="Roboto" w:hAnsi="Roboto"/>
          <w:b/>
          <w:bCs/>
          <w:color w:val="2A2F38"/>
          <w:sz w:val="21"/>
          <w:szCs w:val="21"/>
        </w:rPr>
        <w:t xml:space="preserve">Broader connectors and the layered hub</w:t>
      </w:r>
      <w:r>
        <w:rPr>
          <w:rFonts w:ascii="Roboto" w:cs="Roboto" w:eastAsia="Roboto" w:hAnsi="Roboto"/>
          <w:color w:val="2A2F38"/>
          <w:sz w:val="21"/>
          <w:szCs w:val="21"/>
        </w:rPr>
        <w:t xml:space="preserve"> — Slack, Jira, Confluence and the like, and account-to-organization-to-project layering.</w:t>
      </w:r>
    </w:p>
    <w:p>
      <w:pPr>
        <w:pStyle w:val="ListParagraph"/>
        <w:numPr>
          <w:ilvl w:val="0"/>
          <w:numId w:val="2"/>
        </w:numPr>
        <w:spacing w:after="60"/>
      </w:pPr>
      <w:r>
        <w:rPr>
          <w:rFonts w:ascii="Roboto" w:cs="Roboto" w:eastAsia="Roboto" w:hAnsi="Roboto"/>
          <w:b/>
          <w:bCs/>
          <w:color w:val="2A2F38"/>
          <w:sz w:val="21"/>
          <w:szCs w:val="21"/>
        </w:rPr>
        <w:t xml:space="preserve">Full lineage</w:t>
      </w:r>
      <w:r>
        <w:rPr>
          <w:rFonts w:ascii="Roboto" w:cs="Roboto" w:eastAsia="Roboto" w:hAnsi="Roboto"/>
          <w:color w:val="2A2F38"/>
          <w:sz w:val="21"/>
          <w:szCs w:val="21"/>
        </w:rPr>
        <w:t xml:space="preserve"> — many-to-many provenance across every downstream link, with derivation and revision kept distinct and history never overwritten. The design note: keep the MVP's source-to-snippet provenance as a list that can hold several sources, rather than a single-parent field, so that full lineage is an extension rather than a migration.</w:t>
      </w:r>
    </w:p>
    <w:p>
      <w:pPr>
        <w:spacing w:after="100" w:before="240"/>
      </w:pPr>
      <w:r>
        <w:rPr>
          <w:rFonts w:ascii="Roboto" w:cs="Roboto" w:eastAsia="Roboto" w:hAnsi="Roboto"/>
          <w:b/>
          <w:bCs/>
          <w:color w:val="9B2A34"/>
          <w:sz w:val="23"/>
          <w:szCs w:val="23"/>
        </w:rPr>
        <w:t xml:space="preserve">1s-8 · Open questions</w:t>
      </w:r>
    </w:p>
    <w:p>
      <w:pPr>
        <w:pStyle w:val="ListParagraph"/>
        <w:numPr>
          <w:ilvl w:val="0"/>
          <w:numId w:val="2"/>
        </w:numPr>
        <w:spacing w:after="60"/>
      </w:pPr>
      <w:r>
        <w:rPr>
          <w:rFonts w:ascii="Roboto" w:cs="Roboto" w:eastAsia="Roboto" w:hAnsi="Roboto"/>
          <w:color w:val="2A2F38"/>
          <w:sz w:val="21"/>
          <w:szCs w:val="21"/>
        </w:rPr>
        <w:t xml:space="preserve">Sequencing within the MVP source set — if the window is tight, which sources land first. Local upload, clipboard, and GitHub are the simplest to support.</w:t>
      </w:r>
    </w:p>
    <w:sectPr>
      <w:pgSz w:w="12240" w:h="15840" w:orient="portrait"/>
      <w:pgMar w:top="1180" w:right="1280" w:bottom="11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2026-06-13T19:00:03.865Z</dcterms:created>
  <dcterms:modified xsi:type="dcterms:W3CDTF">2026-06-13T19:00:03.880Z</dcterms:modified>
</cp:coreProperties>
</file>

<file path=docProps/custom.xml><?xml version="1.0" encoding="utf-8"?>
<Properties xmlns="http://schemas.openxmlformats.org/officeDocument/2006/custom-properties" xmlns:vt="http://schemas.openxmlformats.org/officeDocument/2006/docPropsVTypes"/>
</file>