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
      </w:pPr>
      <w:r>
        <w:rPr>
          <w:rFonts w:ascii="Roboto" w:cs="Roboto" w:eastAsia="Roboto" w:hAnsi="Roboto"/>
          <w:b/>
          <w:bCs/>
          <w:color w:val="1F2A44"/>
          <w:sz w:val="36"/>
          <w:szCs w:val="36"/>
        </w:rPr>
        <w:t xml:space="preserve">Discovery — Product Requirements</w:t>
      </w:r>
    </w:p>
    <w:p>
      <w:pPr>
        <w:spacing w:after="60"/>
      </w:pPr>
      <w:r>
        <w:rPr>
          <w:rFonts w:ascii="Roboto Mono" w:cs="Roboto Mono" w:eastAsia="Roboto Mono" w:hAnsi="Roboto Mono"/>
          <w:color w:val="5A6472"/>
          <w:sz w:val="18"/>
          <w:szCs w:val="18"/>
        </w:rPr>
        <w:t xml:space="preserve">Owner: Umakant Sista   ·   Version 1.0 (MVP scope)   ·   June 2026   ·   Derived from: Discovery BRD v2.1</w:t>
      </w:r>
    </w:p>
    <w:p>
      <w:pPr>
        <w:spacing w:after="160" w:before="120"/>
      </w:pPr>
      <w:r>
        <w:rPr>
          <w:rFonts w:ascii="Roboto" w:cs="Roboto" w:eastAsia="Roboto" w:hAnsi="Roboto"/>
          <w:color w:val="2A2F38"/>
          <w:sz w:val="21"/>
          <w:szCs w:val="21"/>
        </w:rPr>
        <w:t xml:space="preserve">The product requirements for Discovery, derived from the Discovery BRD. This version specifies Section 1, the Cold Start, as the user-facing product: the screens, behaviors, states, and provenance the user experiences. Each PRD snippet traces to the BRD snippet it serves. Further Discovery sections will be added as the BRD grows.</w:t>
      </w:r>
    </w:p>
    <w:p>
      <w:pPr>
        <w:pBdr>
          <w:bottom w:val="single" w:color="2E5AAC" w:sz="6" w:space="6"/>
        </w:pBdr>
        <w:spacing w:after="60" w:before="300"/>
      </w:pPr>
      <w:r>
        <w:rPr>
          <w:rFonts w:ascii="Roboto" w:cs="Roboto" w:eastAsia="Roboto" w:hAnsi="Roboto"/>
          <w:b/>
          <w:bCs/>
          <w:color w:val="2E5AAC"/>
          <w:sz w:val="28"/>
          <w:szCs w:val="28"/>
        </w:rPr>
        <w:t xml:space="preserve">Section 1 · Cold Start</w:t>
      </w:r>
    </w:p>
    <w:p>
      <w:pPr>
        <w:spacing w:after="80" w:before="240"/>
      </w:pPr>
      <w:r>
        <w:rPr>
          <w:rFonts w:ascii="Roboto" w:cs="Roboto" w:eastAsia="Roboto" w:hAnsi="Roboto"/>
          <w:b/>
          <w:bCs/>
          <w:color w:val="9B2A34"/>
          <w:sz w:val="23"/>
          <w:szCs w:val="23"/>
        </w:rPr>
        <w:t xml:space="preserve">1-0 · Discovery Run: Section Intro</w:t>
      </w:r>
    </w:p>
    <w:p>
      <w:pPr>
        <w:spacing w:after="120"/>
      </w:pPr>
      <w:r>
        <w:rPr>
          <w:rFonts w:ascii="Roboto" w:cs="Roboto" w:eastAsia="Roboto" w:hAnsi="Roboto"/>
          <w:color w:val="2A2F38"/>
          <w:sz w:val="21"/>
          <w:szCs w:val="21"/>
        </w:rPr>
        <w:t xml:space="preserve">The Discovery Run turns a handful of loaded sources into a Discovery Brief the team can trust. The user names a project space, brings in their material — files, documents, code, notes — and watches the picture build as each source lands: the themes it covers, a short running summary, and a sense of how complete the coverage is. Before anything is generated, a short set of guided questions targets the gaps the sources leave open. The system then generates the Brief — snippets, each carrying its source — for the user to review, edit, and validate. Two promises shape the experience: nothing is ever sourceless, and when material is thin the system says so rather than inventing.</w:t>
      </w:r>
    </w:p>
    <w:p>
      <w:pPr>
        <w:spacing w:after="160"/>
      </w:pPr>
      <w:r>
        <w:rPr>
          <w:rFonts w:ascii="Roboto Mono" w:cs="Roboto Mono" w:eastAsia="Roboto Mono" w:hAnsi="Roboto Mono"/>
          <w:color w:val="5A6472"/>
          <w:sz w:val="17"/>
          <w:szCs w:val="17"/>
        </w:rPr>
        <w:t xml:space="preserve">src: BRD 1-0</w:t>
      </w:r>
    </w:p>
    <w:p>
      <w:pPr>
        <w:spacing w:after="80" w:before="240"/>
      </w:pPr>
      <w:r>
        <w:rPr>
          <w:rFonts w:ascii="Roboto" w:cs="Roboto" w:eastAsia="Roboto" w:hAnsi="Roboto"/>
          <w:b/>
          <w:bCs/>
          <w:color w:val="9B2A34"/>
          <w:sz w:val="23"/>
          <w:szCs w:val="23"/>
        </w:rPr>
        <w:t xml:space="preserve">1-1a · Name and create the Project Space</w:t>
      </w:r>
    </w:p>
    <w:p>
      <w:pPr>
        <w:spacing w:after="120"/>
      </w:pPr>
      <w:r>
        <w:rPr>
          <w:rFonts w:ascii="Roboto" w:cs="Roboto" w:eastAsia="Roboto" w:hAnsi="Roboto"/>
          <w:color w:val="2A2F38"/>
          <w:sz w:val="21"/>
          <w:szCs w:val="21"/>
        </w:rPr>
        <w:t xml:space="preserve">A Discovery Run begins with the user naming a new Project Space. The name is required and unique within the team's projects; an empty or duplicate name blocks creation with an inline message. On creation, the user lands in an empty Project Space prompting them to add a first source.</w:t>
      </w:r>
    </w:p>
    <w:p>
      <w:pPr>
        <w:spacing w:after="160"/>
      </w:pPr>
      <w:r>
        <w:rPr>
          <w:rFonts w:ascii="Roboto Mono" w:cs="Roboto Mono" w:eastAsia="Roboto Mono" w:hAnsi="Roboto Mono"/>
          <w:color w:val="5A6472"/>
          <w:sz w:val="17"/>
          <w:szCs w:val="17"/>
        </w:rPr>
        <w:t xml:space="preserve">src: BRD 1-1</w:t>
      </w:r>
    </w:p>
    <w:p>
      <w:pPr>
        <w:spacing w:after="80" w:before="240"/>
      </w:pPr>
      <w:r>
        <w:rPr>
          <w:rFonts w:ascii="Roboto" w:cs="Roboto" w:eastAsia="Roboto" w:hAnsi="Roboto"/>
          <w:b/>
          <w:bCs/>
          <w:color w:val="9B2A34"/>
          <w:sz w:val="23"/>
          <w:szCs w:val="23"/>
        </w:rPr>
        <w:t xml:space="preserve">1-1b · Connect a source and select content</w:t>
      </w:r>
    </w:p>
    <w:p>
      <w:pPr>
        <w:spacing w:after="120"/>
      </w:pPr>
      <w:r>
        <w:rPr>
          <w:rFonts w:ascii="Roboto" w:cs="Roboto" w:eastAsia="Roboto" w:hAnsi="Roboto"/>
          <w:color w:val="2A2F38"/>
          <w:sz w:val="21"/>
          <w:szCs w:val="21"/>
        </w:rPr>
        <w:t xml:space="preserve">The user adds material through one of three source groups, each with its own selection experience. A picker modal handles file sources — the user chooses local upload, Google Drive, or a shared network folder, then selects files within it, with unsupported file types greyed and unselectable. A paste box takes direct text from the clipboard or a local file, accepting only .txt and .md. GitHub is its own group, pointed at a repository. Groups may be used repeatedly and in any combination.</w:t>
      </w:r>
    </w:p>
    <w:p>
      <w:pPr>
        <w:spacing w:after="160"/>
      </w:pPr>
      <w:r>
        <w:rPr>
          <w:rFonts w:ascii="Roboto Mono" w:cs="Roboto Mono" w:eastAsia="Roboto Mono" w:hAnsi="Roboto Mono"/>
          <w:color w:val="5A6472"/>
          <w:sz w:val="17"/>
          <w:szCs w:val="17"/>
        </w:rPr>
        <w:t xml:space="preserve">src: BRD 1-1</w:t>
      </w:r>
    </w:p>
    <w:p>
      <w:pPr>
        <w:spacing w:after="80" w:before="240"/>
      </w:pPr>
      <w:r>
        <w:rPr>
          <w:rFonts w:ascii="Roboto" w:cs="Roboto" w:eastAsia="Roboto" w:hAnsi="Roboto"/>
          <w:b/>
          <w:bCs/>
          <w:color w:val="9B2A34"/>
          <w:sz w:val="23"/>
          <w:szCs w:val="23"/>
        </w:rPr>
        <w:t xml:space="preserve">1-1c · Stage and load the selected sources</w:t>
      </w:r>
    </w:p>
    <w:p>
      <w:pPr>
        <w:spacing w:after="120"/>
      </w:pPr>
      <w:r>
        <w:rPr>
          <w:rFonts w:ascii="Roboto" w:cs="Roboto" w:eastAsia="Roboto" w:hAnsi="Roboto"/>
          <w:color w:val="2A2F38"/>
          <w:sz w:val="21"/>
          <w:szCs w:val="21"/>
        </w:rPr>
        <w:t xml:space="preserve">Selected content is staged into a visible list — what is queued, with its source — before anything commits, and the user triggers the load deliberately. Ingestion runs on partial-success terms: sources that succeed land in the Project Space; any that fail are flagged individually with a reason and a retry option, without holding back the rest.</w:t>
      </w:r>
    </w:p>
    <w:p>
      <w:pPr>
        <w:spacing w:after="160"/>
      </w:pPr>
      <w:r>
        <w:rPr>
          <w:rFonts w:ascii="Roboto Mono" w:cs="Roboto Mono" w:eastAsia="Roboto Mono" w:hAnsi="Roboto Mono"/>
          <w:color w:val="5A6472"/>
          <w:sz w:val="17"/>
          <w:szCs w:val="17"/>
        </w:rPr>
        <w:t xml:space="preserve">src: BRD 1-1</w:t>
      </w:r>
    </w:p>
    <w:p>
      <w:pPr>
        <w:spacing w:after="80" w:before="240"/>
      </w:pPr>
      <w:r>
        <w:rPr>
          <w:rFonts w:ascii="Roboto" w:cs="Roboto" w:eastAsia="Roboto" w:hAnsi="Roboto"/>
          <w:b/>
          <w:bCs/>
          <w:color w:val="9B2A34"/>
          <w:sz w:val="23"/>
          <w:szCs w:val="23"/>
        </w:rPr>
        <w:t xml:space="preserve">1-2 · Ingested sources, visible with their origin</w:t>
      </w:r>
    </w:p>
    <w:p>
      <w:pPr>
        <w:spacing w:after="120"/>
      </w:pPr>
      <w:r>
        <w:rPr>
          <w:rFonts w:ascii="Roboto" w:cs="Roboto" w:eastAsia="Roboto" w:hAnsi="Roboto"/>
          <w:color w:val="2A2F38"/>
          <w:sz w:val="21"/>
          <w:szCs w:val="21"/>
        </w:rPr>
        <w:t xml:space="preserve">Loaded sources populate the Project Space as a list, each entry showing its name and origin — “Q3-plan.pdf · local upload,” “checkout-service · GitHub.” Origin is captured at ingestion and stays attached from then on, so provenance is visible before any brief is generated. The list is the user's running record of what the project holds.</w:t>
      </w:r>
    </w:p>
    <w:p>
      <w:pPr>
        <w:spacing w:after="160"/>
      </w:pPr>
      <w:r>
        <w:rPr>
          <w:rFonts w:ascii="Roboto Mono" w:cs="Roboto Mono" w:eastAsia="Roboto Mono" w:hAnsi="Roboto Mono"/>
          <w:color w:val="5A6472"/>
          <w:sz w:val="17"/>
          <w:szCs w:val="17"/>
        </w:rPr>
        <w:t xml:space="preserve">src: BRD 1-2</w:t>
      </w:r>
    </w:p>
    <w:p>
      <w:pPr>
        <w:spacing w:after="80" w:before="240"/>
      </w:pPr>
      <w:r>
        <w:rPr>
          <w:rFonts w:ascii="Roboto" w:cs="Roboto" w:eastAsia="Roboto" w:hAnsi="Roboto"/>
          <w:b/>
          <w:bCs/>
          <w:color w:val="9B2A34"/>
          <w:sz w:val="23"/>
          <w:szCs w:val="23"/>
        </w:rPr>
        <w:t xml:space="preserve">1-3 · Live overview as the material takes shape</w:t>
      </w:r>
    </w:p>
    <w:p>
      <w:pPr>
        <w:spacing w:after="120"/>
      </w:pPr>
      <w:r>
        <w:rPr>
          <w:rFonts w:ascii="Roboto" w:cs="Roboto" w:eastAsia="Roboto" w:hAnsi="Roboto"/>
          <w:color w:val="2A2F38"/>
          <w:sz w:val="21"/>
          <w:szCs w:val="21"/>
        </w:rPr>
        <w:t xml:space="preserve">As each source is ingested, the Project Space shows a live overview of what it holds: the key themes detected and a short rolling summary, both refreshing with every source. Each theme carries a quiet, recessed source attribution that never competes with the content. The attribution opens a compact modal with the source's title and the passage the theme drew from; where a theme draws on several sources, the others appear as links, and selecting one swaps the passage below — tracing any theme to any origin, one at a time.</w:t>
      </w:r>
    </w:p>
    <w:p>
      <w:pPr>
        <w:spacing w:after="160"/>
      </w:pPr>
      <w:r>
        <w:rPr>
          <w:rFonts w:ascii="Roboto Mono" w:cs="Roboto Mono" w:eastAsia="Roboto Mono" w:hAnsi="Roboto Mono"/>
          <w:color w:val="5A6472"/>
          <w:sz w:val="17"/>
          <w:szCs w:val="17"/>
        </w:rPr>
        <w:t xml:space="preserve">src: BRD 1-3</w:t>
      </w:r>
    </w:p>
    <w:p>
      <w:pPr>
        <w:spacing w:after="80" w:before="240"/>
      </w:pPr>
      <w:r>
        <w:rPr>
          <w:rFonts w:ascii="Roboto" w:cs="Roboto" w:eastAsia="Roboto" w:hAnsi="Roboto"/>
          <w:b/>
          <w:bCs/>
          <w:color w:val="9B2A34"/>
          <w:sz w:val="23"/>
          <w:szCs w:val="23"/>
        </w:rPr>
        <w:t xml:space="preserve">1-4 · Coverage indicator</w:t>
      </w:r>
    </w:p>
    <w:p>
      <w:pPr>
        <w:spacing w:after="120"/>
      </w:pPr>
      <w:r>
        <w:rPr>
          <w:rFonts w:ascii="Roboto" w:cs="Roboto" w:eastAsia="Roboto" w:hAnsi="Roboto"/>
          <w:color w:val="2A2F38"/>
          <w:sz w:val="21"/>
          <w:szCs w:val="21"/>
        </w:rPr>
        <w:t xml:space="preserve">A coverage indicator shows how complete the assembled material is, moving from thin toward rich as sources and answers accumulate. It is present during ingestion and through the guided questions, so the user watches coverage strengthen as they go. The level is qualitative by design — its job is to tell the user, at a glance, whether there is enough material here to generate something worth trusting.</w:t>
      </w:r>
    </w:p>
    <w:p>
      <w:pPr>
        <w:spacing w:after="160"/>
      </w:pPr>
      <w:r>
        <w:rPr>
          <w:rFonts w:ascii="Roboto Mono" w:cs="Roboto Mono" w:eastAsia="Roboto Mono" w:hAnsi="Roboto Mono"/>
          <w:color w:val="5A6472"/>
          <w:sz w:val="17"/>
          <w:szCs w:val="17"/>
        </w:rPr>
        <w:t xml:space="preserve">src: BRD 1-4</w:t>
      </w:r>
    </w:p>
    <w:p>
      <w:pPr>
        <w:spacing w:after="80" w:before="240"/>
      </w:pPr>
      <w:r>
        <w:rPr>
          <w:rFonts w:ascii="Roboto" w:cs="Roboto" w:eastAsia="Roboto" w:hAnsi="Roboto"/>
          <w:b/>
          <w:bCs/>
          <w:color w:val="9B2A34"/>
          <w:sz w:val="23"/>
          <w:szCs w:val="23"/>
        </w:rPr>
        <w:t xml:space="preserve">1-5 · Guided questions to close gaps</w:t>
      </w:r>
    </w:p>
    <w:p>
      <w:pPr>
        <w:spacing w:after="120"/>
      </w:pPr>
      <w:r>
        <w:rPr>
          <w:rFonts w:ascii="Roboto" w:cs="Roboto" w:eastAsia="Roboto" w:hAnsi="Roboto"/>
          <w:color w:val="2A2F38"/>
          <w:sz w:val="21"/>
          <w:szCs w:val="21"/>
        </w:rPr>
        <w:t xml:space="preserve">Before generation, the system asks a short set of guided questions aimed at the gaps the sources leave open — typically audience, timeline, success measure, and constraints. The set is deliberately light: a few questions, each with concise options to answer in a tap and a free-text path for a fuller answer. The questions are skippable — the user may decline any or all and generate anyway — but whenever coverage stays thin, the coverage indicator clearly reflects it, so the tradeoff is made with the cost in plain view. Answers are recorded as human-sourced entries, attributed to the user, and raise coverage as they accumulate.</w:t>
      </w:r>
    </w:p>
    <w:p>
      <w:pPr>
        <w:spacing w:after="160"/>
      </w:pPr>
      <w:r>
        <w:rPr>
          <w:rFonts w:ascii="Roboto Mono" w:cs="Roboto Mono" w:eastAsia="Roboto Mono" w:hAnsi="Roboto Mono"/>
          <w:color w:val="5A6472"/>
          <w:sz w:val="17"/>
          <w:szCs w:val="17"/>
        </w:rPr>
        <w:t xml:space="preserve">src: BRD 1-5, BRD 1-6</w:t>
      </w:r>
    </w:p>
    <w:p>
      <w:pPr>
        <w:spacing w:after="80" w:before="240"/>
      </w:pPr>
      <w:r>
        <w:rPr>
          <w:rFonts w:ascii="Roboto" w:cs="Roboto" w:eastAsia="Roboto" w:hAnsi="Roboto"/>
          <w:b/>
          <w:bCs/>
          <w:color w:val="9B2A34"/>
          <w:sz w:val="23"/>
          <w:szCs w:val="23"/>
        </w:rPr>
        <w:t xml:space="preserve">1-7 · Discovery Brief generation</w:t>
      </w:r>
    </w:p>
    <w:p>
      <w:pPr>
        <w:spacing w:after="120"/>
      </w:pPr>
      <w:r>
        <w:rPr>
          <w:rFonts w:ascii="Roboto" w:cs="Roboto" w:eastAsia="Roboto" w:hAnsi="Roboto"/>
          <w:color w:val="2A2F38"/>
          <w:sz w:val="21"/>
          <w:szCs w:val="21"/>
        </w:rPr>
        <w:t xml:space="preserve">When the user generates, the system assembles the Discovery Brief from the ingested material and the recorded answers. The Brief is a set of snippets, not a single document — each a self-contained unit of intent. Each snippet carries its provenance quietly: a recessed reference naming the source or sources it drew from, never dropping any. On hover, the reference reveals the source and, for a single-source snippet, the passage it contributed. Provenance surfaces only on hover, never competing with the text.</w:t>
      </w:r>
    </w:p>
    <w:p>
      <w:pPr>
        <w:spacing w:after="160"/>
      </w:pPr>
      <w:r>
        <w:rPr>
          <w:rFonts w:ascii="Roboto Mono" w:cs="Roboto Mono" w:eastAsia="Roboto Mono" w:hAnsi="Roboto Mono"/>
          <w:color w:val="5A6472"/>
          <w:sz w:val="17"/>
          <w:szCs w:val="17"/>
        </w:rPr>
        <w:t xml:space="preserve">src: BRD 1-7</w:t>
      </w:r>
    </w:p>
    <w:p>
      <w:pPr>
        <w:spacing w:after="80" w:before="240"/>
      </w:pPr>
      <w:r>
        <w:rPr>
          <w:rFonts w:ascii="Roboto" w:cs="Roboto" w:eastAsia="Roboto" w:hAnsi="Roboto"/>
          <w:b/>
          <w:bCs/>
          <w:color w:val="9B2A34"/>
          <w:sz w:val="23"/>
          <w:szCs w:val="23"/>
        </w:rPr>
        <w:t xml:space="preserve">1-8 · Integrity when material is thin</w:t>
      </w:r>
    </w:p>
    <w:p>
      <w:pPr>
        <w:spacing w:after="120"/>
      </w:pPr>
      <w:r>
        <w:rPr>
          <w:rFonts w:ascii="Roboto" w:cs="Roboto" w:eastAsia="Roboto" w:hAnsi="Roboto"/>
          <w:color w:val="2A2F38"/>
          <w:sz w:val="21"/>
          <w:szCs w:val="21"/>
        </w:rPr>
        <w:t xml:space="preserve">When the material behind a snippet is thin, the system never fills the gap by inventing. Where it reached beyond the evidence, it marks the snippet with an explicit assumption stating what it inferred, and tags output generated from limited material as such. These flags are visible in the generated Brief so the user can see where the ground is soft and judge it during review. Integrity over completeness: thin evidence produces an honest, visible flag — never a confident fabrication.</w:t>
      </w:r>
    </w:p>
    <w:p>
      <w:pPr>
        <w:spacing w:after="160"/>
      </w:pPr>
      <w:r>
        <w:rPr>
          <w:rFonts w:ascii="Roboto Mono" w:cs="Roboto Mono" w:eastAsia="Roboto Mono" w:hAnsi="Roboto Mono"/>
          <w:color w:val="5A6472"/>
          <w:sz w:val="17"/>
          <w:szCs w:val="17"/>
        </w:rPr>
        <w:t xml:space="preserve">src: BRD 1-8</w:t>
      </w:r>
    </w:p>
    <w:p>
      <w:pPr>
        <w:spacing w:after="80" w:before="240"/>
      </w:pPr>
      <w:r>
        <w:rPr>
          <w:rFonts w:ascii="Roboto" w:cs="Roboto" w:eastAsia="Roboto" w:hAnsi="Roboto"/>
          <w:b/>
          <w:bCs/>
          <w:color w:val="9B2A34"/>
          <w:sz w:val="23"/>
          <w:szCs w:val="23"/>
        </w:rPr>
        <w:t xml:space="preserve">1-9 · Review, edit, and validate the Discovery Brief</w:t>
      </w:r>
    </w:p>
    <w:p>
      <w:pPr>
        <w:spacing w:after="120"/>
      </w:pPr>
      <w:r>
        <w:rPr>
          <w:rFonts w:ascii="Roboto" w:cs="Roboto" w:eastAsia="Roboto" w:hAnsi="Roboto"/>
          <w:color w:val="2A2F38"/>
          <w:sz w:val="21"/>
          <w:szCs w:val="21"/>
        </w:rPr>
        <w:t xml:space="preserve">The generated Brief is a draft until the user validates it. The user reviews it, editing any snippet inline to correct or sharpen it, and traces provenance and assumption flags as needed to judge what was produced. When satisfied, the user validates the Brief in a single act, turning it into the project's accepted root of intent and the input to the next workflow. The human is the final authority: nothing leaves Discovery as settled without their validation.</w:t>
      </w:r>
    </w:p>
    <w:p>
      <w:pPr>
        <w:spacing w:after="160"/>
      </w:pPr>
      <w:r>
        <w:rPr>
          <w:rFonts w:ascii="Roboto Mono" w:cs="Roboto Mono" w:eastAsia="Roboto Mono" w:hAnsi="Roboto Mono"/>
          <w:color w:val="5A6472"/>
          <w:sz w:val="17"/>
          <w:szCs w:val="17"/>
        </w:rPr>
        <w:t xml:space="preserve">src: BRD 1-9</w:t>
      </w:r>
    </w:p>
    <w:p>
      <w:pPr>
        <w:pBdr>
          <w:bottom w:val="single" w:color="2E5AAC" w:sz="6" w:space="6"/>
        </w:pBdr>
        <w:spacing w:after="60" w:before="300"/>
      </w:pPr>
      <w:r>
        <w:rPr>
          <w:rFonts w:ascii="Roboto" w:cs="Roboto" w:eastAsia="Roboto" w:hAnsi="Roboto"/>
          <w:b/>
          <w:bCs/>
          <w:color w:val="2E5AAC"/>
          <w:sz w:val="28"/>
          <w:szCs w:val="28"/>
        </w:rPr>
        <w:t xml:space="preserve">Section 1 · Supplementals</w:t>
      </w:r>
    </w:p>
    <w:p>
      <w:pPr>
        <w:spacing w:after="80" w:before="240"/>
      </w:pPr>
      <w:r>
        <w:rPr>
          <w:rFonts w:ascii="Roboto" w:cs="Roboto" w:eastAsia="Roboto" w:hAnsi="Roboto"/>
          <w:b/>
          <w:bCs/>
          <w:color w:val="9B2A34"/>
          <w:sz w:val="23"/>
          <w:szCs w:val="23"/>
        </w:rPr>
        <w:t xml:space="preserve">1s-1 · What a snippet is</w:t>
      </w:r>
    </w:p>
    <w:p>
      <w:pPr>
        <w:spacing w:after="120"/>
      </w:pPr>
      <w:r>
        <w:rPr>
          <w:rFonts w:ascii="Roboto" w:cs="Roboto" w:eastAsia="Roboto" w:hAnsi="Roboto"/>
          <w:color w:val="2A2F38"/>
          <w:sz w:val="21"/>
          <w:szCs w:val="21"/>
        </w:rPr>
        <w:t xml:space="preserve">A snippet is the atomic unit of every blueprint — a single, self-contained unit of intent, sized like a Scrum story: larger than a task, smaller than an epic. It is sized to be authored, traced to its sources, reviewed, and validated on its own. The unit is the same across every blueprint — Discovery Brief, Scope, BRD, PRD, Solution Design — so what the user learns to read here holds everywhere. The Discovery Brief is where a project's first snippets are created.</w:t>
      </w:r>
    </w:p>
    <w:p>
      <w:pPr>
        <w:spacing w:after="160"/>
      </w:pPr>
      <w:r>
        <w:rPr>
          <w:rFonts w:ascii="Roboto Mono" w:cs="Roboto Mono" w:eastAsia="Roboto Mono" w:hAnsi="Roboto Mono"/>
          <w:color w:val="5A6472"/>
          <w:sz w:val="17"/>
          <w:szCs w:val="17"/>
        </w:rPr>
        <w:t xml:space="preserve">src: BRD 1s-1</w:t>
      </w:r>
    </w:p>
    <w:p>
      <w:pPr>
        <w:spacing w:after="80" w:before="240"/>
      </w:pPr>
      <w:r>
        <w:rPr>
          <w:rFonts w:ascii="Roboto" w:cs="Roboto" w:eastAsia="Roboto" w:hAnsi="Roboto"/>
          <w:b/>
          <w:bCs/>
          <w:color w:val="9B2A34"/>
          <w:sz w:val="23"/>
          <w:szCs w:val="23"/>
        </w:rPr>
        <w:t xml:space="preserve">1s-2 · Provenance</w:t>
      </w:r>
    </w:p>
    <w:p>
      <w:pPr>
        <w:spacing w:after="120"/>
      </w:pPr>
      <w:r>
        <w:rPr>
          <w:rFonts w:ascii="Roboto" w:cs="Roboto" w:eastAsia="Roboto" w:hAnsi="Roboto"/>
          <w:color w:val="2A2F38"/>
          <w:sz w:val="21"/>
          <w:szCs w:val="21"/>
        </w:rPr>
        <w:t xml:space="preserve">Every snippet records the source or sources it was drawn from, and a snippet synthesized from several keeps all of them — provenance is never reduced to one source and never silently dropped. In the Discovery Run this is a direct source-to-snippet link, surfaced as the recessed, on-hover reference on each snippet. It is the foundation the product's later, fuller lineage extends.</w:t>
      </w:r>
    </w:p>
    <w:p>
      <w:pPr>
        <w:spacing w:after="160"/>
      </w:pPr>
      <w:r>
        <w:rPr>
          <w:rFonts w:ascii="Roboto Mono" w:cs="Roboto Mono" w:eastAsia="Roboto Mono" w:hAnsi="Roboto Mono"/>
          <w:color w:val="5A6472"/>
          <w:sz w:val="17"/>
          <w:szCs w:val="17"/>
        </w:rPr>
        <w:t xml:space="preserve">src: BRD 1s-2</w:t>
      </w:r>
    </w:p>
    <w:p>
      <w:pPr>
        <w:spacing w:after="80" w:before="240"/>
      </w:pPr>
      <w:r>
        <w:rPr>
          <w:rFonts w:ascii="Roboto" w:cs="Roboto" w:eastAsia="Roboto" w:hAnsi="Roboto"/>
          <w:b/>
          <w:bCs/>
          <w:color w:val="9B2A34"/>
          <w:sz w:val="23"/>
          <w:szCs w:val="23"/>
        </w:rPr>
        <w:t xml:space="preserve">1s-3 · Input and output</w:t>
      </w:r>
    </w:p>
    <w:p>
      <w:pPr>
        <w:spacing w:after="120"/>
      </w:pPr>
      <w:r>
        <w:rPr>
          <w:rFonts w:ascii="Roboto" w:cs="Roboto" w:eastAsia="Roboto" w:hAnsi="Roboto"/>
          <w:color w:val="2A2F38"/>
          <w:sz w:val="21"/>
          <w:szCs w:val="21"/>
        </w:rPr>
        <w:t xml:space="preserve">Input: a small set of project sources the user selects and loads — real working material, heterogeneous and often incomplete, with no assumption of clean coverage. Output: a populated Project Space (ingested content, each entry showing its origin) and a validated Discovery Brief (snippets, each tracing to its sources) — the project's accepted root of intent and the input to the next workflow.</w:t>
      </w:r>
    </w:p>
    <w:p>
      <w:pPr>
        <w:spacing w:after="160"/>
      </w:pPr>
      <w:r>
        <w:rPr>
          <w:rFonts w:ascii="Roboto Mono" w:cs="Roboto Mono" w:eastAsia="Roboto Mono" w:hAnsi="Roboto Mono"/>
          <w:color w:val="5A6472"/>
          <w:sz w:val="17"/>
          <w:szCs w:val="17"/>
        </w:rPr>
        <w:t xml:space="preserve">src: BRD 1s-3</w:t>
      </w:r>
    </w:p>
    <w:p>
      <w:pPr>
        <w:spacing w:after="80" w:before="240"/>
      </w:pPr>
      <w:r>
        <w:rPr>
          <w:rFonts w:ascii="Roboto" w:cs="Roboto" w:eastAsia="Roboto" w:hAnsi="Roboto"/>
          <w:b/>
          <w:bCs/>
          <w:color w:val="9B2A34"/>
          <w:sz w:val="23"/>
          <w:szCs w:val="23"/>
        </w:rPr>
        <w:t xml:space="preserve">1s-4 · Non-functional requirements</w:t>
      </w:r>
    </w:p>
    <w:p>
      <w:pPr>
        <w:spacing w:after="120"/>
      </w:pPr>
      <w:r>
        <w:rPr>
          <w:rFonts w:ascii="Roboto" w:cs="Roboto" w:eastAsia="Roboto" w:hAnsi="Roboto"/>
          <w:color w:val="2A2F38"/>
          <w:sz w:val="21"/>
          <w:szCs w:val="21"/>
        </w:rPr>
        <w:t xml:space="preserve">Integrity over completeness — the system never invents a source or a fact; thin evidence means asking or flagging, never guessing. Traceability — every snippet resolves to its sources. Small-team reality — built for a handful of pilot users on one shared project, not multi-tenant or access-segmented. Buildable in the window — anything that endangers MVP delivery belongs in Beyond the MVP.</w:t>
      </w:r>
    </w:p>
    <w:p>
      <w:pPr>
        <w:spacing w:after="160"/>
      </w:pPr>
      <w:r>
        <w:rPr>
          <w:rFonts w:ascii="Roboto Mono" w:cs="Roboto Mono" w:eastAsia="Roboto Mono" w:hAnsi="Roboto Mono"/>
          <w:color w:val="5A6472"/>
          <w:sz w:val="17"/>
          <w:szCs w:val="17"/>
        </w:rPr>
        <w:t xml:space="preserve">src: BRD 1s-4</w:t>
      </w:r>
    </w:p>
    <w:p>
      <w:pPr>
        <w:spacing w:after="80" w:before="240"/>
      </w:pPr>
      <w:r>
        <w:rPr>
          <w:rFonts w:ascii="Roboto" w:cs="Roboto" w:eastAsia="Roboto" w:hAnsi="Roboto"/>
          <w:b/>
          <w:bCs/>
          <w:color w:val="9B2A34"/>
          <w:sz w:val="23"/>
          <w:szCs w:val="23"/>
        </w:rPr>
        <w:t xml:space="preserve">1s-5 · Success criteria</w:t>
      </w:r>
    </w:p>
    <w:p>
      <w:pPr>
        <w:spacing w:after="120"/>
      </w:pPr>
      <w:r>
        <w:rPr>
          <w:rFonts w:ascii="Roboto" w:cs="Roboto" w:eastAsia="Roboto" w:hAnsi="Roboto"/>
          <w:color w:val="2A2F38"/>
          <w:sz w:val="21"/>
          <w:szCs w:val="21"/>
        </w:rPr>
        <w:t xml:space="preserve">Given a real, messy set of sources loaded by a pilot user, the Discovery Run can ingest them; show what is and isn't covered and prompt for more input through the guided questions when material is thin; generate a Discovery Brief whose every snippet traces to its sources; flag where the material was thin rather than guess; and let the user validate the result.</w:t>
      </w:r>
    </w:p>
    <w:p>
      <w:pPr>
        <w:spacing w:after="160"/>
      </w:pPr>
      <w:r>
        <w:rPr>
          <w:rFonts w:ascii="Roboto Mono" w:cs="Roboto Mono" w:eastAsia="Roboto Mono" w:hAnsi="Roboto Mono"/>
          <w:color w:val="5A6472"/>
          <w:sz w:val="17"/>
          <w:szCs w:val="17"/>
        </w:rPr>
        <w:t xml:space="preserve">src: BRD 1s-5</w:t>
      </w:r>
    </w:p>
    <w:p>
      <w:pPr>
        <w:spacing w:after="80" w:before="240"/>
      </w:pPr>
      <w:r>
        <w:rPr>
          <w:rFonts w:ascii="Roboto" w:cs="Roboto" w:eastAsia="Roboto" w:hAnsi="Roboto"/>
          <w:b/>
          <w:bCs/>
          <w:color w:val="9B2A34"/>
          <w:sz w:val="23"/>
          <w:szCs w:val="23"/>
        </w:rPr>
        <w:t xml:space="preserve">1s-6 · Scope Boundary</w:t>
      </w:r>
    </w:p>
    <w:p>
      <w:pPr>
        <w:spacing w:after="120"/>
      </w:pPr>
      <w:r>
        <w:rPr>
          <w:rFonts w:ascii="Roboto" w:cs="Roboto" w:eastAsia="Roboto" w:hAnsi="Roboto"/>
          <w:color w:val="2A2F38"/>
          <w:sz w:val="21"/>
          <w:szCs w:val="21"/>
        </w:rPr>
        <w:t xml:space="preserve">Out of scope this round: background or continuous sync; rich metadata beyond the origin reference; source-permission and access control; cross-project sourcing; relationship retrieval or a knowledge graph; connectors beyond the five named groups and the layered hub; all downstream blueprint generation; and the underlying ingestion, storage, and retrieval technology (Solution Design).</w:t>
      </w:r>
    </w:p>
    <w:p>
      <w:pPr>
        <w:spacing w:after="160"/>
      </w:pPr>
      <w:r>
        <w:rPr>
          <w:rFonts w:ascii="Roboto Mono" w:cs="Roboto Mono" w:eastAsia="Roboto Mono" w:hAnsi="Roboto Mono"/>
          <w:color w:val="5A6472"/>
          <w:sz w:val="17"/>
          <w:szCs w:val="17"/>
        </w:rPr>
        <w:t xml:space="preserve">src: BRD 1s-6</w:t>
      </w:r>
    </w:p>
    <w:p>
      <w:pPr>
        <w:spacing w:after="80" w:before="240"/>
      </w:pPr>
      <w:r>
        <w:rPr>
          <w:rFonts w:ascii="Roboto" w:cs="Roboto" w:eastAsia="Roboto" w:hAnsi="Roboto"/>
          <w:b/>
          <w:bCs/>
          <w:color w:val="9B2A34"/>
          <w:sz w:val="23"/>
          <w:szCs w:val="23"/>
        </w:rPr>
        <w:t xml:space="preserve">1s-7 · Beyond the MVP</w:t>
      </w:r>
    </w:p>
    <w:p>
      <w:pPr>
        <w:spacing w:after="120"/>
      </w:pPr>
      <w:r>
        <w:rPr>
          <w:rFonts w:ascii="Roboto" w:cs="Roboto" w:eastAsia="Roboto" w:hAnsi="Roboto"/>
          <w:color w:val="2A2F38"/>
          <w:sz w:val="21"/>
          <w:szCs w:val="21"/>
        </w:rPr>
        <w:t xml:space="preserve">Deferred but not precluded: continuous freshness; rich metadata; access control with retrieval-time enforcement; cross-project sourcing with isolation; relationship retrieval and a knowledge graph; broader connectors and the layered hub; and full many-to-many lineage with derivation and revision distinct. Standing design note: keep MVP provenance a multi-source list, not a single-parent field, so full lineage extends rather than migrates.</w:t>
      </w:r>
    </w:p>
    <w:p>
      <w:pPr>
        <w:spacing w:after="160"/>
      </w:pPr>
      <w:r>
        <w:rPr>
          <w:rFonts w:ascii="Roboto Mono" w:cs="Roboto Mono" w:eastAsia="Roboto Mono" w:hAnsi="Roboto Mono"/>
          <w:color w:val="5A6472"/>
          <w:sz w:val="17"/>
          <w:szCs w:val="17"/>
        </w:rPr>
        <w:t xml:space="preserve">src: BRD 1s-7</w:t>
      </w:r>
    </w:p>
    <w:p>
      <w:pPr>
        <w:spacing w:after="80" w:before="240"/>
      </w:pPr>
      <w:r>
        <w:rPr>
          <w:rFonts w:ascii="Roboto" w:cs="Roboto" w:eastAsia="Roboto" w:hAnsi="Roboto"/>
          <w:b/>
          <w:bCs/>
          <w:color w:val="9B2A34"/>
          <w:sz w:val="23"/>
          <w:szCs w:val="23"/>
        </w:rPr>
        <w:t xml:space="preserve">1s-8 · Open questions</w:t>
      </w:r>
    </w:p>
    <w:p>
      <w:pPr>
        <w:spacing w:after="120"/>
      </w:pPr>
      <w:r>
        <w:rPr>
          <w:rFonts w:ascii="Roboto" w:cs="Roboto" w:eastAsia="Roboto" w:hAnsi="Roboto"/>
          <w:color w:val="2A2F38"/>
          <w:sz w:val="21"/>
          <w:szCs w:val="21"/>
        </w:rPr>
        <w:t xml:space="preserve">Sequencing within the source set if the window tightens — local upload, clipboard, and GitHub are simplest first. Out of scope for now, but flagged: some open items may harden into blockers as the build nears and need resolution then.</w:t>
      </w:r>
    </w:p>
    <w:p>
      <w:pPr>
        <w:spacing w:after="160"/>
      </w:pPr>
      <w:r>
        <w:rPr>
          <w:rFonts w:ascii="Roboto Mono" w:cs="Roboto Mono" w:eastAsia="Roboto Mono" w:hAnsi="Roboto Mono"/>
          <w:color w:val="5A6472"/>
          <w:sz w:val="17"/>
          <w:szCs w:val="17"/>
        </w:rPr>
        <w:t xml:space="preserve">src: BRD 1s-8</w:t>
      </w:r>
    </w:p>
    <w:p>
      <w:pPr>
        <w:spacing w:after="80" w:before="240"/>
      </w:pPr>
      <w:r>
        <w:rPr>
          <w:rFonts w:ascii="Roboto" w:cs="Roboto" w:eastAsia="Roboto" w:hAnsi="Roboto"/>
          <w:b/>
          <w:bCs/>
          <w:color w:val="9B2A34"/>
          <w:sz w:val="23"/>
          <w:szCs w:val="23"/>
        </w:rPr>
        <w:t xml:space="preserve">1s-9 · Parked: inspectable coverage</w:t>
      </w:r>
    </w:p>
    <w:p>
      <w:pPr>
        <w:spacing w:after="120"/>
      </w:pPr>
      <w:r>
        <w:rPr>
          <w:rFonts w:ascii="Roboto" w:cs="Roboto" w:eastAsia="Roboto" w:hAnsi="Roboto"/>
          <w:color w:val="2A2F38"/>
          <w:sz w:val="21"/>
          <w:szCs w:val="21"/>
        </w:rPr>
        <w:t xml:space="preserve">A breakdown of which specific gap areas (audience, timeline, success measure, constraints) remain thin, shown on the coverage indicator. Dropped from MVP 1-4 for build cost against the window, and partially overlapping the guided-question step. Candidate post-MVP.</w:t>
      </w:r>
    </w:p>
    <w:p>
      <w:pPr>
        <w:spacing w:after="160"/>
      </w:pPr>
      <w:r>
        <w:rPr>
          <w:rFonts w:ascii="Roboto Mono" w:cs="Roboto Mono" w:eastAsia="Roboto Mono" w:hAnsi="Roboto Mono"/>
          <w:color w:val="5A6472"/>
          <w:sz w:val="17"/>
          <w:szCs w:val="17"/>
        </w:rPr>
        <w:t xml:space="preserve">src: PRD 1-4 (parked)</w:t>
      </w:r>
    </w:p>
    <w:p>
      <w:pPr>
        <w:spacing w:after="80" w:before="240"/>
      </w:pPr>
      <w:r>
        <w:rPr>
          <w:rFonts w:ascii="Roboto" w:cs="Roboto" w:eastAsia="Roboto" w:hAnsi="Roboto"/>
          <w:b/>
          <w:bCs/>
          <w:color w:val="9B2A34"/>
          <w:sz w:val="23"/>
          <w:szCs w:val="23"/>
        </w:rPr>
        <w:t xml:space="preserve">1s-10 · Parked: multi-source passage view</w:t>
      </w:r>
    </w:p>
    <w:p>
      <w:pPr>
        <w:spacing w:after="120"/>
      </w:pPr>
      <w:r>
        <w:rPr>
          <w:rFonts w:ascii="Roboto" w:cs="Roboto" w:eastAsia="Roboto" w:hAnsi="Roboto"/>
          <w:color w:val="2A2F38"/>
          <w:sz w:val="21"/>
          <w:szCs w:val="21"/>
        </w:rPr>
        <w:t xml:space="preserve">For multi-source snippets, a hover window listing all contributing sources and swapping to each one's passage as the user moves across them — the live-overview mechanic applied to Brief snippets. Deferred from MVP 1-7 for build cost; the MVP still names every source, so nothing is collapsed.</w:t>
      </w:r>
    </w:p>
    <w:p>
      <w:pPr>
        <w:spacing w:after="160"/>
      </w:pPr>
      <w:r>
        <w:rPr>
          <w:rFonts w:ascii="Roboto Mono" w:cs="Roboto Mono" w:eastAsia="Roboto Mono" w:hAnsi="Roboto Mono"/>
          <w:color w:val="5A6472"/>
          <w:sz w:val="17"/>
          <w:szCs w:val="17"/>
        </w:rPr>
        <w:t xml:space="preserve">src: PRD 1-7 (parked)</w:t>
      </w:r>
    </w:p>
    <w:sectPr>
      <w:pgSz w:w="12240" w:h="15840" w:orient="portrait"/>
      <w:pgMar w:top="1180" w:right="1280" w:bottom="11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2026-06-13T20:41:29.966Z</dcterms:created>
  <dcterms:modified xsi:type="dcterms:W3CDTF">2026-06-13T20:41:29.979Z</dcterms:modified>
</cp:coreProperties>
</file>

<file path=docProps/custom.xml><?xml version="1.0" encoding="utf-8"?>
<Properties xmlns="http://schemas.openxmlformats.org/officeDocument/2006/custom-properties" xmlns:vt="http://schemas.openxmlformats.org/officeDocument/2006/docPropsVTypes"/>
</file>