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48"/>
        </w:rPr>
        <w:t>Análisis de Arquitectura y Código</w:t>
      </w:r>
    </w:p>
    <w:p>
      <w:pPr>
        <w:jc w:val="center"/>
      </w:pPr>
      <w:r>
        <w:rPr>
          <w:color w:val="2E74B5"/>
          <w:sz w:val="36"/>
        </w:rPr>
        <w:t>Microservicio tfm-events</w:t>
      </w:r>
    </w:p>
    <w:p/>
    <w:p>
      <w:pPr>
        <w:jc w:val="center"/>
      </w:pPr>
      <w:r>
        <w:rPr>
          <w:color w:val="404040"/>
          <w:sz w:val="22"/>
        </w:rPr>
        <w:t>Repositorio: blazquez-isma-uah/tfm-events</w:t>
        <w:br/>
        <w:t>Fecha: 27/03/2026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Contexto y Propósito General</w:t>
      </w:r>
    </w:p>
    <w:p>
      <w:pPr>
        <w:spacing w:after="120"/>
      </w:pPr>
      <w:r>
        <w:t>Este repositorio forma parte de un Trabajo de Fin de Máster (TFM) que implementa un sistema de gestión para bandas musicales (tfm-bandas). Concretamente, tfm-events es un microservicio independiente dedicado exclusivamente a la gestión de eventos de la banda: ensayos, conciertos, reuniones, etc.</w:t>
      </w:r>
    </w:p>
    <w:p>
      <w:pPr>
        <w:pStyle w:val="Heading1"/>
      </w:pPr>
      <w:r>
        <w:rPr>
          <w:color w:val="1F497D"/>
        </w:rPr>
        <w:t>2.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</w:rPr>
              <w:t>Tecnología</w:t>
            </w:r>
          </w:p>
        </w:tc>
      </w:tr>
      <w:tr>
        <w:tc>
          <w:tcPr>
            <w:tcW w:type="dxa" w:w="3168"/>
          </w:tcPr>
          <w:p>
            <w:r>
              <w:t>Lenguaje</w:t>
            </w:r>
          </w:p>
        </w:tc>
        <w:tc>
          <w:tcPr>
            <w:tcW w:type="dxa" w:w="5760"/>
          </w:tcPr>
          <w:p>
            <w:r>
              <w:t>Java 21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t>Framework</w:t>
            </w:r>
          </w:p>
        </w:tc>
        <w:tc>
          <w:tcPr>
            <w:tcW w:type="dxa" w:w="5760"/>
            <w:shd w:val="clear" w:color="auto" w:fill="DCE6F1"/>
          </w:tcPr>
          <w:p>
            <w:r>
              <w:t>Spring Boot 3.5.5</w:t>
            </w:r>
          </w:p>
        </w:tc>
      </w:tr>
      <w:tr>
        <w:tc>
          <w:tcPr>
            <w:tcW w:type="dxa" w:w="3168"/>
          </w:tcPr>
          <w:p>
            <w:r>
              <w:t>Build</w:t>
            </w:r>
          </w:p>
        </w:tc>
        <w:tc>
          <w:tcPr>
            <w:tcW w:type="dxa" w:w="5760"/>
          </w:tcPr>
          <w:p>
            <w:r>
              <w:t>Maven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t>Base de Datos</w:t>
            </w:r>
          </w:p>
        </w:tc>
        <w:tc>
          <w:tcPr>
            <w:tcW w:type="dxa" w:w="5760"/>
            <w:shd w:val="clear" w:color="auto" w:fill="DCE6F1"/>
          </w:tcPr>
          <w:p>
            <w:r>
              <w:t>MySQL 8</w:t>
            </w:r>
          </w:p>
        </w:tc>
      </w:tr>
      <w:tr>
        <w:tc>
          <w:tcPr>
            <w:tcW w:type="dxa" w:w="3168"/>
          </w:tcPr>
          <w:p>
            <w:r>
              <w:t>Migración BD</w:t>
            </w:r>
          </w:p>
        </w:tc>
        <w:tc>
          <w:tcPr>
            <w:tcW w:type="dxa" w:w="5760"/>
          </w:tcPr>
          <w:p>
            <w:r>
              <w:t>Flyway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t>Autenticación</w:t>
            </w:r>
          </w:p>
        </w:tc>
        <w:tc>
          <w:tcPr>
            <w:tcW w:type="dxa" w:w="5760"/>
            <w:shd w:val="clear" w:color="auto" w:fill="DCE6F1"/>
          </w:tcPr>
          <w:p>
            <w:r>
              <w:t>OAuth2 JWT (Keycloak, realm tfm-bandas)</w:t>
            </w:r>
          </w:p>
        </w:tc>
      </w:tr>
      <w:tr>
        <w:tc>
          <w:tcPr>
            <w:tcW w:type="dxa" w:w="3168"/>
          </w:tcPr>
          <w:p>
            <w:r>
              <w:t>Comunicación inter-servicio</w:t>
            </w:r>
          </w:p>
        </w:tc>
        <w:tc>
          <w:tcPr>
            <w:tcW w:type="dxa" w:w="5760"/>
          </w:tcPr>
          <w:p>
            <w:r>
              <w:t>OpenFeign (Spring Cloud 2025.0.0)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t>Documentación API</w:t>
            </w:r>
          </w:p>
        </w:tc>
        <w:tc>
          <w:tcPr>
            <w:tcW w:type="dxa" w:w="5760"/>
            <w:shd w:val="clear" w:color="auto" w:fill="DCE6F1"/>
          </w:tcPr>
          <w:p>
            <w:r>
              <w:t>SpringDoc / Swagger UI</w:t>
            </w:r>
          </w:p>
        </w:tc>
      </w:tr>
      <w:tr>
        <w:tc>
          <w:tcPr>
            <w:tcW w:type="dxa" w:w="3168"/>
          </w:tcPr>
          <w:p>
            <w:r>
              <w:t>Monitorización</w:t>
            </w:r>
          </w:p>
        </w:tc>
        <w:tc>
          <w:tcPr>
            <w:tcW w:type="dxa" w:w="5760"/>
          </w:tcPr>
          <w:p>
            <w:r>
              <w:t>Spring Actuator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t>Contenedor</w:t>
            </w:r>
          </w:p>
        </w:tc>
        <w:tc>
          <w:tcPr>
            <w:tcW w:type="dxa" w:w="5760"/>
            <w:shd w:val="clear" w:color="auto" w:fill="DCE6F1"/>
          </w:tcPr>
          <w:p>
            <w:r>
              <w:t>Docker (imagen multi-stage, eclipse-temurin:21)</w:t>
            </w:r>
          </w:p>
        </w:tc>
      </w:tr>
      <w:tr>
        <w:tc>
          <w:tcPr>
            <w:tcW w:type="dxa" w:w="3168"/>
          </w:tcPr>
          <w:p>
            <w:r>
              <w:t>Utilidades</w:t>
            </w:r>
          </w:p>
        </w:tc>
        <w:tc>
          <w:tcPr>
            <w:tcW w:type="dxa" w:w="5760"/>
          </w:tcPr>
          <w:p>
            <w:r>
              <w:t>Lombok, MapStruct</w:t>
            </w:r>
          </w:p>
        </w:tc>
      </w:tr>
    </w:tbl>
    <w:p/>
    <w:p>
      <w:pPr>
        <w:pStyle w:val="Heading1"/>
      </w:pPr>
      <w:r>
        <w:rPr>
          <w:color w:val="1F497D"/>
        </w:rPr>
        <w:t>3. Estructura del Código</w:t>
      </w:r>
    </w:p>
    <w:p>
      <w:pPr>
        <w:spacing w:after="120"/>
      </w:pPr>
      <w:r>
        <w:t>El código sigue una arquitectura en capas clásica de Spring Boot:</w:t>
      </w:r>
    </w:p>
    <w:p>
      <w:pPr>
        <w:spacing w:after="80"/>
        <w:ind w:left="720"/>
        <w:shd w:val="clear" w:color="auto" w:fill="F2F2F2"/>
      </w:pPr>
      <w:r>
        <w:rPr>
          <w:rFonts w:ascii="Courier New" w:hAnsi="Courier New"/>
          <w:color w:val="1F497D"/>
          <w:sz w:val="16"/>
        </w:rPr>
        <w:t>src/main/java/com/tfm/bandas/events/</w:t>
        <w:br/>
        <w:t>│</w:t>
        <w:br/>
        <w:t>├── EventosApplication.java          # Punto de entrada Spring Boot</w:t>
        <w:br/>
        <w:t>│</w:t>
        <w:br/>
        <w:t>├── controller/</w:t>
        <w:br/>
        <w:t>│   └── EventController.java         # REST Controller — /api/events/**</w:t>
        <w:br/>
        <w:t>│</w:t>
        <w:br/>
        <w:t>├── service/</w:t>
        <w:br/>
        <w:t>│   ├── EventService.java            # Interfaz de servicio</w:t>
        <w:br/>
        <w:t>│   └── impl/</w:t>
        <w:br/>
        <w:t>│       └── EventServiceImpl.java    # Lógica de negocio</w:t>
        <w:br/>
        <w:t>│</w:t>
        <w:br/>
        <w:t>├── model/</w:t>
        <w:br/>
        <w:t>│   ├── entity/</w:t>
        <w:br/>
        <w:t>│   │   └── EventEntity.java         # Entidad JPA (tabla `event`)</w:t>
        <w:br/>
        <w:t>│   ├── repository/</w:t>
        <w:br/>
        <w:t>│   │   └── EventRepository.java     # JpaRepository + queries custom</w:t>
        <w:br/>
        <w:t>│   └── specification/</w:t>
        <w:br/>
        <w:t>│       └── EventSpecifications.java # Búsqueda dinámica (JPA Spec)</w:t>
        <w:br/>
        <w:t>│</w:t>
        <w:br/>
        <w:t>├── dto/</w:t>
        <w:br/>
        <w:t>│   ├── EventCreateRequestDTO.java   # Request de creación/actualización</w:t>
        <w:br/>
        <w:t>│   ├── EventDTO.java                # Response completo</w:t>
        <w:br/>
        <w:t>│   ├── CalendarEventItemDTO.java    # Payload ligero para calendario</w:t>
        <w:br/>
        <w:t>│   └── mapper/</w:t>
        <w:br/>
        <w:t>│       └── EventMapper.java         # Conversión Entity ↔ DTOs</w:t>
        <w:br/>
        <w:t>│</w:t>
        <w:br/>
        <w:t>├── config/</w:t>
        <w:br/>
        <w:t>│   ├── SecurityConfig.java          # OAuth2, CORS, autorización</w:t>
        <w:br/>
        <w:t>│   ├── EventRulesProperties.java    # Reglas de negocio configurables</w:t>
        <w:br/>
        <w:t>│   └── FeignSecurityConfig.java     # Propagación JWT en Feign</w:t>
        <w:br/>
        <w:t>│</w:t>
        <w:br/>
        <w:t>├── client/</w:t>
        <w:br/>
        <w:t>│   └── SurveysFeignClient.java      # Cliente HTTP → MS Encuestas</w:t>
        <w:br/>
        <w:t>│</w:t>
        <w:br/>
        <w:t>├── exception/</w:t>
        <w:br/>
        <w:t>│   ├── ApiExceptionHandler.java     # Handler global @RestControllerAdvice</w:t>
        <w:br/>
        <w:t>│   ├── BadRequestException.java</w:t>
        <w:br/>
        <w:t>│   ├── NotFoundException.java</w:t>
        <w:br/>
        <w:t>│   ├── PreconditionFailedException.java</w:t>
        <w:br/>
        <w:t>│   └── PreconditionRequiredException.java</w:t>
        <w:br/>
        <w:t>│</w:t>
        <w:br/>
        <w:t>└── utils/</w:t>
        <w:br/>
        <w:t xml:space="preserve">    ├── EventStatus.java             # Enum: SCHEDULED, CANCELED, POSTPONED</w:t>
        <w:br/>
        <w:t xml:space="preserve">    ├── EventType.java               # Enum: REHEARSAL, PERFORMANCE, MEETING, OTHER</w:t>
        <w:br/>
        <w:t xml:space="preserve">    ├── EventVisibility.java         # Enum: BAND_ONLY, PUBLIC</w:t>
        <w:br/>
        <w:t xml:space="preserve">    ├── EtagUtils.java               # Control optimista vía ETags</w:t>
        <w:br/>
        <w:t xml:space="preserve">    └── PaginatedResponse.java       # Wrapper de respuestas paginadas</w:t>
      </w:r>
    </w:p>
    <w:p/>
    <w:p>
      <w:pPr>
        <w:pStyle w:val="Heading1"/>
      </w:pPr>
      <w:r>
        <w:rPr>
          <w:color w:val="1F497D"/>
        </w:rPr>
        <w:t>4. Entidad de Base de Datos</w:t>
      </w:r>
    </w:p>
    <w:p>
      <w:pPr>
        <w:spacing w:after="120"/>
      </w:pPr>
      <w:r>
        <w:t>El microservicio gestiona una única tabla: event.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04"/>
            <w:shd w:val="clear" w:color="auto" w:fill="1F497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VARCHAR(36) PK</w:t>
            </w:r>
          </w:p>
        </w:tc>
        <w:tc>
          <w:tcPr>
            <w:tcW w:type="dxa" w:w="4608"/>
          </w:tcPr>
          <w:p>
            <w:r>
              <w:t>UUID generado al crear</w:t>
            </w:r>
          </w:p>
        </w:tc>
      </w:tr>
      <w:tr>
        <w:tc>
          <w:tcPr>
            <w:tcW w:type="dxa" w:w="2016"/>
            <w:shd w:val="clear" w:color="auto" w:fill="DCE6F1"/>
          </w:tcPr>
          <w:p>
            <w:r>
              <w:t>version</w:t>
            </w:r>
          </w:p>
        </w:tc>
        <w:tc>
          <w:tcPr>
            <w:tcW w:type="dxa" w:w="2304"/>
            <w:shd w:val="clear" w:color="auto" w:fill="DCE6F1"/>
          </w:tcPr>
          <w:p>
            <w:r>
              <w:t>INT</w:t>
            </w:r>
          </w:p>
        </w:tc>
        <w:tc>
          <w:tcPr>
            <w:tcW w:type="dxa" w:w="4608"/>
            <w:shd w:val="clear" w:color="auto" w:fill="DCE6F1"/>
          </w:tcPr>
          <w:p>
            <w:r>
              <w:t>Control optimista (@Version JPA)</w:t>
            </w:r>
          </w:p>
        </w:tc>
      </w:tr>
      <w:tr>
        <w:tc>
          <w:tcPr>
            <w:tcW w:type="dxa" w:w="2016"/>
          </w:tcPr>
          <w:p>
            <w:r>
              <w:t>title</w:t>
            </w:r>
          </w:p>
        </w:tc>
        <w:tc>
          <w:tcPr>
            <w:tcW w:type="dxa" w:w="2304"/>
          </w:tcPr>
          <w:p>
            <w:r>
              <w:t>VARCHAR(200) NN</w:t>
            </w:r>
          </w:p>
        </w:tc>
        <w:tc>
          <w:tcPr>
            <w:tcW w:type="dxa" w:w="4608"/>
          </w:tcPr>
          <w:p>
            <w:r>
              <w:t>Título del evento</w:t>
            </w:r>
          </w:p>
        </w:tc>
      </w:tr>
      <w:tr>
        <w:tc>
          <w:tcPr>
            <w:tcW w:type="dxa" w:w="2016"/>
            <w:shd w:val="clear" w:color="auto" w:fill="DCE6F1"/>
          </w:tcPr>
          <w:p>
            <w:r>
              <w:t>description</w:t>
            </w:r>
          </w:p>
        </w:tc>
        <w:tc>
          <w:tcPr>
            <w:tcW w:type="dxa" w:w="2304"/>
            <w:shd w:val="clear" w:color="auto" w:fill="DCE6F1"/>
          </w:tcPr>
          <w:p>
            <w:r>
              <w:t>TEXT</w:t>
            </w:r>
          </w:p>
        </w:tc>
        <w:tc>
          <w:tcPr>
            <w:tcW w:type="dxa" w:w="4608"/>
            <w:shd w:val="clear" w:color="auto" w:fill="DCE6F1"/>
          </w:tcPr>
          <w:p>
            <w:r>
              <w:t>Descripción libre</w:t>
            </w:r>
          </w:p>
        </w:tc>
      </w:tr>
      <w:tr>
        <w:tc>
          <w:tcPr>
            <w:tcW w:type="dxa" w:w="2016"/>
          </w:tcPr>
          <w:p>
            <w:r>
              <w:t>start_at</w:t>
            </w:r>
          </w:p>
        </w:tc>
        <w:tc>
          <w:tcPr>
            <w:tcW w:type="dxa" w:w="2304"/>
          </w:tcPr>
          <w:p>
            <w:r>
              <w:t>DATETIME(6) NN</w:t>
            </w:r>
          </w:p>
        </w:tc>
        <w:tc>
          <w:tcPr>
            <w:tcW w:type="dxa" w:w="4608"/>
          </w:tcPr>
          <w:p>
            <w:r>
              <w:t>Inicio del evento (UTC)</w:t>
            </w:r>
          </w:p>
        </w:tc>
      </w:tr>
      <w:tr>
        <w:tc>
          <w:tcPr>
            <w:tcW w:type="dxa" w:w="2016"/>
            <w:shd w:val="clear" w:color="auto" w:fill="DCE6F1"/>
          </w:tcPr>
          <w:p>
            <w:r>
              <w:t>end_at</w:t>
            </w:r>
          </w:p>
        </w:tc>
        <w:tc>
          <w:tcPr>
            <w:tcW w:type="dxa" w:w="2304"/>
            <w:shd w:val="clear" w:color="auto" w:fill="DCE6F1"/>
          </w:tcPr>
          <w:p>
            <w:r>
              <w:t>DATETIME(6) NN</w:t>
            </w:r>
          </w:p>
        </w:tc>
        <w:tc>
          <w:tcPr>
            <w:tcW w:type="dxa" w:w="4608"/>
            <w:shd w:val="clear" w:color="auto" w:fill="DCE6F1"/>
          </w:tcPr>
          <w:p>
            <w:r>
              <w:t>Fin del evento (UTC)</w:t>
            </w:r>
          </w:p>
        </w:tc>
      </w:tr>
      <w:tr>
        <w:tc>
          <w:tcPr>
            <w:tcW w:type="dxa" w:w="2016"/>
          </w:tcPr>
          <w:p>
            <w:r>
              <w:t>location</w:t>
            </w:r>
          </w:p>
        </w:tc>
        <w:tc>
          <w:tcPr>
            <w:tcW w:type="dxa" w:w="2304"/>
          </w:tcPr>
          <w:p>
            <w:r>
              <w:t>VARCHAR(255)</w:t>
            </w:r>
          </w:p>
        </w:tc>
        <w:tc>
          <w:tcPr>
            <w:tcW w:type="dxa" w:w="4608"/>
          </w:tcPr>
          <w:p>
            <w:r>
              <w:t>Lugar del evento</w:t>
            </w:r>
          </w:p>
        </w:tc>
      </w:tr>
      <w:tr>
        <w:tc>
          <w:tcPr>
            <w:tcW w:type="dxa" w:w="2016"/>
            <w:shd w:val="clear" w:color="auto" w:fill="DCE6F1"/>
          </w:tcPr>
          <w:p>
            <w:r>
              <w:t>type</w:t>
            </w:r>
          </w:p>
        </w:tc>
        <w:tc>
          <w:tcPr>
            <w:tcW w:type="dxa" w:w="2304"/>
            <w:shd w:val="clear" w:color="auto" w:fill="DCE6F1"/>
          </w:tcPr>
          <w:p>
            <w:r>
              <w:t>VARCHAR(32) NN</w:t>
            </w:r>
          </w:p>
        </w:tc>
        <w:tc>
          <w:tcPr>
            <w:tcW w:type="dxa" w:w="4608"/>
            <w:shd w:val="clear" w:color="auto" w:fill="DCE6F1"/>
          </w:tcPr>
          <w:p>
            <w:r>
              <w:t>REHEARSAL | PERFORMANCE | MEETING | OTHER</w:t>
            </w:r>
          </w:p>
        </w:tc>
      </w:tr>
      <w:tr>
        <w:tc>
          <w:tcPr>
            <w:tcW w:type="dxa" w:w="2016"/>
          </w:tcPr>
          <w:p>
            <w:r>
              <w:t>status</w:t>
            </w:r>
          </w:p>
        </w:tc>
        <w:tc>
          <w:tcPr>
            <w:tcW w:type="dxa" w:w="2304"/>
          </w:tcPr>
          <w:p>
            <w:r>
              <w:t>VARCHAR(32) NN</w:t>
            </w:r>
          </w:p>
        </w:tc>
        <w:tc>
          <w:tcPr>
            <w:tcW w:type="dxa" w:w="4608"/>
          </w:tcPr>
          <w:p>
            <w:r>
              <w:t>SCHEDULED | CANCELED | POSTPONED</w:t>
            </w:r>
          </w:p>
        </w:tc>
      </w:tr>
      <w:tr>
        <w:tc>
          <w:tcPr>
            <w:tcW w:type="dxa" w:w="2016"/>
            <w:shd w:val="clear" w:color="auto" w:fill="DCE6F1"/>
          </w:tcPr>
          <w:p>
            <w:r>
              <w:t>visibility</w:t>
            </w:r>
          </w:p>
        </w:tc>
        <w:tc>
          <w:tcPr>
            <w:tcW w:type="dxa" w:w="2304"/>
            <w:shd w:val="clear" w:color="auto" w:fill="DCE6F1"/>
          </w:tcPr>
          <w:p>
            <w:r>
              <w:t>VARCHAR(32) NN</w:t>
            </w:r>
          </w:p>
        </w:tc>
        <w:tc>
          <w:tcPr>
            <w:tcW w:type="dxa" w:w="4608"/>
            <w:shd w:val="clear" w:color="auto" w:fill="DCE6F1"/>
          </w:tcPr>
          <w:p>
            <w:r>
              <w:t>BAND_ONLY | PUBLIC</w:t>
            </w:r>
          </w:p>
        </w:tc>
      </w:tr>
      <w:tr>
        <w:tc>
          <w:tcPr>
            <w:tcW w:type="dxa" w:w="2016"/>
          </w:tcPr>
          <w:p>
            <w:r>
              <w:t>created_at</w:t>
            </w:r>
          </w:p>
        </w:tc>
        <w:tc>
          <w:tcPr>
            <w:tcW w:type="dxa" w:w="2304"/>
          </w:tcPr>
          <w:p>
            <w:r>
              <w:t>DATETIME(6)</w:t>
            </w:r>
          </w:p>
        </w:tc>
        <w:tc>
          <w:tcPr>
            <w:tcW w:type="dxa" w:w="4608"/>
          </w:tcPr>
          <w:p>
            <w:r>
              <w:t>Timestamp de creación (automático)</w:t>
            </w:r>
          </w:p>
        </w:tc>
      </w:tr>
      <w:tr>
        <w:tc>
          <w:tcPr>
            <w:tcW w:type="dxa" w:w="2016"/>
            <w:shd w:val="clear" w:color="auto" w:fill="DCE6F1"/>
          </w:tcPr>
          <w:p>
            <w:r>
              <w:t>updated_at</w:t>
            </w:r>
          </w:p>
        </w:tc>
        <w:tc>
          <w:tcPr>
            <w:tcW w:type="dxa" w:w="2304"/>
            <w:shd w:val="clear" w:color="auto" w:fill="DCE6F1"/>
          </w:tcPr>
          <w:p>
            <w:r>
              <w:t>DATETIME(6)</w:t>
            </w:r>
          </w:p>
        </w:tc>
        <w:tc>
          <w:tcPr>
            <w:tcW w:type="dxa" w:w="4608"/>
            <w:shd w:val="clear" w:color="auto" w:fill="DCE6F1"/>
          </w:tcPr>
          <w:p>
            <w:r>
              <w:t>Timestamp de última modificación</w:t>
            </w:r>
          </w:p>
        </w:tc>
      </w:tr>
    </w:tbl>
    <w:p/>
    <w:p>
      <w:pPr>
        <w:pStyle w:val="Heading2"/>
      </w:pPr>
      <w:r>
        <w:rPr>
          <w:color w:val="2E74B5"/>
        </w:rPr>
        <w:t>4.1 Índices</w:t>
      </w:r>
    </w:p>
    <w:p>
      <w:pPr>
        <w:pStyle w:val="ListBullet"/>
        <w:spacing w:after="40"/>
        <w:ind w:left="360"/>
      </w:pPr>
      <w:r>
        <w:t>idx_event_start_at → sobre start_at (consultas por rango de fechas)</w:t>
      </w:r>
    </w:p>
    <w:p>
      <w:pPr>
        <w:pStyle w:val="ListBullet"/>
        <w:spacing w:after="40"/>
        <w:ind w:left="360"/>
      </w:pPr>
      <w:r>
        <w:t>idx_event_visibility_start → sobre (visibility, start_at) (calendario público)</w:t>
      </w:r>
    </w:p>
    <w:p/>
    <w:p>
      <w:pPr>
        <w:spacing w:after="120"/>
      </w:pPr>
      <w:r>
        <w:t>Nota: La columna time_zone existió inicialmente (migración V1) y fue eliminada en la migración V3. Todos los timestamps se almacenan en UTC.</w:t>
      </w:r>
    </w:p>
    <w:p>
      <w:pPr>
        <w:pStyle w:val="Heading1"/>
      </w:pPr>
      <w:r>
        <w:rPr>
          <w:color w:val="1F497D"/>
        </w:rPr>
        <w:t>5. Seguridad y Roles</w:t>
      </w:r>
    </w:p>
    <w:p>
      <w:pPr>
        <w:spacing w:after="120"/>
      </w:pPr>
      <w:r>
        <w:t>La autenticación se delega a Keycloak mediante tokens JWT. Los roles se extraen del claim realm_access.roles del token y se convierten al prefijo ROLE_ que reconoce Spring Security.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304"/>
            <w:shd w:val="clear" w:color="auto" w:fill="1F497D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6624"/>
            <w:shd w:val="clear" w:color="auto" w:fill="1F497D"/>
          </w:tcPr>
          <w:p>
            <w:r>
              <w:rPr>
                <w:b/>
                <w:color w:val="FFFFFF"/>
              </w:rPr>
              <w:t>Permisos</w:t>
            </w:r>
          </w:p>
        </w:tc>
      </w:tr>
      <w:tr>
        <w:tc>
          <w:tcPr>
            <w:tcW w:type="dxa" w:w="2304"/>
          </w:tcPr>
          <w:p>
            <w:r>
              <w:t>ADMIN</w:t>
            </w:r>
          </w:p>
        </w:tc>
        <w:tc>
          <w:tcPr>
            <w:tcW w:type="dxa" w:w="6624"/>
          </w:tcPr>
          <w:p>
            <w:r>
              <w:t>Crear, actualizar, eliminar y leer eventos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t>MUSICIAN</w:t>
            </w:r>
          </w:p>
        </w:tc>
        <w:tc>
          <w:tcPr>
            <w:tcW w:type="dxa" w:w="6624"/>
            <w:shd w:val="clear" w:color="auto" w:fill="DCE6F1"/>
          </w:tcPr>
          <w:p>
            <w:r>
              <w:t>Solo lectura de eventos</w:t>
            </w:r>
          </w:p>
        </w:tc>
      </w:tr>
      <w:tr>
        <w:tc>
          <w:tcPr>
            <w:tcW w:type="dxa" w:w="2304"/>
          </w:tcPr>
          <w:p>
            <w:r>
              <w:t>Público (sin token)</w:t>
            </w:r>
          </w:p>
        </w:tc>
        <w:tc>
          <w:tcPr>
            <w:tcW w:type="dxa" w:w="6624"/>
          </w:tcPr>
          <w:p>
            <w:r>
              <w:t>Solo /api/events/public/calendar y /actuator/health</w:t>
            </w:r>
          </w:p>
        </w:tc>
      </w:tr>
    </w:tbl>
    <w:p/>
    <w:p>
      <w:pPr>
        <w:spacing w:after="120"/>
      </w:pPr>
      <w:r>
        <w:t>CORS habilitado para localhost:3000 y localhost:5173 (frontend local en desarrollo).</w:t>
      </w:r>
    </w:p>
    <w:p>
      <w:pPr>
        <w:pStyle w:val="Heading1"/>
      </w:pPr>
      <w:r>
        <w:rPr>
          <w:color w:val="1F497D"/>
        </w:rPr>
        <w:t>6. Workflow General de una Petición</w:t>
      </w:r>
    </w:p>
    <w:p>
      <w:pPr>
        <w:spacing w:after="80"/>
        <w:ind w:left="288"/>
      </w:pPr>
      <w:r>
        <w:rPr>
          <w:b/>
        </w:rPr>
        <w:t xml:space="preserve">1. Recepción: </w:t>
      </w:r>
      <w:r>
        <w:t>El cliente (frontend o API Gateway) envía una petición HTTP con un JWT Bearer en la cabecera Authorization.</w:t>
      </w:r>
    </w:p>
    <w:p>
      <w:pPr>
        <w:spacing w:after="80"/>
        <w:ind w:left="288"/>
      </w:pPr>
      <w:r>
        <w:rPr>
          <w:b/>
        </w:rPr>
        <w:t xml:space="preserve">2. SecurityConfig: </w:t>
      </w:r>
      <w:r>
        <w:t>Spring Security valida el JWT contra el JWKS de Keycloak, extrae los roles de realm_access.roles y comprueba las reglas de autorización (@PreAuthorize y reglas HTTP).</w:t>
      </w:r>
    </w:p>
    <w:p>
      <w:pPr>
        <w:spacing w:after="80"/>
        <w:ind w:left="288"/>
      </w:pPr>
      <w:r>
        <w:rPr>
          <w:b/>
        </w:rPr>
        <w:t xml:space="preserve">3. EventController: </w:t>
      </w:r>
      <w:r>
        <w:t>Valida el cuerpo de la petición con Bean Validation (@Valid). Para PUT/DELETE extrae el header If-Match y lo convierte a número de versión.</w:t>
      </w:r>
    </w:p>
    <w:p>
      <w:pPr>
        <w:spacing w:after="80"/>
        <w:ind w:left="288"/>
      </w:pPr>
      <w:r>
        <w:rPr>
          <w:b/>
        </w:rPr>
        <w:t xml:space="preserve">4. EventServiceImpl: </w:t>
      </w:r>
      <w:r>
        <w:t>Aplica las reglas de negocio configurables (duración, solapamientos, crear en pasado) y compara la versión ETag con @Version de la entidad. Persiste mediante EventRepository.</w:t>
      </w:r>
    </w:p>
    <w:p>
      <w:pPr>
        <w:spacing w:after="80"/>
        <w:ind w:left="288"/>
      </w:pPr>
      <w:r>
        <w:rPr>
          <w:b/>
        </w:rPr>
        <w:t xml:space="preserve">5. EventRepository: </w:t>
      </w:r>
      <w:r>
        <w:t>Accede a MySQL a través de JPA/Hibernate. Para búsquedas dinámicas usa JPA Specifications.</w:t>
      </w:r>
    </w:p>
    <w:p>
      <w:pPr>
        <w:spacing w:after="80"/>
        <w:ind w:left="288"/>
      </w:pPr>
      <w:r>
        <w:rPr>
          <w:b/>
        </w:rPr>
        <w:t xml:space="preserve">6. SurveysFeignClient (solo deleteEvent): </w:t>
      </w:r>
      <w:r>
        <w:t>Notifica al MS de Encuestas para eliminar las encuestas huérfanas. La llamada es best-effort: un fallo solo genera un warning, no revierte el borrado.</w:t>
      </w:r>
    </w:p>
    <w:p>
      <w:pPr>
        <w:spacing w:after="80"/>
        <w:ind w:left="288"/>
      </w:pPr>
      <w:r>
        <w:rPr>
          <w:b/>
        </w:rPr>
        <w:t xml:space="preserve">7. Respuesta: </w:t>
      </w:r>
      <w:r>
        <w:t>Las mutaciones (POST/PUT) devuelven el recurso con cabecera ETag: W/"&lt;version&gt;". Las listas se envuelven en PaginatedResponse&lt;T&gt; con metadatos de paginación.</w:t>
      </w:r>
    </w:p>
    <w:p>
      <w:pPr>
        <w:pStyle w:val="Heading1"/>
      </w:pPr>
      <w:r>
        <w:rPr>
          <w:color w:val="1F497D"/>
        </w:rPr>
        <w:t>7. API REST — Endpoints</w:t>
      </w:r>
    </w:p>
    <w:p>
      <w:pPr>
        <w:pStyle w:val="Heading2"/>
      </w:pPr>
      <w:r>
        <w:rPr>
          <w:color w:val="2E74B5"/>
        </w:rPr>
        <w:t>7.1 Endpoints autenticados (ADMIN + MUSICIAN)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/api/events/{eventId}</w:t>
            </w:r>
          </w:p>
        </w:tc>
        <w:tc>
          <w:tcPr>
            <w:tcW w:type="dxa" w:w="4032"/>
          </w:tcPr>
          <w:p>
            <w:r>
              <w:t>Obtener un evento por ID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t>GET</w:t>
            </w:r>
          </w:p>
        </w:tc>
        <w:tc>
          <w:tcPr>
            <w:tcW w:type="dxa" w:w="4032"/>
            <w:shd w:val="clear" w:color="auto" w:fill="DCE6F1"/>
          </w:tcPr>
          <w:p>
            <w:r>
              <w:t>/api/events?from=&amp;to=</w:t>
            </w:r>
          </w:p>
        </w:tc>
        <w:tc>
          <w:tcPr>
            <w:tcW w:type="dxa" w:w="4032"/>
            <w:shd w:val="clear" w:color="auto" w:fill="DCE6F1"/>
          </w:tcPr>
          <w:p>
            <w:r>
              <w:t>Listar eventos en rango de fechas (paginado)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/api/events/past?before=</w:t>
            </w:r>
          </w:p>
        </w:tc>
        <w:tc>
          <w:tcPr>
            <w:tcW w:type="dxa" w:w="4032"/>
          </w:tcPr>
          <w:p>
            <w:r>
              <w:t>Listar eventos pasados (por end_at)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t>GET</w:t>
            </w:r>
          </w:p>
        </w:tc>
        <w:tc>
          <w:tcPr>
            <w:tcW w:type="dxa" w:w="4032"/>
            <w:shd w:val="clear" w:color="auto" w:fill="DCE6F1"/>
          </w:tcPr>
          <w:p>
            <w:r>
              <w:t>/api/events/calendar?from=&amp;to=</w:t>
            </w:r>
          </w:p>
        </w:tc>
        <w:tc>
          <w:tcPr>
            <w:tcW w:type="dxa" w:w="4032"/>
            <w:shd w:val="clear" w:color="auto" w:fill="DCE6F1"/>
          </w:tcPr>
          <w:p>
            <w:r>
              <w:t>Vista calendario privada (payload ligero)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/api/events/search?q=&amp;type=...</w:t>
            </w:r>
          </w:p>
        </w:tc>
        <w:tc>
          <w:tcPr>
            <w:tcW w:type="dxa" w:w="4032"/>
          </w:tcPr>
          <w:p>
            <w:r>
              <w:t>Búsqueda avanzada con filtros múltiples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t>GET</w:t>
            </w:r>
          </w:p>
        </w:tc>
        <w:tc>
          <w:tcPr>
            <w:tcW w:type="dxa" w:w="4032"/>
            <w:shd w:val="clear" w:color="auto" w:fill="DCE6F1"/>
          </w:tcPr>
          <w:p>
            <w:r>
              <w:t>/api/events/available-types</w:t>
            </w:r>
          </w:p>
        </w:tc>
        <w:tc>
          <w:tcPr>
            <w:tcW w:type="dxa" w:w="4032"/>
            <w:shd w:val="clear" w:color="auto" w:fill="DCE6F1"/>
          </w:tcPr>
          <w:p>
            <w:r>
              <w:t>Enum de tipos disponibles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/api/events/available-statuses</w:t>
            </w:r>
          </w:p>
        </w:tc>
        <w:tc>
          <w:tcPr>
            <w:tcW w:type="dxa" w:w="4032"/>
          </w:tcPr>
          <w:p>
            <w:r>
              <w:t>Enum de estados disponibles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t>GET</w:t>
            </w:r>
          </w:p>
        </w:tc>
        <w:tc>
          <w:tcPr>
            <w:tcW w:type="dxa" w:w="4032"/>
            <w:shd w:val="clear" w:color="auto" w:fill="DCE6F1"/>
          </w:tcPr>
          <w:p>
            <w:r>
              <w:t>/api/events/available-visibilities</w:t>
            </w:r>
          </w:p>
        </w:tc>
        <w:tc>
          <w:tcPr>
            <w:tcW w:type="dxa" w:w="4032"/>
            <w:shd w:val="clear" w:color="auto" w:fill="DCE6F1"/>
          </w:tcPr>
          <w:p>
            <w:r>
              <w:t>Enum de visibilidades disponibles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/api/events/{eventId}/scores</w:t>
            </w:r>
          </w:p>
        </w:tc>
        <w:tc>
          <w:tcPr>
            <w:tcW w:type="dxa" w:w="4032"/>
          </w:tcPr>
          <w:p>
            <w:r>
              <w:t>Placeholder (devuelve lista vacía)</w:t>
            </w:r>
          </w:p>
        </w:tc>
      </w:tr>
    </w:tbl>
    <w:p/>
    <w:p>
      <w:pPr>
        <w:pStyle w:val="Heading2"/>
      </w:pPr>
      <w:r>
        <w:rPr>
          <w:color w:val="2E74B5"/>
        </w:rPr>
        <w:t>7.2 Solo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/api/events</w:t>
            </w:r>
          </w:p>
        </w:tc>
        <w:tc>
          <w:tcPr>
            <w:tcW w:type="dxa" w:w="4032"/>
          </w:tcPr>
          <w:p>
            <w:r>
              <w:t>Crear evento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>
              <w:t>PUT</w:t>
            </w:r>
          </w:p>
        </w:tc>
        <w:tc>
          <w:tcPr>
            <w:tcW w:type="dxa" w:w="4032"/>
            <w:shd w:val="clear" w:color="auto" w:fill="DCE6F1"/>
          </w:tcPr>
          <w:p>
            <w:r>
              <w:t>/api/events/{eventId}</w:t>
            </w:r>
          </w:p>
        </w:tc>
        <w:tc>
          <w:tcPr>
            <w:tcW w:type="dxa" w:w="4032"/>
            <w:shd w:val="clear" w:color="auto" w:fill="DCE6F1"/>
          </w:tcPr>
          <w:p>
            <w:r>
              <w:t>Actualizar evento (requiere If-Match)</w:t>
            </w:r>
          </w:p>
        </w:tc>
      </w:tr>
      <w:tr>
        <w:tc>
          <w:tcPr>
            <w:tcW w:type="dxa" w:w="1008"/>
          </w:tcPr>
          <w:p>
            <w:r>
              <w:t>DELETE</w:t>
            </w:r>
          </w:p>
        </w:tc>
        <w:tc>
          <w:tcPr>
            <w:tcW w:type="dxa" w:w="4032"/>
          </w:tcPr>
          <w:p>
            <w:r>
              <w:t>/api/events/{eventId}</w:t>
            </w:r>
          </w:p>
        </w:tc>
        <w:tc>
          <w:tcPr>
            <w:tcW w:type="dxa" w:w="4032"/>
          </w:tcPr>
          <w:p>
            <w:r>
              <w:t>Eliminar evento (requiere If-Match)</w:t>
            </w:r>
          </w:p>
        </w:tc>
      </w:tr>
    </w:tbl>
    <w:p/>
    <w:p>
      <w:pPr>
        <w:pStyle w:val="Heading2"/>
      </w:pPr>
      <w:r>
        <w:rPr>
          <w:color w:val="2E74B5"/>
        </w:rPr>
        <w:t>7.3 Público (sin autenticación)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/api/events/public/calendar?from=&amp;to=</w:t>
            </w:r>
          </w:p>
        </w:tc>
        <w:tc>
          <w:tcPr>
            <w:tcW w:type="dxa" w:w="4032"/>
          </w:tcPr>
          <w:p>
            <w:r>
              <w:t>Calendario público (solo eventos PUBLIC)</w:t>
            </w:r>
          </w:p>
        </w:tc>
      </w:tr>
    </w:tbl>
    <w:p/>
    <w:p>
      <w:pPr>
        <w:pStyle w:val="Heading1"/>
      </w:pPr>
      <w:r>
        <w:rPr>
          <w:color w:val="1F497D"/>
        </w:rPr>
        <w:t>8. Reglas de Negocio Configurables</w:t>
      </w:r>
    </w:p>
    <w:p>
      <w:pPr>
        <w:spacing w:after="120"/>
      </w:pPr>
      <w:r>
        <w:t>Las reglas se definen en EventRulesProperties y son completamente externalizables mediante variables de entorno, permitiendo comportamientos distintos entre entornos.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</w:rPr>
              <w:t>Dev (default)</w:t>
            </w:r>
          </w:p>
        </w:tc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</w:rPr>
              <w:t>Prod (default)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</w:rPr>
              <w:t>Variable de entorno</w:t>
            </w:r>
          </w:p>
        </w:tc>
      </w:tr>
      <w:tr>
        <w:tc>
          <w:tcPr>
            <w:tcW w:type="dxa" w:w="2880"/>
          </w:tcPr>
          <w:p>
            <w:r>
              <w:t>Duración mínima</w:t>
            </w:r>
          </w:p>
        </w:tc>
        <w:tc>
          <w:tcPr>
            <w:tcW w:type="dxa" w:w="2016"/>
          </w:tcPr>
          <w:p>
            <w:r>
              <w:t>15 min</w:t>
            </w:r>
          </w:p>
        </w:tc>
        <w:tc>
          <w:tcPr>
            <w:tcW w:type="dxa" w:w="2016"/>
          </w:tcPr>
          <w:p>
            <w:r>
              <w:t>15 min</w:t>
            </w:r>
          </w:p>
        </w:tc>
        <w:tc>
          <w:tcPr>
            <w:tcW w:type="dxa" w:w="3600"/>
          </w:tcPr>
          <w:p>
            <w:r>
              <w:t>EVENTS_RULES_MIN_DURATION_MINUTES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Duración máxima</w:t>
            </w:r>
          </w:p>
        </w:tc>
        <w:tc>
          <w:tcPr>
            <w:tcW w:type="dxa" w:w="2016"/>
            <w:shd w:val="clear" w:color="auto" w:fill="DCE6F1"/>
          </w:tcPr>
          <w:p>
            <w:r>
              <w:t>240 h (10 días)</w:t>
            </w:r>
          </w:p>
        </w:tc>
        <w:tc>
          <w:tcPr>
            <w:tcW w:type="dxa" w:w="2016"/>
            <w:shd w:val="clear" w:color="auto" w:fill="DCE6F1"/>
          </w:tcPr>
          <w:p>
            <w:r>
              <w:t>8 h</w:t>
            </w:r>
          </w:p>
        </w:tc>
        <w:tc>
          <w:tcPr>
            <w:tcW w:type="dxa" w:w="3600"/>
            <w:shd w:val="clear" w:color="auto" w:fill="DCE6F1"/>
          </w:tcPr>
          <w:p>
            <w:r>
              <w:t>EVENTS_RULES_MAX_DURATION_HOURS</w:t>
            </w:r>
          </w:p>
        </w:tc>
      </w:tr>
      <w:tr>
        <w:tc>
          <w:tcPr>
            <w:tcW w:type="dxa" w:w="2880"/>
          </w:tcPr>
          <w:p>
            <w:r>
              <w:t>Solapamientos mismo lugar</w:t>
            </w:r>
          </w:p>
        </w:tc>
        <w:tc>
          <w:tcPr>
            <w:tcW w:type="dxa" w:w="2016"/>
          </w:tcPr>
          <w:p>
            <w:r>
              <w:t>true (permitido)</w:t>
            </w:r>
          </w:p>
        </w:tc>
        <w:tc>
          <w:tcPr>
            <w:tcW w:type="dxa" w:w="2016"/>
          </w:tcPr>
          <w:p>
            <w:r>
              <w:t>false (bloqueado)</w:t>
            </w:r>
          </w:p>
        </w:tc>
        <w:tc>
          <w:tcPr>
            <w:tcW w:type="dxa" w:w="3600"/>
          </w:tcPr>
          <w:p>
            <w:r>
              <w:t>EVENTS_RULES_ALLOW_OVERLAP_SAME_LOCATION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Crear en el pasado</w:t>
            </w:r>
          </w:p>
        </w:tc>
        <w:tc>
          <w:tcPr>
            <w:tcW w:type="dxa" w:w="2016"/>
            <w:shd w:val="clear" w:color="auto" w:fill="DCE6F1"/>
          </w:tcPr>
          <w:p>
            <w:r>
              <w:t>true (permitido)</w:t>
            </w:r>
          </w:p>
        </w:tc>
        <w:tc>
          <w:tcPr>
            <w:tcW w:type="dxa" w:w="2016"/>
            <w:shd w:val="clear" w:color="auto" w:fill="DCE6F1"/>
          </w:tcPr>
          <w:p>
            <w:r>
              <w:t>false (bloqueado)</w:t>
            </w:r>
          </w:p>
        </w:tc>
        <w:tc>
          <w:tcPr>
            <w:tcW w:type="dxa" w:w="3600"/>
            <w:shd w:val="clear" w:color="auto" w:fill="DCE6F1"/>
          </w:tcPr>
          <w:p>
            <w:r>
              <w:t>EVENTS_RULES_ALLOW_CREATE_IN_PAST</w:t>
            </w:r>
          </w:p>
        </w:tc>
      </w:tr>
    </w:tbl>
    <w:p/>
    <w:p>
      <w:pPr>
        <w:pStyle w:val="Heading1"/>
      </w:pPr>
      <w:r>
        <w:rPr>
          <w:color w:val="1F497D"/>
        </w:rPr>
        <w:t>9. Integración con Otros Microservicios</w:t>
      </w:r>
    </w:p>
    <w:p>
      <w:pPr>
        <w:pStyle w:val="Heading2"/>
      </w:pPr>
      <w:r>
        <w:rPr>
          <w:color w:val="2E74B5"/>
        </w:rPr>
        <w:t>9.1 MS Surveys</w:t>
      </w:r>
    </w:p>
    <w:p>
      <w:pPr>
        <w:spacing w:after="120"/>
      </w:pPr>
      <w:r>
        <w:t>Al eliminar un evento se llama a DELETE /api/surveys/event/{eventId} en el microservicio de encuestas vía Feign (SurveysFeignClient). La llamada es best-effort: si falla, el evento se elimina igualmente y se registra solo un warning, evitando acoplamiento fuerte entre servicios.</w:t>
      </w:r>
    </w:p>
    <w:p>
      <w:pPr>
        <w:pStyle w:val="Heading2"/>
      </w:pPr>
      <w:r>
        <w:rPr>
          <w:color w:val="2E74B5"/>
        </w:rPr>
        <w:t>9.2 Propagación de JWT</w:t>
      </w:r>
    </w:p>
    <w:p>
      <w:pPr>
        <w:spacing w:after="120"/>
      </w:pPr>
      <w:r>
        <w:t>FeignSecurityConfig inyecta automáticamente el token JWT del contexto de seguridad actual en todas las llamadas salientes de Feign, cumpliendo los requisitos de autenticación del API Gateway.</w:t>
      </w:r>
    </w:p>
    <w:p>
      <w:pPr>
        <w:pStyle w:val="Heading1"/>
      </w:pPr>
      <w:r>
        <w:rPr>
          <w:color w:val="1F497D"/>
        </w:rPr>
        <w:t>10. Despliegue</w:t>
      </w:r>
    </w:p>
    <w:p>
      <w:pPr>
        <w:pStyle w:val="Heading2"/>
      </w:pPr>
      <w:r>
        <w:rPr>
          <w:color w:val="2E74B5"/>
        </w:rPr>
        <w:t>10.1 Dockerfile Multi-stage</w:t>
      </w:r>
    </w:p>
    <w:p>
      <w:pPr>
        <w:spacing w:after="120"/>
      </w:pPr>
      <w:r>
        <w:t>El Dockerfile sigue el patrón multi-stage para minimizar el tamaño de la imagen final:</w:t>
      </w:r>
    </w:p>
    <w:p>
      <w:pPr>
        <w:pStyle w:val="ListBullet"/>
        <w:spacing w:after="40"/>
        <w:ind w:left="360"/>
      </w:pPr>
      <w:r>
        <w:t>Etapa build: Maven 3.9 + JDK 21 compila y empaqueta el jar (app.jar).</w:t>
      </w:r>
    </w:p>
    <w:p>
      <w:pPr>
        <w:pStyle w:val="ListBullet"/>
        <w:spacing w:after="40"/>
        <w:ind w:left="360"/>
      </w:pPr>
      <w:r>
        <w:t>Etapa runtime: eclipse-temurin:21-jre-alpine (imagen mínima).</w:t>
      </w:r>
    </w:p>
    <w:p>
      <w:pPr>
        <w:pStyle w:val="ListBullet"/>
        <w:spacing w:after="40"/>
        <w:ind w:left="360"/>
      </w:pPr>
      <w:r>
        <w:t>Usuario no root: usuario spring para minimizar riesgos de seguridad.</w:t>
      </w:r>
    </w:p>
    <w:p>
      <w:pPr>
        <w:pStyle w:val="ListBullet"/>
        <w:spacing w:after="40"/>
        <w:ind w:left="360"/>
      </w:pPr>
      <w:r>
        <w:t>Healthcheck: GET /actuator/health cada 15 s.</w:t>
      </w:r>
    </w:p>
    <w:p/>
    <w:p>
      <w:pPr>
        <w:pStyle w:val="Heading2"/>
      </w:pPr>
      <w:r>
        <w:rPr>
          <w:color w:val="2E74B5"/>
        </w:rPr>
        <w:t>10.2 Perfiles de Spring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</w:rPr>
              <w:t>Puerto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BD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Keycloak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728"/>
          </w:tcPr>
          <w:p>
            <w:r>
              <w:t>default (local)</w:t>
            </w:r>
          </w:p>
        </w:tc>
        <w:tc>
          <w:tcPr>
            <w:tcW w:type="dxa" w:w="1872"/>
          </w:tcPr>
          <w:p>
            <w:r>
              <w:t>8083</w:t>
            </w:r>
          </w:p>
        </w:tc>
        <w:tc>
          <w:tcPr>
            <w:tcW w:type="dxa" w:w="2160"/>
          </w:tcPr>
          <w:p>
            <w:r>
              <w:t>localhost:3307</w:t>
            </w:r>
          </w:p>
        </w:tc>
        <w:tc>
          <w:tcPr>
            <w:tcW w:type="dxa" w:w="2592"/>
          </w:tcPr>
          <w:p>
            <w:r>
              <w:t>localhost:8080</w:t>
            </w:r>
          </w:p>
        </w:tc>
        <w:tc>
          <w:tcPr>
            <w:tcW w:type="dxa" w:w="2160"/>
          </w:tcPr>
          <w:p>
            <w:r>
              <w:t>Swagger habilitado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t>docker</w:t>
            </w:r>
          </w:p>
        </w:tc>
        <w:tc>
          <w:tcPr>
            <w:tcW w:type="dxa" w:w="1872"/>
            <w:shd w:val="clear" w:color="auto" w:fill="DCE6F1"/>
          </w:tcPr>
          <w:p>
            <w:r>
              <w:t>8080 (→8083 host)</w:t>
            </w:r>
          </w:p>
        </w:tc>
        <w:tc>
          <w:tcPr>
            <w:tcW w:type="dxa" w:w="2160"/>
            <w:shd w:val="clear" w:color="auto" w:fill="DCE6F1"/>
          </w:tcPr>
          <w:p>
            <w:r>
              <w:t>Vars de entorno DB_*</w:t>
            </w:r>
          </w:p>
        </w:tc>
        <w:tc>
          <w:tcPr>
            <w:tcW w:type="dxa" w:w="2592"/>
            <w:shd w:val="clear" w:color="auto" w:fill="DCE6F1"/>
          </w:tcPr>
          <w:p>
            <w:r>
              <w:t>JWK-set-uri por variable</w:t>
            </w:r>
          </w:p>
        </w:tc>
        <w:tc>
          <w:tcPr>
            <w:tcW w:type="dxa" w:w="2160"/>
            <w:shd w:val="clear" w:color="auto" w:fill="DCE6F1"/>
          </w:tcPr>
          <w:p>
            <w:r>
              <w:t>Flyway con connect-retries</w:t>
            </w:r>
          </w:p>
        </w:tc>
      </w:tr>
      <w:tr>
        <w:tc>
          <w:tcPr>
            <w:tcW w:type="dxa" w:w="1728"/>
          </w:tcPr>
          <w:p>
            <w:r>
              <w:t>prod</w:t>
            </w:r>
          </w:p>
        </w:tc>
        <w:tc>
          <w:tcPr>
            <w:tcW w:type="dxa" w:w="1872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Vars DB_* + SSL</w:t>
            </w:r>
          </w:p>
        </w:tc>
        <w:tc>
          <w:tcPr>
            <w:tcW w:type="dxa" w:w="2592"/>
          </w:tcPr>
          <w:p>
            <w:r>
              <w:t>HTTPS issuer-uri por variable</w:t>
            </w:r>
          </w:p>
        </w:tc>
        <w:tc>
          <w:tcPr>
            <w:tcW w:type="dxa" w:w="2160"/>
          </w:tcPr>
          <w:p>
            <w:r>
              <w:t>Swagger OFF, ddl-auto: validate</w:t>
            </w:r>
          </w:p>
        </w:tc>
      </w:tr>
    </w:tbl>
    <w:p/>
    <w:p>
      <w:pPr>
        <w:pStyle w:val="Heading1"/>
      </w:pPr>
      <w:r>
        <w:rPr>
          <w:color w:val="1F497D"/>
        </w:rPr>
        <w:t>11. Casos de Uso Cubiertos</w:t>
      </w:r>
    </w:p>
    <w:p>
      <w:pPr>
        <w:spacing w:before="120"/>
      </w:pPr>
      <w:r>
        <w:rPr>
          <w:b/>
          <w:color w:val="1F497D"/>
        </w:rPr>
        <w:t>CU-01 — Gestión del ciclo de vida de eventos</w:t>
      </w:r>
    </w:p>
    <w:p>
      <w:pPr>
        <w:spacing w:after="80"/>
        <w:ind w:left="432"/>
      </w:pPr>
      <w:r>
        <w:t>Un administrador de la banda puede crear, modificar y cancelar/eliminar ensayos, conciertos, reuniones y otros eventos. Las actualizaciones son seguras frente a escrituras concurrentes gracias al mecanismo de ETag/If-Match (optimistic locking).</w:t>
      </w:r>
    </w:p>
    <w:p>
      <w:pPr>
        <w:spacing w:before="120"/>
      </w:pPr>
      <w:r>
        <w:rPr>
          <w:b/>
          <w:color w:val="1F497D"/>
        </w:rPr>
        <w:t>CU-02 — Consulta y filtrado de eventos</w:t>
      </w:r>
    </w:p>
    <w:p>
      <w:pPr>
        <w:spacing w:after="80"/>
        <w:ind w:left="432"/>
      </w:pPr>
      <w:r>
        <w:t>Los músicos pueden consultar qué eventos hay en un rango de fechas, ver los pasados y buscar por texto libre o filtros específicos (tipo, estado, visibilidad, título, ubicación).</w:t>
      </w:r>
    </w:p>
    <w:p>
      <w:pPr>
        <w:spacing w:before="120"/>
      </w:pPr>
      <w:r>
        <w:rPr>
          <w:b/>
          <w:color w:val="1F497D"/>
        </w:rPr>
        <w:t>CU-03 — Vista de calendario privada</w:t>
      </w:r>
    </w:p>
    <w:p>
      <w:pPr>
        <w:spacing w:after="80"/>
        <w:ind w:left="432"/>
      </w:pPr>
      <w:r>
        <w:t>La banda puede obtener una vista calendario optimizada (payload mínimo: id, título, inicio, fin, tipo) para integrar con un componente de calendario en el frontend.</w:t>
      </w:r>
    </w:p>
    <w:p>
      <w:pPr>
        <w:spacing w:before="120"/>
      </w:pPr>
      <w:r>
        <w:rPr>
          <w:b/>
          <w:color w:val="1F497D"/>
        </w:rPr>
        <w:t>CU-04 — Calendario público</w:t>
      </w:r>
    </w:p>
    <w:p>
      <w:pPr>
        <w:spacing w:after="80"/>
        <w:ind w:left="432"/>
      </w:pPr>
      <w:r>
        <w:t>Cualquier visitante (sin autenticación) puede ver los eventos marcados como PUBLIC, permitiendo publicar la agenda de conciertos en una web pública.</w:t>
      </w:r>
    </w:p>
    <w:p>
      <w:pPr>
        <w:spacing w:before="120"/>
      </w:pPr>
      <w:r>
        <w:rPr>
          <w:b/>
          <w:color w:val="1F497D"/>
        </w:rPr>
        <w:t>CU-05 — Catálogo de metadatos</w:t>
      </w:r>
    </w:p>
    <w:p>
      <w:pPr>
        <w:spacing w:after="80"/>
        <w:ind w:left="432"/>
      </w:pPr>
      <w:r>
        <w:t>Provee endpoints para que el frontend obtenga los valores posibles de tipo, estado y visibilidad sin necesidad de hardcodearlos en el cliente.</w:t>
      </w:r>
    </w:p>
    <w:p>
      <w:pPr>
        <w:spacing w:before="120"/>
      </w:pPr>
      <w:r>
        <w:rPr>
          <w:b/>
          <w:color w:val="1F497D"/>
        </w:rPr>
        <w:t>CU-06 — Cascada de borrado cross-servicio</w:t>
      </w:r>
    </w:p>
    <w:p>
      <w:pPr>
        <w:spacing w:after="80"/>
        <w:ind w:left="432"/>
      </w:pPr>
      <w:r>
        <w:t>Al eliminar un evento se notifica automáticamente al microservicio de Encuestas para limpiar las encuestas asociadas, manteniendo la consistencia eventual entre microservicios.</w:t>
      </w:r>
    </w:p>
    <w:p>
      <w:pPr>
        <w:spacing w:before="120"/>
      </w:pPr>
      <w:r>
        <w:rPr>
          <w:b/>
          <w:color w:val="1F497D"/>
        </w:rPr>
        <w:t>CU-07 — Placeholder de partituras</w:t>
      </w:r>
    </w:p>
    <w:p>
      <w:pPr>
        <w:spacing w:after="80"/>
        <w:ind w:left="432"/>
      </w:pPr>
      <w:r>
        <w:t>Endpoint preparado (/api/events/{id}/scores) para la futura integración con el microservicio de Partituras, devolviendo de momento lista vacía.</w:t>
      </w:r>
    </w:p>
    <w:p>
      <w:pPr>
        <w:pStyle w:val="Heading1"/>
      </w:pPr>
      <w:r>
        <w:rPr>
          <w:color w:val="1F497D"/>
        </w:rPr>
        <w:t>12. Manejo de Errores</w:t>
      </w:r>
    </w:p>
    <w:p>
      <w:pPr>
        <w:spacing w:after="120"/>
      </w:pPr>
      <w:r>
        <w:t>El handler global ApiExceptionHandler (@RestControllerAdvice) intercepta todas las excepciones y las convierte en respuestas JSON estructuradas con el código HTTP apropiado.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</w:rPr>
              <w:t>Excepción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</w:rPr>
              <w:t>HTTP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032"/>
          </w:tcPr>
          <w:p>
            <w:r>
              <w:t>NotFoundException</w:t>
            </w:r>
          </w:p>
        </w:tc>
        <w:tc>
          <w:tcPr>
            <w:tcW w:type="dxa" w:w="864"/>
          </w:tcPr>
          <w:p>
            <w:r>
              <w:t>404</w:t>
            </w:r>
          </w:p>
        </w:tc>
        <w:tc>
          <w:tcPr>
            <w:tcW w:type="dxa" w:w="4032"/>
          </w:tcPr>
          <w:p>
            <w:r>
              <w:t>Evento no encontrado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t>BadRequestException</w:t>
            </w:r>
          </w:p>
        </w:tc>
        <w:tc>
          <w:tcPr>
            <w:tcW w:type="dxa" w:w="864"/>
            <w:shd w:val="clear" w:color="auto" w:fill="DCE6F1"/>
          </w:tcPr>
          <w:p>
            <w:r>
              <w:t>400</w:t>
            </w:r>
          </w:p>
        </w:tc>
        <w:tc>
          <w:tcPr>
            <w:tcW w:type="dxa" w:w="4032"/>
            <w:shd w:val="clear" w:color="auto" w:fill="DCE6F1"/>
          </w:tcPr>
          <w:p>
            <w:r>
              <w:t>Validación de negocio fallida</w:t>
            </w:r>
          </w:p>
        </w:tc>
      </w:tr>
      <w:tr>
        <w:tc>
          <w:tcPr>
            <w:tcW w:type="dxa" w:w="4032"/>
          </w:tcPr>
          <w:p>
            <w:r>
              <w:t>IllegalArgumentException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4032"/>
          </w:tcPr>
          <w:p>
            <w:r>
              <w:t>Argumento inválido (p.ej. ETag malformado)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t>MethodArgumentNotValidException</w:t>
            </w:r>
          </w:p>
        </w:tc>
        <w:tc>
          <w:tcPr>
            <w:tcW w:type="dxa" w:w="864"/>
            <w:shd w:val="clear" w:color="auto" w:fill="DCE6F1"/>
          </w:tcPr>
          <w:p>
            <w:r>
              <w:t>400</w:t>
            </w:r>
          </w:p>
        </w:tc>
        <w:tc>
          <w:tcPr>
            <w:tcW w:type="dxa" w:w="4032"/>
            <w:shd w:val="clear" w:color="auto" w:fill="DCE6F1"/>
          </w:tcPr>
          <w:p>
            <w:r>
              <w:t>Fallo de Bean Validation (@Valid)</w:t>
            </w:r>
          </w:p>
        </w:tc>
      </w:tr>
      <w:tr>
        <w:tc>
          <w:tcPr>
            <w:tcW w:type="dxa" w:w="4032"/>
          </w:tcPr>
          <w:p>
            <w:r>
              <w:t>ConstraintViolationException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4032"/>
          </w:tcPr>
          <w:p>
            <w:r>
              <w:t>Violación de constraint Jakarta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t>HttpMessageNotReadableException</w:t>
            </w:r>
          </w:p>
        </w:tc>
        <w:tc>
          <w:tcPr>
            <w:tcW w:type="dxa" w:w="864"/>
            <w:shd w:val="clear" w:color="auto" w:fill="DCE6F1"/>
          </w:tcPr>
          <w:p>
            <w:r>
              <w:t>400</w:t>
            </w:r>
          </w:p>
        </w:tc>
        <w:tc>
          <w:tcPr>
            <w:tcW w:type="dxa" w:w="4032"/>
            <w:shd w:val="clear" w:color="auto" w:fill="DCE6F1"/>
          </w:tcPr>
          <w:p>
            <w:r>
              <w:t>JSON malformado</w:t>
            </w:r>
          </w:p>
        </w:tc>
      </w:tr>
      <w:tr>
        <w:tc>
          <w:tcPr>
            <w:tcW w:type="dxa" w:w="4032"/>
          </w:tcPr>
          <w:p>
            <w:r>
              <w:t>AccessDeniedException</w:t>
            </w:r>
          </w:p>
        </w:tc>
        <w:tc>
          <w:tcPr>
            <w:tcW w:type="dxa" w:w="864"/>
          </w:tcPr>
          <w:p>
            <w:r>
              <w:t>403</w:t>
            </w:r>
          </w:p>
        </w:tc>
        <w:tc>
          <w:tcPr>
            <w:tcW w:type="dxa" w:w="4032"/>
          </w:tcPr>
          <w:p>
            <w:r>
              <w:t>Sin permisos suficientes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t>PreconditionRequiredException</w:t>
            </w:r>
          </w:p>
        </w:tc>
        <w:tc>
          <w:tcPr>
            <w:tcW w:type="dxa" w:w="864"/>
            <w:shd w:val="clear" w:color="auto" w:fill="DCE6F1"/>
          </w:tcPr>
          <w:p>
            <w:r>
              <w:t>428</w:t>
            </w:r>
          </w:p>
        </w:tc>
        <w:tc>
          <w:tcPr>
            <w:tcW w:type="dxa" w:w="4032"/>
            <w:shd w:val="clear" w:color="auto" w:fill="DCE6F1"/>
          </w:tcPr>
          <w:p>
            <w:r>
              <w:t>Falta cabecera If-Match</w:t>
            </w:r>
          </w:p>
        </w:tc>
      </w:tr>
      <w:tr>
        <w:tc>
          <w:tcPr>
            <w:tcW w:type="dxa" w:w="4032"/>
          </w:tcPr>
          <w:p>
            <w:r>
              <w:t>PreconditionFailedException</w:t>
            </w:r>
          </w:p>
        </w:tc>
        <w:tc>
          <w:tcPr>
            <w:tcW w:type="dxa" w:w="864"/>
          </w:tcPr>
          <w:p>
            <w:r>
              <w:t>412</w:t>
            </w:r>
          </w:p>
        </w:tc>
        <w:tc>
          <w:tcPr>
            <w:tcW w:type="dxa" w:w="4032"/>
          </w:tcPr>
          <w:p>
            <w:r>
              <w:t>Versión ETag no coincide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t>OptimisticLockingFailureException</w:t>
            </w:r>
          </w:p>
        </w:tc>
        <w:tc>
          <w:tcPr>
            <w:tcW w:type="dxa" w:w="864"/>
            <w:shd w:val="clear" w:color="auto" w:fill="DCE6F1"/>
          </w:tcPr>
          <w:p>
            <w:r>
              <w:t>409</w:t>
            </w:r>
          </w:p>
        </w:tc>
        <w:tc>
          <w:tcPr>
            <w:tcW w:type="dxa" w:w="4032"/>
            <w:shd w:val="clear" w:color="auto" w:fill="DCE6F1"/>
          </w:tcPr>
          <w:p>
            <w:r>
              <w:t>Conflicto de actualización concurrente</w:t>
            </w:r>
          </w:p>
        </w:tc>
      </w:tr>
      <w:tr>
        <w:tc>
          <w:tcPr>
            <w:tcW w:type="dxa" w:w="4032"/>
          </w:tcPr>
          <w:p>
            <w:r>
              <w:t>IllegalStateException</w:t>
            </w:r>
          </w:p>
        </w:tc>
        <w:tc>
          <w:tcPr>
            <w:tcW w:type="dxa" w:w="864"/>
          </w:tcPr>
          <w:p>
            <w:r>
              <w:t>409</w:t>
            </w:r>
          </w:p>
        </w:tc>
        <w:tc>
          <w:tcPr>
            <w:tcW w:type="dxa" w:w="4032"/>
          </w:tcPr>
          <w:p>
            <w:r>
              <w:t>Conflicto de estado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t>Exception (genérico)</w:t>
            </w:r>
          </w:p>
        </w:tc>
        <w:tc>
          <w:tcPr>
            <w:tcW w:type="dxa" w:w="864"/>
            <w:shd w:val="clear" w:color="auto" w:fill="DCE6F1"/>
          </w:tcPr>
          <w:p>
            <w:r>
              <w:t>500</w:t>
            </w:r>
          </w:p>
        </w:tc>
        <w:tc>
          <w:tcPr>
            <w:tcW w:type="dxa" w:w="4032"/>
            <w:shd w:val="clear" w:color="auto" w:fill="DCE6F1"/>
          </w:tcPr>
          <w:p>
            <w:r>
              <w:t>Error interno del servidor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