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9A"/>
          <w:sz w:val="44"/>
        </w:rPr>
        <w:t>Análisis de Arquitectura</w:t>
        <w:br/>
        <w:t>Repositorio tfm-infrastructure</w:t>
      </w:r>
    </w:p>
    <w:p/>
    <w:p>
      <w:pPr>
        <w:jc w:val="center"/>
      </w:pPr>
      <w:r>
        <w:rPr>
          <w:i/>
          <w:color w:val="2E74B5"/>
          <w:sz w:val="30"/>
        </w:rPr>
        <w:t>Plataforma TFM Bandas</w:t>
      </w:r>
    </w:p>
    <w:p/>
    <w:p>
      <w:pPr>
        <w:jc w:val="center"/>
      </w:pPr>
      <w:r>
        <w:rPr>
          <w:sz w:val="24"/>
        </w:rPr>
        <w:t>Marzo 2026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r>
        <w:t>El repositorio tfm-infrastructure es un repositorio de infraestructura de orquestación. No contiene código de aplicación directamente, sino que orquesta un sistema de microservicios Java Spring Boot levantados con Docker Compose, orientado a un entorno de desarrollo local para la plataforma "TFM Bandas": una plataforma de gestión para músicos y bandas.</w:t>
      </w:r>
    </w:p>
    <w:p>
      <w:pPr>
        <w:pStyle w:val="Heading1"/>
      </w:pPr>
      <w:r>
        <w:t>2. Estructura del Repositorio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tfm-infrastructure/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├── docker-compose.yml              # Orquestación principal (8 servicios)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├── docker-compose.override.yml     # Overrides para desarrollo (hot-reload)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├── COMANDOS_DOCKER.md              # Guía de referencia rápida Docker (español)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├── env/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│   └── local.env                   # Variables de entorno (BBDD, Keycloak, rutas)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├── mysql/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│   └── init.d/00-init.sql          # Script de inicialización de bases de datos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├── config/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│   └── keycloak/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│       ├── Dockerfile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│       ├── realm-tfm-bandas.json   # Config del realm (roles, clientes, usuarios)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│       └── keycloak_bootstrap.sh   # Script idempotente de inicialización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└── *.json                          # 3 colecciones Postman para testing de APIs</w:t>
      </w:r>
    </w:p>
    <w:p>
      <w:pPr>
        <w:pStyle w:val="Heading1"/>
      </w:pPr>
      <w:r>
        <w:t>3. Servicios y Stack Tecnológico</w:t>
      </w:r>
    </w:p>
    <w:p>
      <w:r>
        <w:t>El docker-compose.yml levanta 8 contenedores en una red interna tfm_net: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5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Puerto (ext)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gateway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8085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Spring Cloud Gateway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API Gateway — enruta todas las peticiones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Spring Boot + JPA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Gestión de usuarios y perfiles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Spring Boot + JPA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Gestión de eventos/conciertos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surveys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Spring Boot + JPA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Encuestas post-evento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identity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8086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Spring Boot (stateless)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Bridge con Keycloak Admin API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5173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Nginx (app Vue/React)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Web frontend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3307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Base de datos principal de negocio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keycloak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Keycloak 24.0.4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Identity Provider (OIDC)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keycloak-mysql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20"/>
              </w:rPr>
              <w:t>3308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20"/>
              </w:rPr>
              <w:t>Base de datos exclusiva de Keycloak</w:t>
            </w:r>
          </w:p>
        </w:tc>
      </w:tr>
    </w:tbl>
    <w:p>
      <w:pPr>
        <w:pStyle w:val="Heading1"/>
      </w:pPr>
      <w:r>
        <w:t>4. Entidades de Base de Datos</w:t>
      </w:r>
    </w:p>
    <w:p>
      <w:r>
        <w:t>La arquitectura sigue el patrón Database-per-service. Cada microservicio tiene su propia base de datos y usuario MySQL con permisos aislados.</w:t>
      </w:r>
    </w:p>
    <w:p>
      <w:pPr>
        <w:pStyle w:val="Heading2"/>
      </w:pPr>
      <w:r>
        <w:t>4.1 tfm_users (servicio Users)</w:t>
      </w:r>
    </w:p>
    <w:p>
      <w:r>
        <w:t>Gestiona usuarios del sistema. Entidades principales inferidas:</w:t>
      </w:r>
    </w:p>
    <w:p>
      <w:pPr>
        <w:pStyle w:val="ListBullet"/>
        <w:ind w:left="360"/>
      </w:pPr>
      <w:r>
        <w:t>User — perfil de usuario (nombre, email, datos personales)</w:t>
      </w:r>
    </w:p>
    <w:p>
      <w:pPr>
        <w:pStyle w:val="ListBullet"/>
        <w:ind w:left="360"/>
      </w:pPr>
      <w:r>
        <w:t>Instrument — instrumentos musicales (referenciados desde /api/instruments/**)</w:t>
      </w:r>
    </w:p>
    <w:p>
      <w:pPr>
        <w:pStyle w:val="ListBullet"/>
        <w:ind w:left="360"/>
      </w:pPr>
      <w:r>
        <w:t>Role mapping — roles de usuario (vía Identity service y Keycloak)</w:t>
      </w:r>
    </w:p>
    <w:p>
      <w:pPr>
        <w:pStyle w:val="Heading2"/>
      </w:pPr>
      <w:r>
        <w:t>4.2 tfm_events (servicio Events)</w:t>
      </w:r>
    </w:p>
    <w:p>
      <w:r>
        <w:t>Gestiona eventos/conciertos. Entidades principales inferidas:</w:t>
      </w:r>
    </w:p>
    <w:p>
      <w:pPr>
        <w:pStyle w:val="ListBullet"/>
        <w:ind w:left="360"/>
      </w:pPr>
      <w:r>
        <w:t>Event — evento musical (fecha, duración, localización, etc.)</w:t>
      </w:r>
    </w:p>
    <w:p>
      <w:pPr>
        <w:pStyle w:val="ListBullet"/>
        <w:ind w:left="720"/>
      </w:pPr>
      <w:r>
        <w:t xml:space="preserve">  · Duración mínima: 15 minutos / máxima: 240 horas</w:t>
      </w:r>
    </w:p>
    <w:p>
      <w:pPr>
        <w:pStyle w:val="ListBullet"/>
        <w:ind w:left="720"/>
      </w:pPr>
      <w:r>
        <w:t xml:space="preserve">  · Permite eventos solapados en la misma localización</w:t>
      </w:r>
    </w:p>
    <w:p>
      <w:pPr>
        <w:pStyle w:val="ListBullet"/>
        <w:ind w:left="720"/>
      </w:pPr>
      <w:r>
        <w:t xml:space="preserve">  · Permite crear eventos en el pasado</w:t>
      </w:r>
    </w:p>
    <w:p>
      <w:r>
        <w:t>Al eliminar un evento, el servicio notifica al servicio de Surveys vía Gateway para eliminar las encuestas huérfanas.</w:t>
      </w:r>
    </w:p>
    <w:p>
      <w:pPr>
        <w:pStyle w:val="Heading2"/>
      </w:pPr>
      <w:r>
        <w:t>4.3 tfm_surveys (servicio Surveys)</w:t>
      </w:r>
    </w:p>
    <w:p>
      <w:r>
        <w:t>Gestiona encuestas de satisfacción. Entidades principales inferidas:</w:t>
      </w:r>
    </w:p>
    <w:p>
      <w:pPr>
        <w:pStyle w:val="ListBullet"/>
        <w:ind w:left="360"/>
      </w:pPr>
      <w:r>
        <w:t>Survey — encuesta asociada a un evento</w:t>
      </w:r>
    </w:p>
    <w:p>
      <w:pPr>
        <w:pStyle w:val="ListBullet"/>
        <w:ind w:left="360"/>
      </w:pPr>
      <w:r>
        <w:t>Valida la existencia del evento via Gateway (/api/events/{eventId})</w:t>
      </w:r>
    </w:p>
    <w:p>
      <w:pPr>
        <w:pStyle w:val="ListBullet"/>
        <w:ind w:left="360"/>
      </w:pPr>
      <w:r>
        <w:t>Las encuestas se eliminan cuando su evento es eliminado (lifecycle acoplado)</w:t>
      </w:r>
    </w:p>
    <w:p>
      <w:pPr>
        <w:pStyle w:val="Heading2"/>
      </w:pPr>
      <w:r>
        <w:t>4.4 Base de datos Keycloak</w:t>
      </w:r>
    </w:p>
    <w:p>
      <w:r>
        <w:t>Almacena identidades, credenciales, tokens y configuración del realm. Gestionada internamente por Keycloak, no expuesta a los microservicios de negocio.</w:t>
      </w:r>
    </w:p>
    <w:p>
      <w:pPr>
        <w:pStyle w:val="Heading1"/>
      </w:pPr>
      <w:r>
        <w:t>5. Autenticación y Autorización</w:t>
      </w:r>
    </w:p>
    <w:p>
      <w:r>
        <w:t>El sistema de autenticación se basa en OpenID Connect (OIDC) con Keycloak como Identity Provider.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4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Realm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20"/>
              </w:rPr>
              <w:t>tfm-bandas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ADMIN, MUSICIAN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Flujo OAuth2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20"/>
              </w:rPr>
              <w:t>Authorization Code + PKCE (cliente público)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Cliente Keycloak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frontend-local (público, sin secret)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JWKS Endpoint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20"/>
              </w:rPr>
              <w:t>http://keycloak:8080/realms/tfm-bandas/protocol/openid-connect/certs</w:t>
            </w:r>
          </w:p>
        </w:tc>
      </w:tr>
    </w:tbl>
    <w:p/>
    <w:p>
      <w:r>
        <w:t>Usuarios bootstrap incluidos en el realm:</w:t>
      </w:r>
    </w:p>
    <w:p>
      <w:pPr>
        <w:pStyle w:val="ListBullet"/>
        <w:ind w:left="360"/>
      </w:pPr>
      <w:r>
        <w:t>admin / admin123  →  rol ADMIN</w:t>
      </w:r>
    </w:p>
    <w:p>
      <w:pPr>
        <w:pStyle w:val="ListBullet"/>
        <w:ind w:left="360"/>
      </w:pPr>
      <w:r>
        <w:t>ismablazquez / 123456  →  rol MUSICIAN</w:t>
      </w:r>
    </w:p>
    <w:p>
      <w:r>
        <w:t>El servicio Identity actúa como puente para operaciones de administración Keycloak (crear usuarios, asignar roles) sin exponer el cliente admin directamente al frontend.</w:t>
      </w:r>
    </w:p>
    <w:p>
      <w:pPr>
        <w:pStyle w:val="Heading1"/>
      </w:pPr>
      <w:r>
        <w:t>6. Workflow General de Ejecución</w:t>
      </w:r>
    </w:p>
    <w:p>
      <w:pPr>
        <w:pStyle w:val="Heading2"/>
      </w:pPr>
      <w:r>
        <w:t>6.1 Arranque del sistema</w:t>
      </w:r>
    </w:p>
    <w:p>
      <w:r>
        <w:t>El orden de arranque con health checks es: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MySQL (main + keycloak)  →  Keycloak (importa realm)  →  Microservicios  →  Gateway  →  Frontend</w:t>
      </w:r>
    </w:p>
    <w:p>
      <w:r>
        <w:t>Cada servicio espera la salud (/actuator/health) de sus dependencias antes de arrancar. El período de gracia de inicio oscila entre 90 y 180 segundos.</w:t>
      </w:r>
    </w:p>
    <w:p>
      <w:pPr>
        <w:pStyle w:val="Heading2"/>
      </w:pPr>
      <w:r>
        <w:t>6.2 Flujo de una petición de negocio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Usuario (browser)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→ Frontend (Nginx :5173)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→ [autenticación] → Keycloak (:8080)  — obtiene JWT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→ [llamada API]   → Gateway (:8085)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    → valida JWT (consulta JWKS Keycloak)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    → enruta según path: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        /api/users/**     → Users service    (:8081)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        /api/events/**    → Events service   (:8083)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        /api/surveys/**   → Surveys service  (:8084)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 xml:space="preserve">                /api/roles/**     → Identity service (:8086)</w:t>
      </w:r>
    </w:p>
    <w:p>
      <w:pPr>
        <w:pStyle w:val="Heading2"/>
      </w:pPr>
      <w:r>
        <w:t>6.3 Comunicación inter-servicios</w:t>
      </w:r>
    </w:p>
    <w:p>
      <w:pPr>
        <w:pStyle w:val="ListBullet"/>
        <w:ind w:left="360"/>
      </w:pPr>
      <w:r>
        <w:t>Events → Surveys: al eliminar un evento, Events llama a GET http://gateway:8080/api/surveys/event/{eventId} para eliminar encuestas huérfanas</w:t>
      </w:r>
    </w:p>
    <w:p>
      <w:pPr>
        <w:pStyle w:val="ListBullet"/>
        <w:ind w:left="360"/>
      </w:pPr>
      <w:r>
        <w:t>Surveys → Events: para validar que un evento existe antes de crear una encuesta (GET http://gateway:8080/api/events/{eventId})</w:t>
      </w:r>
    </w:p>
    <w:p>
      <w:pPr>
        <w:pStyle w:val="ListBullet"/>
        <w:ind w:left="360"/>
      </w:pPr>
      <w:r>
        <w:t>Identity → Keycloak Admin API: para gestionar usuarios y roles en el realm</w:t>
      </w:r>
    </w:p>
    <w:p>
      <w:pPr>
        <w:pStyle w:val="Heading2"/>
      </w:pPr>
      <w:r>
        <w:t>6.4 Desarrollo con hot-reload</w:t>
      </w:r>
    </w:p>
    <w:p>
      <w:r>
        <w:t>El docker-compose.override.yml monta el JAR compilado desde el host en el contenedor, permitiendo un ciclo de desarrollo rápido sin reconstruir la imagen Docker: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# En el repositorio del microservicio: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mvn clean package -DskipTests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# En tfm-infrastructure (el contenedor recoge el nuevo .jar automáticamente):</w:t>
      </w:r>
    </w:p>
    <w:p>
      <w:pPr>
        <w:ind w:left="576"/>
      </w:pPr>
      <w:r>
        <w:rPr>
          <w:rFonts w:ascii="Courier New" w:hAnsi="Courier New"/>
          <w:color w:val="204A87"/>
          <w:sz w:val="18"/>
        </w:rPr>
        <w:t>docker compose --env-file env/local.env restart users</w:t>
      </w:r>
    </w:p>
    <w:p>
      <w:pPr>
        <w:pStyle w:val="Heading1"/>
      </w:pPr>
      <w:r>
        <w:t>7. Topología de Red</w:t>
      </w:r>
    </w:p>
    <w:p>
      <w:r>
        <w:t>Todos los servicios comparten la red interna tfm_net. La comunicación interna usa DNS de Docker (nombre del servicio = hostname). Los puertos expuestos al host son: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Puerto Host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Puerto Contenedor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Servicio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5173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Frontend (Nginx)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Keycloak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Users microservice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Events microservice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Surveys microservice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8085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Gateway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8086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Identity service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3307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MySQL (principal)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20"/>
              </w:rPr>
              <w:t>3308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20"/>
              </w:rPr>
              <w:t>MySQL (Keycloak)</w:t>
            </w:r>
          </w:p>
        </w:tc>
      </w:tr>
    </w:tbl>
    <w:p>
      <w:pPr>
        <w:pStyle w:val="Heading1"/>
      </w:pPr>
      <w:r>
        <w:t>8. Casos de Uso Cubiertos</w:t>
      </w:r>
    </w:p>
    <w:p>
      <w:r>
        <w:rPr>
          <w:b/>
          <w:sz w:val="22"/>
        </w:rPr>
        <w:t xml:space="preserve">1. Autenticación y autorización: </w:t>
      </w:r>
      <w:r>
        <w:rPr>
          <w:sz w:val="22"/>
        </w:rPr>
        <w:t>Login con OIDC/PKCE, obtención de tokens JWT, validación en cada microservicio. Soporte de dos roles: ADMIN y MUSICIAN.</w:t>
      </w:r>
    </w:p>
    <w:p>
      <w:r>
        <w:rPr>
          <w:b/>
          <w:sz w:val="22"/>
        </w:rPr>
        <w:t xml:space="preserve">2. Gestión de usuarios: </w:t>
      </w:r>
      <w:r>
        <w:rPr>
          <w:sz w:val="22"/>
        </w:rPr>
        <w:t>Crear, consultar y modificar perfiles de músicos/admins en el sistema (tfm_users).</w:t>
      </w:r>
    </w:p>
    <w:p>
      <w:r>
        <w:rPr>
          <w:b/>
          <w:sz w:val="22"/>
        </w:rPr>
        <w:t xml:space="preserve">3. Gestión de instrumentos: </w:t>
      </w:r>
      <w:r>
        <w:rPr>
          <w:sz w:val="22"/>
        </w:rPr>
        <w:t>Catálogo de instrumentos musicales asociados a usuarios (/api/instruments/**).</w:t>
      </w:r>
    </w:p>
    <w:p>
      <w:r>
        <w:rPr>
          <w:b/>
          <w:sz w:val="22"/>
        </w:rPr>
        <w:t xml:space="preserve">4. Gestión de roles y permisos: </w:t>
      </w:r>
      <w:r>
        <w:rPr>
          <w:sz w:val="22"/>
        </w:rPr>
        <w:t>Asignar roles ADMIN/MUSICIAN a usuarios vía Keycloak Admin API (servicio Identity).</w:t>
      </w:r>
    </w:p>
    <w:p>
      <w:r>
        <w:rPr>
          <w:b/>
          <w:sz w:val="22"/>
        </w:rPr>
        <w:t xml:space="preserve">5. Gestión de eventos musicales: </w:t>
      </w:r>
      <w:r>
        <w:rPr>
          <w:sz w:val="22"/>
        </w:rPr>
        <w:t>Crear, consultar, modificar y eliminar eventos/conciertos con control de duración (mín. 15 min, máx. 240 h) y localización. Se permiten solapamientos y eventos en el pasado.</w:t>
      </w:r>
    </w:p>
    <w:p>
      <w:r>
        <w:rPr>
          <w:b/>
          <w:sz w:val="22"/>
        </w:rPr>
        <w:t xml:space="preserve">6. Encuestas post-evento: </w:t>
      </w:r>
      <w:r>
        <w:rPr>
          <w:sz w:val="22"/>
        </w:rPr>
        <w:t>Crear encuestas asociadas a eventos, consultarlas y eliminarlas. El ciclo de vida de la encuesta está ligado al evento: al eliminar un evento se eliminan sus encuestas.</w:t>
      </w:r>
    </w:p>
    <w:p>
      <w:r>
        <w:rPr>
          <w:b/>
          <w:sz w:val="22"/>
        </w:rPr>
        <w:t xml:space="preserve">7. Portal web: </w:t>
      </w:r>
      <w:r>
        <w:rPr>
          <w:sz w:val="22"/>
        </w:rPr>
        <w:t>Interfaz web (Vue/React servida por Nginx) para acceder a todas las funcionalidades anteriores.</w:t>
      </w:r>
    </w:p>
    <w:p>
      <w:pPr>
        <w:pStyle w:val="Heading1"/>
      </w:pPr>
      <w:r>
        <w:t>9. Resumen Técnico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619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Tipo de proyecto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Orquestación de infraestructura de microservicios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Propósito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Entorno de desarrollo local para la plataforma TFM Bandas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Arquitectura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Docker Compose — stack poliglota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Java Spring Boot (5 microservicios)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Aplicación web (Vue/React) servida con Nginx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Bases de datos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MySQL 8.0 — separada por servicio (Database-per-service)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Keycloak 24.0.4 (OpenID Connect / OIDC)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Patrón de API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RESTful vía Spring Cloud Gateway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Configuración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Variables de entorno (.env files)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Ninguno — compilación y despliegue manual con Docker Compose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Colecciones Postman incluidas (3 archivos JSON)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Entorno objetivo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Windows (rutas en local.env), Docker cross-platform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20"/>
              </w:rPr>
              <w:t>Idioma documentación</w:t>
            </w:r>
          </w:p>
        </w:tc>
        <w:tc>
          <w:tcPr>
            <w:tcW w:type="dxa" w:w="6192"/>
            <w:shd w:val="clear" w:color="auto" w:fill="EBF3FB"/>
          </w:tcPr>
          <w:p>
            <w:r>
              <w:rPr>
                <w:sz w:val="20"/>
              </w:rPr>
              <w:t>Español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Desarrollo activo (Marzo 2026)</w:t>
            </w:r>
          </w:p>
        </w:tc>
      </w:tr>
    </w:tbl>
    <w:p>
      <w:pPr>
        <w:pStyle w:val="Heading1"/>
      </w:pPr>
      <w:r>
        <w:t>10. Puntos Clave</w:t>
      </w:r>
    </w:p>
    <w:p>
      <w:pPr>
        <w:pStyle w:val="ListBullet"/>
        <w:ind w:left="360"/>
      </w:pPr>
      <w:r>
        <w:t>Repositorio solo de infraestructura: el código de aplicación vive en 6 repositorios externos (users, events, surveys, gateway, identity, front-web).</w:t>
      </w:r>
    </w:p>
    <w:p>
      <w:pPr>
        <w:pStyle w:val="ListBullet"/>
        <w:ind w:left="360"/>
      </w:pPr>
      <w:r>
        <w:t>Sin CI/CD automatizado: compilación y despliegue manual vía Maven + Docker Compose.</w:t>
      </w:r>
    </w:p>
    <w:p>
      <w:pPr>
        <w:pStyle w:val="ListBullet"/>
        <w:ind w:left="360"/>
      </w:pPr>
      <w:r>
        <w:t>Orientado a Windows (rutas C:/Users/... en local.env), aunque Docker es cross-platform.</w:t>
      </w:r>
    </w:p>
    <w:p>
      <w:pPr>
        <w:pStyle w:val="ListBullet"/>
        <w:ind w:left="360"/>
      </w:pPr>
      <w:r>
        <w:t>Completamente documentado en español, con colecciones Postman para testing manual de las APIs.</w:t>
      </w:r>
    </w:p>
    <w:p>
      <w:pPr>
        <w:pStyle w:val="ListBullet"/>
        <w:ind w:left="360"/>
      </w:pPr>
      <w:r>
        <w:t>Sin Kubernetes: arquitectura puramente Docker Compose, sin preparación para producción cloud-native.</w:t>
      </w:r>
    </w:p>
    <w:p>
      <w:pPr>
        <w:pStyle w:val="ListBullet"/>
        <w:ind w:left="360"/>
      </w:pPr>
      <w:r>
        <w:t>OAuth2 First: todos los servicios validan tokens JWT contra el JWKS de Keycloak.</w:t>
      </w:r>
    </w:p>
    <w:p>
      <w:pPr>
        <w:pStyle w:val="ListBullet"/>
        <w:ind w:left="360"/>
      </w:pPr>
      <w:r>
        <w:t>Aislamiento de datos: cada microservicio tiene su propia base de datos y credenciales MySQL.</w:t>
      </w:r>
    </w:p>
    <w:p>
      <w:pPr>
        <w:pStyle w:val="ListBullet"/>
        <w:ind w:left="360"/>
      </w:pPr>
      <w:r>
        <w:t>Comunicación inter-servicios siempre canalizada a través del Gateway (no llamadas directas entre servicios).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