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Flood Depth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[VERIFY: cite PAGASA's public warning products and their spatial granularity.]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hides open drains and live cables. The cost of the missing information is not inconvenience; it is a person stepping into a street they believed was passable. [VERIFY: one industry or government statistic on the scale of urban flooding in Metro Manila. NDRRMC situational reports and MMDA flood-control publications are the credible primary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at least one peer-reviewed source, dated 2022 or later, on crowdsourced or participatory disaster reporting. See the search brief under Section 1.2A. Recent work on PetaBencana.id, the crowdsourced flood-mapping platform in Jakarta, is the closest published comparison to this project.]</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aims to fill.</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five areas: the recent record of crowdsourced disaster reporting platforms, the problem of trusting citizen-contributed data, the Philippine flood and warning context, the design of interfaces used under stress, and the handling of information that decays with time. Each entry states what the source establishes and which decision in this system it supports.</w:t>
      </w:r>
    </w:p>
    <w:p>
      <w:pPr>
        <w:spacing w:before="240" w:after="240" w:line="276" w:lineRule="auto"/>
        <w:ind w:left="0" w:right="0" w:firstLine="0"/>
        <w:jc w:val="left"/>
      </w:pPr>
      <w:r>
        <w:rPr>
          <w:rFonts w:ascii="Times New Roman" w:hAnsi="Times New Roman" w:cs="Times New Roman" w:eastAsia="Times New Roman"/>
          <w:sz w:val="22"/>
          <w:szCs w:val="22"/>
          <w:i/>
        </w:rPr>
        <w:t xml:space="preserve">TO COMPLETE BEFORE SUBMISSION. Each entry gives an APA citation line to be filled in, followed by its discussion paragraph. The citation lines are deliberately blank where author, year, title and venue belong: those details are not invented here, because a fabricated reference is checkable and is worse than a missing one. Each entry carries a search brief naming the terms and venues most likely to surface a suitable source. All sources must be dated 2022 or later. The requirement is a minimum of three; more slots are provided than needed, so the strongest can be kept and the rest deleted.</w:t>
      </w:r>
    </w:p>
    <w:p>
      <w:pPr>
        <w:spacing w:before="240" w:after="240" w:line="276" w:lineRule="auto"/>
        <w:ind w:left="0" w:right="0" w:firstLine="0"/>
        <w:jc w:val="left"/>
      </w:pPr>
      <w:r>
        <w:rPr>
          <w:rFonts w:ascii="Times New Roman" w:hAnsi="Times New Roman" w:cs="Times New Roman" w:eastAsia="Times New Roman"/>
          <w:sz w:val="22"/>
          <w:szCs w:val="22"/>
          <w:i/>
        </w:rPr>
        <w:t xml:space="preserve">A note on the date restriction. The foundational works in this field - the paper that named volunteered geographic information, and the first crisis-mapping platforms - all fall well outside the window. Do not cite them, and do not cite anything that merely quotes them. Cite instead a recent review, replication or application that restates the concept from within the window, which is standard practice when a date range is imposed and is what the search terms below are written to find.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1:</w:t>
      </w:r>
      <w:r>
        <w:rPr>
          <w:rFonts w:ascii="Times New Roman" w:hAnsi="Times New Roman" w:cs="Times New Roman" w:eastAsia="Times New Roman"/>
          <w:sz w:val="24"/>
          <w:szCs w:val="24"/>
        </w:rPr>
        <w:t xml:space="preserve"> 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Google Scholar, filtered 2022 onward. Terms: crowdsourced flood reporting; participatory flood mapping; volunteered geographic information flood; citizen reporting urban flooding. Venues likely to carry it: International Journal of Disaster Risk Reduction; Natural Hazards; ISCRAM conference proceedings; Sustainability. Search also for recent work on PetaBencana.id, the crowdsourced flood-mapping platform operating in Jakarta, which is the closest precedent to this project.</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That resident-contributed flood observations are viable at city scale, and how such a platform handles report volume and geographic coverage. This is the empirical warrant for the premise of the project: a person standing in floodwater is an instrument no rain gauge can replace, because the gauge measures rainfall while the resident measures the street. Where the source describes free-form reporting, note the contrast: Antas constrains input to a fixed five-level depth scale, trading reach for comparability between reports.</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2:</w:t>
      </w:r>
      <w:r>
        <w:rPr>
          <w:rFonts w:ascii="Times New Roman" w:hAnsi="Times New Roman" w:cs="Times New Roman" w:eastAsia="Times New Roman"/>
          <w:sz w:val="24"/>
          <w:szCs w:val="24"/>
        </w:rPr>
        <w:t xml:space="preserve"> 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terms: social media disaster response; citizen sensing emergency management; crisis informatics review. A recent review article is ideal here, because it restates the foundational position from within the date window.</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That members of the public already share hazard information during a crisis through whatever channels they have, and that formal systems succeed by structuring that behaviour rather than replacing it. This justifies the product's basic shape: residents already post flood photographs to Facebook groups, and the contribution of Antas is structure, location and time, not the impulse to share.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Trust, Verification and Data Quality</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3:</w:t>
      </w:r>
      <w:r>
        <w:rPr>
          <w:rFonts w:ascii="Times New Roman" w:hAnsi="Times New Roman" w:cs="Times New Roman" w:eastAsia="Times New Roman"/>
          <w:sz w:val="24"/>
          <w:szCs w:val="24"/>
        </w:rPr>
        <w:t xml:space="preserve"> 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terms: credibility assessment user-generated content disaster; trust crowdsourced data quality; verification citizen reports emergency. Venues: IEEE Access; International Journal of Disaster Risk Reduction; ACM CSCW proceedings.</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How the reliability of an unverified report from an unknown person can be estimated, using signals such as corroboration by nearby reports, the contributor's history, and consistency with independent environmental data. This is the direct justification for the six-group trust score in Section 2.4, and specifically for combining reporter history with environmental corroboration rather than relying on either alone.</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4:</w:t>
      </w:r>
      <w:r>
        <w:rPr>
          <w:rFonts w:ascii="Times New Roman" w:hAnsi="Times New Roman" w:cs="Times New Roman" w:eastAsia="Times New Roman"/>
          <w:sz w:val="24"/>
          <w:szCs w:val="24"/>
        </w:rPr>
        <w:t xml:space="preserve"> 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terms: misinformation during disasters; rumour propagation emergency social media; outdated information crisis communication.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That false or outdated information spreads readily during an emergency, and that corrections travel more slowly than the claims they correct. This supports two refusals recorded in Section 4.2: free-text comments beneath a depth reading, and any label describing floodwater as safe. In a system nobody moderates,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5:</w:t>
      </w:r>
      <w:r>
        <w:rPr>
          <w:rFonts w:ascii="Times New Roman" w:hAnsi="Times New Roman" w:cs="Times New Roman" w:eastAsia="Times New Roman"/>
          <w:sz w:val="24"/>
          <w:szCs w:val="24"/>
        </w:rPr>
        <w:t xml:space="preserve"> Philippine Atmospheric, Geophysical and Astronomical Services Administration. (20__). ____________. Retrieved from ____________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PAGASA's own website, 2022 onward. Look for the published description of rainfall warning levels and flood bulletins. A government primary source is both easy to verify and inherently current, which makes it the safest way to satisfy the date restriction.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That official warnings are issued by basin and by area rather than by street. This is the primary-source basis for the central claim of the problem statement: the warnings are authoritative at the scale of a river system and silent at the scale of a doorstep. Antas does not compete with them; it answers the question they are not designed to answer.</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6:</w:t>
      </w:r>
      <w:r>
        <w:rPr>
          <w:rFonts w:ascii="Times New Roman" w:hAnsi="Times New Roman" w:cs="Times New Roman" w:eastAsia="Times New Roman"/>
          <w:sz w:val="24"/>
          <w:szCs w:val="24"/>
        </w:rPr>
        <w:t xml:space="preserve"> National Disaster Risk Reduction and Management Council. (20__). ____________. Retrieved from ____________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NDRRMC situational reports for a named flooding event in the National Capital Region, 2022 onward. Cite the specific report and its date. The southwest monsoon flooding of July 2024 falls within the window and is well documented.</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Affected-population or displacement figures for a recent flooding event in Metro Manila. This supplies the scale statistic the problem statement needs, and the primary record is preferable to a news summary of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7:</w:t>
      </w:r>
      <w:r>
        <w:rPr>
          <w:rFonts w:ascii="Times New Roman" w:hAnsi="Times New Roman" w:cs="Times New Roman" w:eastAsia="Times New Roman"/>
          <w:sz w:val="24"/>
          <w:szCs w:val="24"/>
        </w:rPr>
        <w:t xml:space="preserve"> 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terms: emergency application usability; user interface design high stress; mobile usability outdoor sunlight legibility; touch target size mobile accessibility. Venues: ACM CHI proceedings; International Journal of Human-Computer Studies; Applied Ergonomics.</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That people under stress fall back on routine actions, hold less in working memory, and do not discover controls hidden behind gestures. Two decisions rest on this: the emergency control is a plainly labelled tab rather than a long-press on the ordinary report button, and depth is expressed in body parts so that no arithmetic conversion is required. Where the source also covers outdoor legibility and touch target sizing, it additionally supports the light-only interface and the 48-pixel minimum target.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Citation 8:</w:t>
      </w:r>
      <w:r>
        <w:rPr>
          <w:rFonts w:ascii="Times New Roman" w:hAnsi="Times New Roman" w:cs="Times New Roman" w:eastAsia="Times New Roman"/>
          <w:sz w:val="24"/>
          <w:szCs w:val="24"/>
        </w:rPr>
        <w:t xml:space="preserve"> 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Search brief: terms: temporal decay user-generated content; information freshness real-time systems; offline-first application design; intermittent connectivity mobile developing regions.</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this source must establish, and how it connects to Antas.</w:t>
      </w:r>
      <w:r>
        <w:rPr>
          <w:rFonts w:ascii="Times New Roman" w:hAnsi="Times New Roman" w:cs="Times New Roman" w:eastAsia="Times New Roman"/>
          <w:sz w:val="24"/>
          <w:szCs w:val="24"/>
        </w:rPr>
        <w:t xml:space="preserve"> That the usefulness of an observation falls with age, and that presenting old data without marking it leads users to act on conditions that have changed. This is the basis for the two most distinctive rules in this system: every reading states its age, and past six hours the map refuses to draw cached data at all. Both are unusual enough to require a citation rather than an assertion. Work on offline-first design additionally supports caching the application shell and the preparedness guide, since connectivity degrades in exactly the conditions the product exists for.</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establishes three things. Residents are a viable source of hazard information that instruments cannot capture at street level, and platforms built on that premise operate successfully in comparable cities. The central difficulty of such platforms is not collection but trust, and the accepted response is to weigh signals by corroboration and history rather than to reject them outright. And official warning systems, which are authoritative and necessary, work at a spatial resolution that cannot answer the question a person standing on a street is actually asking.</w:t>
      </w:r>
    </w:p>
    <w:p>
      <w:pPr>
        <w:spacing w:before="240" w:after="240" w:line="276" w:lineRule="auto"/>
        <w:ind w:left="0" w:right="0" w:firstLine="0"/>
        <w:jc w:val="left"/>
      </w:pPr>
      <w:r>
        <w:rPr>
          <w:rFonts w:ascii="Times New Roman" w:hAnsi="Times New Roman" w:cs="Times New Roman" w:eastAsia="Times New Roman"/>
          <w:sz w:val="24"/>
          <w:szCs w:val="24"/>
        </w:rPr>
        <w:t xml:space="preserve">What the reviewed literature does not address, and where this project contributes, is the treatment of information decay in the interface itself. Existing platforms display reports; the literature says comparatively little about refusing to display them once they are too old to be acted on safely. Antas treats staleness as a first-class safety property: every reading states its age, and beyond six hours the map draws nothing and says why. It pairs that with an explicit refusal to imply a dispatch capability it does not have. Those two commitments, rather than the collection mechanism, are what distinguish this system from its precedents.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Six differences separate Antas from the tools a Metro Manila resident already has.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No informal channel does this.</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below compares Antas with the sources a Metro Manila resident currently relies on during a flood.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760"/>
        <w:gridCol w:w="1320"/>
        <w:gridCol w:w="1320"/>
        <w:gridCol w:w="1320"/>
        <w:gridCol w:w="1320"/>
        <w:gridCol w:w="1320"/>
      </w:tblGrid>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water depth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Searchable by location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Triage queue for barangay desks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whether her street and her commute are passable right 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and belongings upstairs before the water reaches the doorstep.</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 flood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a single tap on a five-level scale, with the photograph optional, because every additional field costs contributions at exactly the moment people are least willing to give them.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flood depth. Its primary objective is to turn what residents already report informally into structured, located, time-stamped readings that another resident can act on, and to be explicit about the limits of what those readings support.</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seven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Depth Map.</w:t>
      </w:r>
      <w:r>
        <w:rPr>
          <w:rFonts w:ascii="Times New Roman" w:hAnsi="Times New Roman" w:cs="Times New Roman" w:eastAsia="Times New Roman"/>
          <w:sz w:val="24"/>
          <w:szCs w:val="24"/>
        </w:rPr>
        <w:t xml:space="preserve"> The default screen. Reports are drawn as pins coloured along a five-step depth ramp, clustered when they overlap. A cluster takes the depth of its deepest member rather than an average, so eleven ankle-deep reports cannot hide one above-head report behind a reassuring colour.</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five-level gauge labelled by body part, with an optional photograph and an automatic GPS accuracy check. Where the fix is imprecise the user is warned and asked to confirm, because a report placed on the wrong street is worse than no report.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A triage queue scoped to a barangay, showing each signal's trust score, its supporting evidence, a call button, and directions. Every opening of a signal is recorded.</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1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nine tables across twenty-six migrations, and seventeen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2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3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4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ankle-deep water hides open drains and moves fast.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And the personas were derived from design constraints and local knowledge rather than validated through formal user interviews.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flood depth reporting system that helps Metro Manila residents decide whether a street is passable. The user opens the map, which loads without an account and shows nearby reports as coloured pins. The user may search for a place or locate themselves, then tap a pin to see the depth, the photograph if one exists, and how long ago it was recorded. If the reading is out of date, the user answers whether the water is gone, the same, or higher. To contribute, the user taps I-report, selects a depth on the body-scale gauge, optionally adds a photograph, and submits; the system records the location and the time and publishes the pin. In an emergency, the user taps Tulong, takes a live photograph,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Every opening of a signal is recorded. Throughout, the system states that it does not dispatch rescue.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[PASTE YOUR GOOGLE STITCH SHARE LINK HERE]</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240" w:line="276" w:lineRule="auto"/>
        <w:ind w:left="0" w:right="0" w:firstLine="0"/>
        <w:jc w:val="left"/>
      </w:pPr>
      <w:r>
        <w:rPr>
          <w:rFonts w:ascii="Times New Roman" w:hAnsi="Times New Roman" w:cs="Times New Roman" w:eastAsia="Times New Roman"/>
          <w:sz w:val="22"/>
          <w:szCs w:val="22"/>
          <w:i/>
        </w:rPr>
        <w:t xml:space="preserve">APA 7th edition, alphabetical by author surname. Every entry must be dated 2022 or later, and every entry must correspond to a citation used in the text. Delete any slot you do not fill. Author names, years, volume and issue numbers are left blank deliberately rather than guessed: a reference invented to complete a template is checkable, and is the single worst error this paper could contain.</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Journal articles and conference papers</w:t>
      </w:r>
    </w:p>
    <w:p>
      <w:pPr>
        <w:spacing w:before="240" w:after="240" w:line="276" w:lineRule="auto"/>
        <w:ind w:left="0" w:right="0" w:firstLine="0"/>
        <w:jc w:val="left"/>
      </w:pPr>
      <w:r>
        <w:rPr>
          <w:rFonts w:ascii="Times New Roman" w:hAnsi="Times New Roman" w:cs="Times New Roman" w:eastAsia="Times New Roman"/>
          <w:sz w:val="24"/>
          <w:szCs w:val="24"/>
        </w:rPr>
        <w:t xml:space="preserve">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4"/>
          <w:szCs w:val="24"/>
        </w:rPr>
        <w:t xml:space="preserve">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4"/>
          <w:szCs w:val="24"/>
        </w:rPr>
        <w:t xml:space="preserve">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4"/>
          <w:szCs w:val="24"/>
        </w:rPr>
        <w:t xml:space="preserve">____________ (20__). ____________. ____________, __(_), 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Fill from the search briefs in Section 1.2. Format: Surname, A. A., &amp; Surname, B. B. (Year). Title of the article in sentence case. Journal Name in Title Case, volume(issue), page-page. https://doi.org/...</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Government and institutional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Disaster Risk Reduction and Management Council. (20__). ____________. Retrieved ____________, from ____________</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(20__). ____________. Retrieved ____________, from ____________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These two are the safest entries to complete. Both are primary sources, both are inherently within the date window, and both are trivially verifiable by whoever marks this. Format for a web document: Organisation. (Year). Title of the document in sentence case. Retrieved Month Day, Year, from URL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Platform and industry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____________ (20__). ____________. ____________</w:t>
      </w:r>
    </w:p>
    <w:p>
      <w:pPr>
        <w:spacing w:before="240" w:after="240" w:line="276" w:lineRule="auto"/>
        <w:ind w:left="0" w:right="0" w:firstLine="0"/>
        <w:jc w:val="left"/>
      </w:pPr>
      <w:r>
        <w:rPr>
          <w:rFonts w:ascii="Times New Roman" w:hAnsi="Times New Roman" w:cs="Times New Roman" w:eastAsia="Times New Roman"/>
          <w:sz w:val="22"/>
          <w:szCs w:val="22"/>
          <w:i/>
        </w:rPr>
        <w:t xml:space="preserve">Optional. If you cite PetaBencana.id, cite a 2022-or-later publication or evaluation of it rather than the platform's founding material, which falls outside the window.</w:t>
      </w:r>
    </w:p>
    <w:sectPr>
      <w:pgSz w:w="12240" w:h="15840" w:orient="portrait"/>
      <w:pgMar w:top="1440" w:right="1440" w:bottom="1440" w:left="1440" w:header="720" w:footer="720"/>
    </w:sectPr>
  </w:body>
</w:document>
</file>