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Hazard Severity Reporting System</w:t>
      </w:r>
    </w:p>
    <w:p>
      <w:pPr>
        <w:spacing w:before="0" w:after="120" w:line="276" w:lineRule="auto"/>
        <w:ind w:left="0" w:right="0" w:firstLine="0"/>
        <w:jc w:val="center"/>
      </w:pPr>
      <w:r>
        <w:rPr>
          <w:rFonts w:ascii="Times New Roman" w:hAnsi="Times New Roman" w:cs="Times New Roman" w:eastAsia="Times New Roman"/>
          <w:sz w:val="32"/>
          <w:szCs w:val="32"/>
        </w:rPr>
        <w:t xml:space="preserve">for</w:t>
      </w:r>
    </w:p>
    <w:p>
      <w:pPr>
        <w:spacing w:before="0" w:after="120" w:line="276" w:lineRule="auto"/>
        <w:ind w:left="0" w:right="0" w:firstLine="0"/>
        <w:jc w:val="center"/>
      </w:pPr>
      <w:r>
        <w:rPr>
          <w:rFonts w:ascii="Times New Roman" w:hAnsi="Times New Roman" w:cs="Times New Roman" w:eastAsia="Times New Roman"/>
          <w:sz w:val="32"/>
          <w:szCs w:val="32"/>
        </w:rPr>
        <w:t xml:space="preserve">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w:t>
      </w:r>
    </w:p>
    <w:p>
      <w:pPr>
        <w:spacing w:before="0" w:after="0" w:line="276" w:lineRule="auto"/>
        <w:ind w:left="0" w:right="0" w:firstLine="0"/>
        <w:jc w:val="center"/>
      </w:pPr>
      <w:r>
        <w:rPr>
          <w:rFonts w:ascii="Times New Roman" w:hAnsi="Times New Roman" w:cs="Times New Roman" w:eastAsia="Times New Roman"/>
          <w:sz w:val="24"/>
          <w:szCs w:val="24"/>
        </w:rPr>
        <w:t xml:space="preserve">and</w:t>
      </w:r>
    </w:p>
    <w:p>
      <w:pPr>
        <w:spacing w:before="0" w:after="0" w:line="276" w:lineRule="auto"/>
        <w:ind w:left="0" w:right="0" w:firstLine="0"/>
        <w:jc w:val="center"/>
      </w:pPr>
      <w:r>
        <w:rPr>
          <w:rFonts w:ascii="Times New Roman" w:hAnsi="Times New Roman" w:cs="Times New Roman" w:eastAsia="Times New Roman"/>
          <w:sz w:val="24"/>
          <w:szCs w:val="24"/>
        </w:rPr>
        <w:t xml:space="preserve">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In an emergency, the question a Metro Manila resident actually needs answered is narrow and local: what is happening on my street right now, and how bad is it? During a flood it takes its sharpest form — is the water on my street passable? — and that is the form this project began with and the one the following evidence describes.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PAGASA issues its flood products by river basin: its national flood picture resolves to a table of eighteen major river basins, in which the capital region appears as the entry NCR/Pasig Marikina Laguna de Bay. Its bulletins are graded on river discharge crossing Alert, Alarm and Critical water levels within a flood warning zone, and are disseminated to local, municipal, and provincial government offices (PAGASA, n.d.).</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can be electrically charged by downed or underground power lines (National Weather Service, n.d.). The cost of the missing information is not inconvenience; it is a person stepping into a street they believed was passable. The scale of the exposure is not marginal. In the combined effects of the Southwest Monsoon and Tropical Cyclones Butchoy and Carina in July 2024, the NDRRMC recorded 189,771 families, or 754,446 persons, affected in the National Capital Region alone, of whom 584,867 were served outside evacuation centres (NDRRMC, 2024).</w:t>
      </w:r>
    </w:p>
    <w:p>
      <w:pPr>
        <w:spacing w:before="240" w:after="240" w:line="276" w:lineRule="auto"/>
        <w:ind w:left="0" w:right="0" w:firstLine="0"/>
        <w:jc w:val="left"/>
      </w:pPr>
      <w:r>
        <w:rPr>
          <w:rFonts w:ascii="Times New Roman" w:hAnsi="Times New Roman" w:cs="Times New Roman" w:eastAsia="Times New Roman"/>
          <w:sz w:val="24"/>
          <w:szCs w:val="24"/>
        </w:rPr>
        <w:t xml:space="preserve">Platforms built on resident reporting are already documented as viable at city scale. Esparza et al. (2024) show that crowdsourced flood reports improve inundation monitoring of road networks precisely in the blind spots where no flood gauge exists, reducing the number of physical sensors required by 32 per cent. Chow et al. (2023) report that volunteers marking flooded street segments across the Houston metropolitan area produced 399 to 479 data points per day, of which 85.9 per cent fell within one metre of a calibrated hydraulic model. Chow et al. describe their study as a preliminary assessment and recommend caution in interpreting the volunteered data against a hydraulic model, so it is cited here as evidence of collection at scale rather than as an endorsement of accuracy. In that platform volunteers marked street segments as flooded without recording a depth, which the researchers reconstructed afterwards from an elevation model. Antas instead asks the contributor for the depth directly, on a fixed five-level scale, trading reach for comparability between reports. Residents in Metro Manila already have the channel habit this depends on: Facebook reaches 81.9 per cent of the population and Messenger 56.2 per cent (Kemp, 2025).</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fills, and it is not a gap about water. Every failure described above — the wrong scale, the missing location, the unmarked age — is a failure of </w:t>
      </w:r>
      <w:r>
        <w:rPr>
          <w:rFonts w:ascii="Times New Roman" w:hAnsi="Times New Roman" w:cs="Times New Roman" w:eastAsia="Times New Roman"/>
          <w:sz w:val="24"/>
          <w:szCs w:val="24"/>
          <w:i/>
        </w:rPr>
        <w:t xml:space="preserve">street-level</w:t>
      </w:r>
      <w:r>
        <w:rPr>
          <w:rFonts w:ascii="Times New Roman" w:hAnsi="Times New Roman" w:cs="Times New Roman" w:eastAsia="Times New Roman"/>
          <w:sz w:val="24"/>
          <w:szCs w:val="24"/>
        </w:rPr>
        <w:t xml:space="preserve"> information, and it recurs unchanged in front of a burning house, a collapsed wall, or a person face-down on a road. Antas therefore accepts six kinds of incident: flood, fire, earthquake, accident, medical, and other.</w:t>
      </w:r>
    </w:p>
    <w:p>
      <w:pPr>
        <w:spacing w:before="240" w:after="240" w:line="276" w:lineRule="auto"/>
        <w:ind w:left="0" w:right="0" w:firstLine="0"/>
        <w:jc w:val="left"/>
      </w:pPr>
      <w:r>
        <w:rPr>
          <w:rFonts w:ascii="Times New Roman" w:hAnsi="Times New Roman" w:cs="Times New Roman" w:eastAsia="Times New Roman"/>
          <w:sz w:val="24"/>
          <w:szCs w:val="24"/>
          <w:b/>
        </w:rPr>
        <w:t xml:space="preserve">Why the evidence in this section is nevertheless flood evidence.</w:t>
      </w:r>
      <w:r>
        <w:rPr>
          <w:rFonts w:ascii="Times New Roman" w:hAnsi="Times New Roman" w:cs="Times New Roman" w:eastAsia="Times New Roman"/>
          <w:sz w:val="24"/>
          <w:szCs w:val="24"/>
        </w:rPr>
        <w:t xml:space="preserve"> PAGASA issues by river basin, the NDRRMC counted flood-affected families, and Esparza et al. and Chow et al. both studied crowdsourced </w:t>
      </w:r>
      <w:r>
        <w:rPr>
          <w:rFonts w:ascii="Times New Roman" w:hAnsi="Times New Roman" w:cs="Times New Roman" w:eastAsia="Times New Roman"/>
          <w:sz w:val="24"/>
          <w:szCs w:val="24"/>
          <w:i/>
        </w:rPr>
        <w:t xml:space="preserve">flood</w:t>
      </w:r>
      <w:r>
        <w:rPr>
          <w:rFonts w:ascii="Times New Roman" w:hAnsi="Times New Roman" w:cs="Times New Roman" w:eastAsia="Times New Roman"/>
          <w:sz w:val="24"/>
          <w:szCs w:val="24"/>
        </w:rPr>
        <w:t xml:space="preserve"> reporting. None of it is restated here as though it were about fires, because it is not, and a citation stretched to cover a hazard its authors never studied would be worth less than no citation. Flood is the case this project began with, the case the published record actually documents, and the case Antas measures most precisely — water is the one hazard here that can be graded against a human body, which is why it keeps a five-level scale while the other five are graded in three steps and ordered against it on a shared rank. Where this report says "flood", it means the worked case, not the boundary of what the application accepts.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4"/>
          <w:szCs w:val="24"/>
        </w:rPr>
        <w:t xml:space="preserve">The literature relevant to Antas falls into seven areas: the recent record of crowdsourced disaster reporting platforms, the problem of trusting citizen-contributed data, the Philippine flood and warning context, the design of interfaces used under stress, the handling of information that decays with time, the closest comparable system, and the official standard for road passability. Each entry states what the source establishes and which decision in this system it supports. The literature is weighted toward flood for the reason given at the end of 1.1: it is the hazard with a published record to cite. The design decisions it supports — a graded scale rather than a presence report, an explicit age on every reading, a trust score that never counts a gap as evidence against the sender — are hazard-independent, and the built system applies them to all six.</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A. Crowdsourced and Participatory Disaster Reporting</w:t>
      </w:r>
    </w:p>
    <w:p>
      <w:pPr>
        <w:spacing w:before="240" w:after="240" w:line="276" w:lineRule="auto"/>
        <w:ind w:left="0" w:right="0" w:firstLine="0"/>
        <w:jc w:val="left"/>
      </w:pPr>
      <w:r>
        <w:rPr>
          <w:rFonts w:ascii="Times New Roman" w:hAnsi="Times New Roman" w:cs="Times New Roman" w:eastAsia="Times New Roman"/>
          <w:sz w:val="24"/>
          <w:szCs w:val="24"/>
          <w:b/>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b/>
          <w:i/>
        </w:rPr>
        <w:t xml:space="preserve">Urban Informatics, 3</w:t>
      </w:r>
      <w:r>
        <w:rPr>
          <w:rFonts w:ascii="Times New Roman" w:hAnsi="Times New Roman" w:cs="Times New Roman" w:eastAsia="Times New Roman"/>
          <w:sz w:val="24"/>
          <w:szCs w:val="24"/>
          <w:b/>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et al. supply the empirical warrant for the premise of this project. Studying the Houston road network, they find that resident-submitted reports improve inundation monitoring precisely where no gauge exists, reducing the number of physical sensors required by 32 per cent. The finding matters because a person standing in floodwater is an instrument no rain gauge can replace: the gauge measures rainfall, the resident measures the street.</w:t>
      </w:r>
    </w:p>
    <w:p>
      <w:pPr>
        <w:spacing w:before="240" w:after="240" w:line="276" w:lineRule="auto"/>
        <w:ind w:left="0" w:right="0" w:firstLine="0"/>
        <w:jc w:val="left"/>
      </w:pPr>
      <w:r>
        <w:rPr>
          <w:rFonts w:ascii="Times New Roman" w:hAnsi="Times New Roman" w:cs="Times New Roman" w:eastAsia="Times New Roman"/>
          <w:sz w:val="24"/>
          <w:szCs w:val="24"/>
          <w:b/>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b/>
          <w:i/>
        </w:rPr>
        <w:t xml:space="preserve">Hydrology, 10</w:t>
      </w:r>
      <w:r>
        <w:rPr>
          <w:rFonts w:ascii="Times New Roman" w:hAnsi="Times New Roman" w:cs="Times New Roman" w:eastAsia="Times New Roman"/>
          <w:sz w:val="24"/>
          <w:szCs w:val="24"/>
          <w:b/>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Chow et al. address the question Esparza et al. leave open, which is whether volunteered readings are accurate rather than merely plentiful. Volunteers marking flooded street segments across the Houston metropolitan area produced between 399 and 479 data points a day, and 85.9 per cent of those segments fell within one metre of a calibrated hydraulic model. The authors are careful about what this shows: they call the study a preliminary assessment and recommend caution in interpreting volunteered data against a model, so it is cited here for collection at scale rather than as a warrant for accuracy. One detail bears directly on the design of Antas. Their volunteers marked segments as flooded without recording a depth, which the researchers reconstructed afterwards from an elevation model; Antas asks the contributor for the depth directly, on a fixed five-level scale, trading reach for comparability between reports.</w:t>
      </w:r>
    </w:p>
    <w:p>
      <w:pPr>
        <w:spacing w:before="240" w:after="240" w:line="276" w:lineRule="auto"/>
        <w:ind w:left="0" w:right="0" w:firstLine="0"/>
        <w:jc w:val="left"/>
      </w:pPr>
      <w:r>
        <w:rPr>
          <w:rFonts w:ascii="Times New Roman" w:hAnsi="Times New Roman" w:cs="Times New Roman" w:eastAsia="Times New Roman"/>
          <w:sz w:val="24"/>
          <w:szCs w:val="24"/>
          <w:b/>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b/>
          <w:i/>
        </w:rPr>
        <w:t xml:space="preserve">ISPRS Journal of Photogrammetry and Remote Sensing, 169</w:t>
      </w:r>
      <w:r>
        <w:rPr>
          <w:rFonts w:ascii="Times New Roman" w:hAnsi="Times New Roman" w:cs="Times New Roman" w:eastAsia="Times New Roman"/>
          <w:sz w:val="24"/>
          <w:szCs w:val="24"/>
          <w:b/>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Feng et al. provide the precedent for reading flood depth against a human body. They estimate water level from photographs containing people, banding the result as ankle, knee, hip or chest. That establishes the body as a workable reference object for depth, which is the premise of the five-level scale used here. Two differences are worth stating rather than glossing. Their bands are applied by annotators to photographs, whereas Antas asks the person standing in the water; and their scale has four levels where this one has five, the above-head level having no counterpart in their work. This source also falls outside the 2022 window applied elsewhere in this review; it is included because the recent literature using body-referenced depth bands cites it as the origin.</w:t>
      </w:r>
    </w:p>
    <w:p>
      <w:pPr>
        <w:spacing w:before="240" w:after="240" w:line="276" w:lineRule="auto"/>
        <w:ind w:left="0" w:right="0" w:firstLine="0"/>
        <w:jc w:val="left"/>
      </w:pPr>
      <w:r>
        <w:rPr>
          <w:rFonts w:ascii="Times New Roman" w:hAnsi="Times New Roman" w:cs="Times New Roman" w:eastAsia="Times New Roman"/>
          <w:sz w:val="24"/>
          <w:szCs w:val="24"/>
          <w:b/>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b/>
          <w:i/>
        </w:rPr>
        <w:t xml:space="preserve">Risk, Hazards &amp; Crisis in Public Policy, 15</w:t>
      </w:r>
      <w:r>
        <w:rPr>
          <w:rFonts w:ascii="Times New Roman" w:hAnsi="Times New Roman" w:cs="Times New Roman" w:eastAsia="Times New Roman"/>
          <w:sz w:val="24"/>
          <w:szCs w:val="24"/>
          <w:b/>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et al. review 237 studies published between 2008 and 2023 on social media and crowdsourcing in disaster risk management, establishing that public information sharing during disasters is a documented and studied phenomenon rather than an assumption of this project. This justifies the product's basic shape: residents already post flood photographs to Facebook groups, and the contribution of Antas is structure, location and time, not the impulse to share.</w:t>
      </w:r>
    </w:p>
    <w:p>
      <w:pPr>
        <w:spacing w:before="240" w:after="240" w:line="276" w:lineRule="auto"/>
        <w:ind w:left="0" w:right="0" w:firstLine="0"/>
        <w:jc w:val="left"/>
      </w:pPr>
      <w:r>
        <w:rPr>
          <w:rFonts w:ascii="Times New Roman" w:hAnsi="Times New Roman" w:cs="Times New Roman" w:eastAsia="Times New Roman"/>
          <w:sz w:val="24"/>
          <w:szCs w:val="24"/>
          <w:b/>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b/>
          <w:i/>
        </w:rPr>
        <w:t xml:space="preserve">Sensors, 23</w:t>
      </w:r>
      <w:r>
        <w:rPr>
          <w:rFonts w:ascii="Times New Roman" w:hAnsi="Times New Roman" w:cs="Times New Roman" w:eastAsia="Times New Roman"/>
          <w:sz w:val="24"/>
          <w:szCs w:val="24"/>
          <w:b/>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Cicek and Kantarci draw a distinction between crowdsourcing, which they characterise as gathering unstructured crowd intelligence through social media, and crowdsensing, a more structured type of data generation by crowds. Antas sits on the structured side of that line by design. The review also names a crowd-as-reporters pattern in which a member of the public submits an observation that is then checked, which is the shape of the moderator queue in Section 2.4. Note the scope limit: this review deliberately excludes work scoped solely to social media, so it is cited for the structured-versus-unstructured distinction and not as evidence about informal sharing behaviour.</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B. Trust, Verification and Data Quality</w:t>
      </w:r>
    </w:p>
    <w:p>
      <w:pPr>
        <w:spacing w:before="240" w:after="240" w:line="276" w:lineRule="auto"/>
        <w:ind w:left="0" w:right="0" w:firstLine="0"/>
        <w:jc w:val="left"/>
      </w:pPr>
      <w:r>
        <w:rPr>
          <w:rFonts w:ascii="Times New Roman" w:hAnsi="Times New Roman" w:cs="Times New Roman" w:eastAsia="Times New Roman"/>
          <w:sz w:val="24"/>
          <w:szCs w:val="24"/>
          <w:b/>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b/>
          <w:i/>
        </w:rPr>
        <w:t xml:space="preserve">Scientific Reports, 12</w:t>
      </w:r>
      <w:r>
        <w:rPr>
          <w:rFonts w:ascii="Times New Roman" w:hAnsi="Times New Roman" w:cs="Times New Roman" w:eastAsia="Times New Roman"/>
          <w:sz w:val="24"/>
          <w:szCs w:val="24"/>
          <w:b/>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addresses how the reliability of an unverified report from an unknown person can be estimated. Lowrie et al. establish two of the three signals the Antas trust score relies on: clustering of reports relative to authoritative sources, and a per-contributor credibility score. They are explicit that they did not test the third, stating that their research has not included digital elevation models, atmospheric data, or streamflow gauges, all of which would be valuable additions. The environmental-corroboration group in Section 2.4 therefore rests on Safaei-Moghadam et al. rather than on this source, and the distinction is stated here rather than blurred.</w:t>
      </w:r>
    </w:p>
    <w:p>
      <w:pPr>
        <w:spacing w:before="240" w:after="240" w:line="276" w:lineRule="auto"/>
        <w:ind w:left="0" w:right="0" w:firstLine="0"/>
        <w:jc w:val="left"/>
      </w:pPr>
      <w:r>
        <w:rPr>
          <w:rFonts w:ascii="Times New Roman" w:hAnsi="Times New Roman" w:cs="Times New Roman" w:eastAsia="Times New Roman"/>
          <w:sz w:val="24"/>
          <w:szCs w:val="24"/>
          <w:b/>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b/>
          <w:i/>
        </w:rPr>
        <w:t xml:space="preserve">Natural Hazards and Earth System Sciences, 23</w:t>
      </w:r>
      <w:r>
        <w:rPr>
          <w:rFonts w:ascii="Times New Roman" w:hAnsi="Times New Roman" w:cs="Times New Roman" w:eastAsia="Times New Roman"/>
          <w:sz w:val="24"/>
          <w:szCs w:val="24"/>
          <w:b/>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et al. supply the environmental half of the trust score. They note that the Waze app has no pre-qualification for users to post a report, and consequently not all flood-labelled alerts are reliable as flood observations. Their response is to require a cluster of more than two flood alerts near a mapped depression, and to cross-check alert timing against rainfall and alert location against elevation data. Those are precisely the corroboration, rainfall and elevation groups in Section 2.4.</w:t>
      </w:r>
    </w:p>
    <w:p>
      <w:pPr>
        <w:spacing w:before="240" w:after="240" w:line="276" w:lineRule="auto"/>
        <w:ind w:left="0" w:right="0" w:firstLine="0"/>
        <w:jc w:val="left"/>
      </w:pPr>
      <w:r>
        <w:rPr>
          <w:rFonts w:ascii="Times New Roman" w:hAnsi="Times New Roman" w:cs="Times New Roman" w:eastAsia="Times New Roman"/>
          <w:sz w:val="24"/>
          <w:szCs w:val="24"/>
          <w:b/>
        </w:rPr>
        <w:t xml:space="preserve">Gheyas, I., Asghar, M. R., Schneider, S., &amp; Woodward, A. (2025). </w:t>
      </w:r>
      <w:r>
        <w:rPr>
          <w:rFonts w:ascii="Times New Roman" w:hAnsi="Times New Roman" w:cs="Times New Roman" w:eastAsia="Times New Roman"/>
          <w:sz w:val="24"/>
          <w:szCs w:val="24"/>
          <w:b/>
          <w:i/>
        </w:rPr>
        <w:t xml:space="preserve">Establishing trust in crowdsourced data</w:t>
      </w:r>
      <w:r>
        <w:rPr>
          <w:rFonts w:ascii="Times New Roman" w:hAnsi="Times New Roman" w:cs="Times New Roman" w:eastAsia="Times New Roman"/>
          <w:sz w:val="24"/>
          <w:szCs w:val="24"/>
          <w:b/>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Gheyas et al. show that a contributor-reputation mechanism can weight submissions without excluding contributors, filtering guesses while prioritising consistent contributors. This supports two decisions at once: the reputation record of confirmed and false reports, and the rule that a low-confidence emergency signal is ranked lower but never filtered out. This is a preprint and has not been peer reviewed, which is stated here rather than left for a reader to discover.</w:t>
      </w:r>
    </w:p>
    <w:p>
      <w:pPr>
        <w:spacing w:before="240" w:after="240" w:line="276" w:lineRule="auto"/>
        <w:ind w:left="0" w:right="0" w:firstLine="0"/>
        <w:jc w:val="left"/>
      </w:pPr>
      <w:r>
        <w:rPr>
          <w:rFonts w:ascii="Times New Roman" w:hAnsi="Times New Roman" w:cs="Times New Roman" w:eastAsia="Times New Roman"/>
          <w:sz w:val="24"/>
          <w:szCs w:val="24"/>
          <w:b/>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b/>
          <w:i/>
        </w:rPr>
        <w:t xml:space="preserve">JMIR Infodemiology, 5</w:t>
      </w:r>
      <w:r>
        <w:rPr>
          <w:rFonts w:ascii="Times New Roman" w:hAnsi="Times New Roman" w:cs="Times New Roman" w:eastAsia="Times New Roman"/>
          <w:sz w:val="24"/>
          <w:szCs w:val="24"/>
          <w:b/>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et al. establish that false or outdated information spreads readily during an emergency, and that corrections travel more slowly than the claims they correct. This supports two refusals recorded in Section 4.2: free-text comments beneath a depth reading, and any label describing floodwater as safe. In a system nobody moderates, a reassuring comment outlives the conditions that produced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 The Philippine Flood Context</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Flood information</w:t>
      </w:r>
      <w:r>
        <w:rPr>
          <w:rFonts w:ascii="Times New Roman" w:hAnsi="Times New Roman" w:cs="Times New Roman" w:eastAsia="Times New Roman"/>
          <w:sz w:val="24"/>
          <w:szCs w:val="24"/>
          <w:b/>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primary source for the spatial unit at which official warnings are issued. PAGASA organises its flood products around eighteen major river basins and disseminates them to local, municipal, and provincial government offices. The finest spatial unit reached by any public PAGASA product examined here is the city or municipality: its regional forecast names conditions over Metro Manila and then lists constituent cities, the whole of Marikina appearing as one unit. That is the primary-source basis for the central claim of the problem statement, stated as a demonstrated coarse granularity rather than as a denial that any street-level product exists. Antas does not compete with these warnings; it answers the question they are not designed to answer.</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Legend</w:t>
      </w:r>
      <w:r>
        <w:rPr>
          <w:rFonts w:ascii="Times New Roman" w:hAnsi="Times New Roman" w:cs="Times New Roman" w:eastAsia="Times New Roman"/>
          <w:sz w:val="24"/>
          <w:szCs w:val="24"/>
          <w:b/>
        </w:rPr>
        <w:t xml:space="preserve">. Retrieved August 15, 2026, from https://pagasa.dost.gov.ph/learnings/legend</w:t>
      </w:r>
    </w:p>
    <w:p>
      <w:pPr>
        <w:spacing w:before="240" w:after="240" w:line="276" w:lineRule="auto"/>
        <w:ind w:left="0" w:right="0" w:firstLine="0"/>
        <w:jc w:val="left"/>
      </w:pPr>
      <w:r>
        <w:rPr>
          <w:rFonts w:ascii="Times New Roman" w:hAnsi="Times New Roman" w:cs="Times New Roman" w:eastAsia="Times New Roman"/>
          <w:sz w:val="24"/>
          <w:szCs w:val="24"/>
        </w:rPr>
        <w:t xml:space="preserve">This page carries the published definitions of the colour-coded rainfall warnings, and states the spatial unit explicitly: the General Flood Advisory is issued for non-telemetered river basins and issued to the public on a regional basis. The impact language is spatially generic in the same way, warning that flooding is possible in low-lying areas and near river channels, which names a category of place rather than a place. Note that this page carries no publication date; the date given is a retrieval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National Disaster Risk Reduction and Management Council. (2024). </w:t>
      </w:r>
      <w:r>
        <w:rPr>
          <w:rFonts w:ascii="Times New Roman" w:hAnsi="Times New Roman" w:cs="Times New Roman" w:eastAsia="Times New Roman"/>
          <w:sz w:val="24"/>
          <w:szCs w:val="24"/>
          <w:b/>
          <w:i/>
        </w:rPr>
        <w:t xml:space="preserve">SitRep no. 46 for the combined effects of Southwest Monsoon and TCs Butchoy and Carina (2024)</w:t>
      </w:r>
      <w:r>
        <w:rPr>
          <w:rFonts w:ascii="Times New Roman" w:hAnsi="Times New Roman" w:cs="Times New Roman" w:eastAsia="Times New Roman"/>
          <w:sz w:val="24"/>
          <w:szCs w:val="24"/>
          <w:b/>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SitRep No. 46 is the final report in its series, so its figures are post-validation. It records 189,771 families, or 754,446 persons, affected in the National Capital Region, of whom 584,867 were served outside evacuation centres. That is the scale statistic the problem statement rests on, taken from the primary record rather than from a news summary of it. The report number and date matter: the National Capital Region count rose from 125,491 persons in SitRep No. 17 on 26 July to 754,446 in SitRep No. 46 a month later, so an earlier report in the same series would understate the event several times over.</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Bank. (2020). </w:t>
      </w:r>
      <w:r>
        <w:rPr>
          <w:rFonts w:ascii="Times New Roman" w:hAnsi="Times New Roman" w:cs="Times New Roman" w:eastAsia="Times New Roman"/>
          <w:sz w:val="24"/>
          <w:szCs w:val="24"/>
          <w:b/>
          <w:i/>
        </w:rPr>
        <w:t xml:space="preserve">Concept project information document (PID): Pasig-Marikina River Basin Flood Management Project (P171897)</w:t>
      </w:r>
      <w:r>
        <w:rPr>
          <w:rFonts w:ascii="Times New Roman" w:hAnsi="Times New Roman" w:cs="Times New Roman" w:eastAsia="Times New Roman"/>
          <w:sz w:val="24"/>
          <w:szCs w:val="24"/>
          <w:b/>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The World Bank's project assessment establishes that flooding in the Pasig-Marikina basin is a chronic structural condition rather than a sequence of exceptional events: parts of the basin flood already during rainfall events with a five-year return period. The NDRRMC situational report supplies the scale of one severe event; this supplies the recurrence that makes a standing tool worth building rather than an emergency broadcast.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D. Interface Design for Use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Knysh, A., &amp; Pohrebniak, T. (2026). Mental health app crisis support assessment framework: Development and pilot testing. </w:t>
      </w:r>
      <w:r>
        <w:rPr>
          <w:rFonts w:ascii="Times New Roman" w:hAnsi="Times New Roman" w:cs="Times New Roman" w:eastAsia="Times New Roman"/>
          <w:sz w:val="24"/>
          <w:szCs w:val="24"/>
          <w:b/>
          <w:i/>
        </w:rPr>
        <w:t xml:space="preserve">Frontiers in Digital Health, 8</w:t>
      </w:r>
      <w:r>
        <w:rPr>
          <w:rFonts w:ascii="Times New Roman" w:hAnsi="Times New Roman" w:cs="Times New Roman" w:eastAsia="Times New Roman"/>
          <w:sz w:val="24"/>
          <w:szCs w:val="24"/>
          <w:b/>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establishes that attention narrows in a crisis, and that every additional step in a path raises the chance the task is abandoned. Knysh and Pohrebniak find that each additional navigation tap or ambiguous label increases the risk that a user abandons the task entirely, and criticise crisis interfaces built from pale, small, hierarchy-free text. Two decisions rest on this: the emergency control is a plainly labelled tab rather than a long-press on the ordinary report button, and depth is expressed in body parts so that no arithmetic conversion is required. The limit of this warrant should be stated. The older claim that stress makes people revert to habitual actions is not asserted here, because recent primary work fails to replicate that effect; the argument rests on interaction cost under narrowed attention instead. The source lists adequate touch targets as a criterion but gives no numeric value and does not address outdoor viewing, so the 48-pixel target rests on the WCAG 2.2 recommendation below rather than on this source. The light-only interface is not derived from either source: it is a design judgement about reading a screen outdoors in daylight, and is recorded here as a judgement rather than dressed as a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Wide Web Consortium. (2024). </w:t>
      </w:r>
      <w:r>
        <w:rPr>
          <w:rFonts w:ascii="Times New Roman" w:hAnsi="Times New Roman" w:cs="Times New Roman" w:eastAsia="Times New Roman"/>
          <w:sz w:val="24"/>
          <w:szCs w:val="24"/>
          <w:b/>
          <w:i/>
        </w:rPr>
        <w:t xml:space="preserve">Web Content Accessibility Guidelines (WCAG) 2.2</w:t>
      </w:r>
      <w:r>
        <w:rPr>
          <w:rFonts w:ascii="Times New Roman" w:hAnsi="Times New Roman" w:cs="Times New Roman" w:eastAsia="Times New Roman"/>
          <w:sz w:val="24"/>
          <w:szCs w:val="24"/>
          <w:b/>
        </w:rPr>
        <w:t xml:space="preserve"> (W3C Recommendation). Retrieved August 15, 2026, from https://www.w3.org/TR/WCAG22/</w:t>
      </w:r>
    </w:p>
    <w:p>
      <w:pPr>
        <w:spacing w:before="240" w:after="240" w:line="276" w:lineRule="auto"/>
        <w:ind w:left="0" w:right="0" w:firstLine="0"/>
        <w:jc w:val="left"/>
      </w:pPr>
      <w:r>
        <w:rPr>
          <w:rFonts w:ascii="Times New Roman" w:hAnsi="Times New Roman" w:cs="Times New Roman" w:eastAsia="Times New Roman"/>
          <w:sz w:val="24"/>
          <w:szCs w:val="24"/>
        </w:rPr>
        <w:t xml:space="preserve">WCAG 2.2 sets the published minimum target size. Success criterion 2.5.8, at Level AA, sets a minimum of 24 by 24 CSS pixels; the enhanced criterion 2.5.5, at Level AAA, sets 44 by 44. The 48-pixel minimum used here exceeds both. It is stated that way deliberately: WCAG does not require 48 pixels, and a paper that implied it did would be misreporting the standard it claims to follow.</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E. Information Decay and Offline Operation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b/>
          <w:i/>
        </w:rPr>
        <w:t xml:space="preserve">Behavioral Sciences, 14</w:t>
      </w:r>
      <w:r>
        <w:rPr>
          <w:rFonts w:ascii="Times New Roman" w:hAnsi="Times New Roman" w:cs="Times New Roman" w:eastAsia="Times New Roman"/>
          <w:sz w:val="24"/>
          <w:szCs w:val="24"/>
          <w:b/>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Liu et al. establish that how the age of a time-sensitive reading is displayed changes whether people account for it. They study pilots reading radar imagery and find that users overlook the latency or underestimate the uncertainty the delay introduces, and that the display format of the delay affects this. Two limits should be stated rather than glossed. Their population is pilots reading cockpit radar, not the general public, so the transfer to a flood map is an argument this paper makes and not a finding the source reports. And they manipulate the format of an already-shown delay rather than testing age-marking against its absence, so they support the decision to state a reading's age prominently, not the stronger claim that usefulness decays at a measurable rate. The six-hour cutoff in particular has no source: no work found within the review window fixes a threshold, and it is an engineering judgement of this project. Ashista et al. and the MDN documentation below cover the separate decision to cache the application shell and the guide for use without a network.</w:t>
      </w:r>
    </w:p>
    <w:p>
      <w:pPr>
        <w:spacing w:before="240" w:after="240" w:line="276" w:lineRule="auto"/>
        <w:ind w:left="0" w:right="0" w:firstLine="0"/>
        <w:jc w:val="left"/>
      </w:pPr>
      <w:r>
        <w:rPr>
          <w:rFonts w:ascii="Times New Roman" w:hAnsi="Times New Roman" w:cs="Times New Roman" w:eastAsia="Times New Roman"/>
          <w:sz w:val="24"/>
          <w:szCs w:val="24"/>
          <w:b/>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b/>
          <w:i/>
        </w:rPr>
        <w:t xml:space="preserve">PLOS Digital Health, 5</w:t>
      </w:r>
      <w:r>
        <w:rPr>
          <w:rFonts w:ascii="Times New Roman" w:hAnsi="Times New Roman" w:cs="Times New Roman" w:eastAsia="Times New Roman"/>
          <w:sz w:val="24"/>
          <w:szCs w:val="24"/>
          <w:b/>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et al. demonstrate that an offline-first architecture with deferred synchronisation is workable for a safety-relevant application under intermittent connectivity in a low-resource setting. Liu et al. cover how the age of a reading is displayed; this covers the other half, the decision to cache the application shell and the preparedness guide so the product still opens when the network does not.</w:t>
      </w:r>
    </w:p>
    <w:p>
      <w:pPr>
        <w:spacing w:before="240" w:after="240" w:line="276" w:lineRule="auto"/>
        <w:ind w:left="0" w:right="0" w:firstLine="0"/>
        <w:jc w:val="left"/>
      </w:pPr>
      <w:r>
        <w:rPr>
          <w:rFonts w:ascii="Times New Roman" w:hAnsi="Times New Roman" w:cs="Times New Roman" w:eastAsia="Times New Roman"/>
          <w:sz w:val="24"/>
          <w:szCs w:val="24"/>
          <w:b/>
        </w:rPr>
        <w:t xml:space="preserve">Mozilla. (2025). </w:t>
      </w:r>
      <w:r>
        <w:rPr>
          <w:rFonts w:ascii="Times New Roman" w:hAnsi="Times New Roman" w:cs="Times New Roman" w:eastAsia="Times New Roman"/>
          <w:sz w:val="24"/>
          <w:szCs w:val="24"/>
          <w:b/>
          <w:i/>
        </w:rPr>
        <w:t xml:space="preserve">Offline and background operation</w:t>
      </w:r>
      <w:r>
        <w:rPr>
          <w:rFonts w:ascii="Times New Roman" w:hAnsi="Times New Roman" w:cs="Times New Roman" w:eastAsia="Times New Roman"/>
          <w:sz w:val="24"/>
          <w:szCs w:val="24"/>
          <w:b/>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MDN documents the service-worker mechanism by which a progressive web application serves cached content without a network, which is the implementation route for the cached shell and guide described above.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F. The Closest Comparable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Roque, N. (2024, August 24). Dingdong Dantes’ foundation helps launch LyfSaver, an app to foster bayanihan during disasters. </w:t>
      </w:r>
      <w:r>
        <w:rPr>
          <w:rFonts w:ascii="Times New Roman" w:hAnsi="Times New Roman" w:cs="Times New Roman" w:eastAsia="Times New Roman"/>
          <w:sz w:val="24"/>
          <w:szCs w:val="24"/>
          <w:b/>
          <w:i/>
        </w:rPr>
        <w:t xml:space="preserve">GMA Integrated News</w:t>
      </w:r>
      <w:r>
        <w:rPr>
          <w:rFonts w:ascii="Times New Roman" w:hAnsi="Times New Roman" w:cs="Times New Roman" w:eastAsia="Times New Roman"/>
          <w:sz w:val="24"/>
          <w:szCs w:val="24"/>
          <w:b/>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4"/>
          <w:szCs w:val="24"/>
        </w:rPr>
        <w:t xml:space="preserve">LyfSaver is the system this project most resembles, and the comparison is worth making directly rather than leaving implied. Launched in August 2024 by Fyt Media with the University of the Philippines Nationwide Operational Assessment of Hazards, the UP Resilience Institute and the YesPinoy Foundation, it accepts resident reports of floods, storm surges, landslides, barangay status and accidents, with photographs, video and messages, and combines them with UP-NOAH hazard mapping and a volunteer training programme. It is available as a mobile application and in the browser at https://app.lyfsaver.ph.</w:t>
      </w:r>
    </w:p>
    <w:p>
      <w:pPr>
        <w:spacing w:before="240" w:after="240" w:line="276" w:lineRule="auto"/>
        <w:ind w:left="0" w:right="0" w:firstLine="0"/>
        <w:jc w:val="left"/>
      </w:pPr>
      <w:r>
        <w:rPr>
          <w:rFonts w:ascii="Times New Roman" w:hAnsi="Times New Roman" w:cs="Times New Roman" w:eastAsia="Times New Roman"/>
          <w:sz w:val="24"/>
          <w:szCs w:val="24"/>
        </w:rPr>
        <w:t xml:space="preserve">It is better resourced than this project in every dimension that resources buy: scientific hazard layers, institutional partners, and a training pipeline. Its adoption is real rather than prospective.</w:t>
      </w:r>
    </w:p>
    <w:p>
      <w:pPr>
        <w:spacing w:before="240" w:after="240" w:line="276" w:lineRule="auto"/>
        <w:ind w:left="0" w:right="0" w:firstLine="0"/>
        <w:jc w:val="left"/>
      </w:pPr>
      <w:r>
        <w:rPr>
          <w:rFonts w:ascii="Times New Roman" w:hAnsi="Times New Roman" w:cs="Times New Roman" w:eastAsia="Times New Roman"/>
          <w:sz w:val="24"/>
          <w:szCs w:val="24"/>
          <w:b/>
        </w:rPr>
        <w:t xml:space="preserve">Magbanua, S. A. (2026, August 26). QC trains city disaster responders through LyfSaver. </w:t>
      </w:r>
      <w:r>
        <w:rPr>
          <w:rFonts w:ascii="Times New Roman" w:hAnsi="Times New Roman" w:cs="Times New Roman" w:eastAsia="Times New Roman"/>
          <w:sz w:val="24"/>
          <w:szCs w:val="24"/>
          <w:b/>
          <w:i/>
        </w:rPr>
        <w:t xml:space="preserve">Daily Tribune</w:t>
      </w:r>
      <w:r>
        <w:rPr>
          <w:rFonts w:ascii="Times New Roman" w:hAnsi="Times New Roman" w:cs="Times New Roman" w:eastAsia="Times New Roman"/>
          <w:sz w:val="24"/>
          <w:szCs w:val="24"/>
          <w:b/>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reports the Quezon City government training barangay officials, volunteers and city disaster responders on the platform, describing it as a tool to report incidents, verify information and share trusted updates during emergencies. The significance for this project is twofold. It confirms that the problem addressed here is real enough for a city government to invest in, and it establishes that the crowdsourced-reporting space in Metro Manila is occupied. Any claim this project makes to contribute something must therefore be a claim about what LyfSaver does not do, not about the category as a whole.</w:t>
      </w:r>
    </w:p>
    <w:p>
      <w:pPr>
        <w:spacing w:before="240" w:after="240" w:line="276" w:lineRule="auto"/>
        <w:ind w:left="0" w:right="0" w:firstLine="0"/>
        <w:jc w:val="left"/>
      </w:pPr>
      <w:r>
        <w:rPr>
          <w:rFonts w:ascii="Times New Roman" w:hAnsi="Times New Roman" w:cs="Times New Roman" w:eastAsia="Times New Roman"/>
          <w:sz w:val="24"/>
          <w:szCs w:val="24"/>
        </w:rPr>
        <w:t xml:space="preserve">That difference is one of data type. LyfSaver records that an incident is present at a place. Antas records how deep the water is, on a fixed five-level scale, which is a different kind of measurement: it can be ordered, compared between reports, clustered, and turned into a decision. A report that a street is flooded cannot be converted into advice; a report that the water is knee-deep can. Section 1.3 argues that difference and Section 1.4 tabulates it, including the rows where LyfSaver is the stronger system.</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 The Official Passability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Malasig, J. (2024, September 4). Tire deep or gutter deep? MMDA’s new system assigns acronyms to flood levels. </w:t>
      </w:r>
      <w:r>
        <w:rPr>
          <w:rFonts w:ascii="Times New Roman" w:hAnsi="Times New Roman" w:cs="Times New Roman" w:eastAsia="Times New Roman"/>
          <w:sz w:val="24"/>
          <w:szCs w:val="24"/>
          <w:b/>
          <w:i/>
        </w:rPr>
        <w:t xml:space="preserve">Interaksyon</w:t>
      </w:r>
      <w:r>
        <w:rPr>
          <w:rFonts w:ascii="Times New Roman" w:hAnsi="Times New Roman" w:cs="Times New Roman" w:eastAsia="Times New Roman"/>
          <w:sz w:val="24"/>
          <w:szCs w:val="24"/>
          <w:b/>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documents the Metropolitan Manila Development Authority’s Flood Gauge System, which classifies a flooded road by whether vehicles can pass it: PATV, passable to all types of vehicles, at eight to ten inches; NPLV, not passable to light vehicles, at thirteen to nineteen inches; and NPATV, not passable to any type of vehicle, at twenty-six inches and above. The system is the reason this project can make a passability claim without inventing a threshold.</w:t>
      </w:r>
    </w:p>
    <w:p>
      <w:pPr>
        <w:spacing w:before="240" w:after="240" w:line="276" w:lineRule="auto"/>
        <w:ind w:left="0" w:right="0" w:firstLine="0"/>
        <w:jc w:val="left"/>
      </w:pPr>
      <w:r>
        <w:rPr>
          <w:rFonts w:ascii="Times New Roman" w:hAnsi="Times New Roman" w:cs="Times New Roman" w:eastAsia="Times New Roman"/>
          <w:sz w:val="24"/>
          <w:szCs w:val="24"/>
        </w:rPr>
        <w:t xml:space="preserve">Two features of the standard matter here. The first is that it is official and published, so adopting it is citation rather than invention — an important distinction for a safety claim. The second is that MMDA describes its own categories in body terms: nineteen inches is “knee deep”, thirty-seven is “waist deep”, forty-five is “chest deep”. The scale this project chose for its own reasons, described in Section 2.2, turns out to be the vocabulary the national road authority already uses. Antas maps its five levels onto the three MMDA categories, taking the worse category wherever one of its bands straddles two, and shows the result on every flood report.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Synthesis: The Gap This Project Addresses</w:t>
      </w:r>
    </w:p>
    <w:p>
      <w:pPr>
        <w:spacing w:before="240" w:after="240" w:line="276" w:lineRule="auto"/>
        <w:ind w:left="0" w:right="0" w:firstLine="0"/>
        <w:jc w:val="left"/>
      </w:pPr>
      <w:r>
        <w:rPr>
          <w:rFonts w:ascii="Times New Roman" w:hAnsi="Times New Roman" w:cs="Times New Roman" w:eastAsia="Times New Roman"/>
          <w:sz w:val="24"/>
          <w:szCs w:val="24"/>
        </w:rPr>
        <w:t xml:space="preserve">Taken together the literature supports three positions, with the strength of each stated honestly. First, residents are a documented source of hazard information that instruments do not capture at street level: Esparza et al. quantify a 32 per cent reduction in the sensors required, and Chow et al. show collection at a rate of several hundred street segments a day, though they caution against treating volunteered depth as accurate. Second, trust is the recurring difficulty in this literature rather than collection, and the responses described are to weigh reports by corroboration, contributor history and independent environmental data. That weighting is documented in individual systems; describing it as the field's settled answer would go further than the sources reviewed here allow. Third, official warning systems are authoritative and necessary, and work at a spatial resolution that cannot answer the question a person standing on a street is asking, which PAGASA's own products demonstrate directly.</w:t>
      </w:r>
    </w:p>
    <w:p>
      <w:pPr>
        <w:spacing w:before="240" w:after="240" w:line="276" w:lineRule="auto"/>
        <w:ind w:left="0" w:right="0" w:firstLine="0"/>
        <w:jc w:val="left"/>
      </w:pPr>
      <w:r>
        <w:rPr>
          <w:rFonts w:ascii="Times New Roman" w:hAnsi="Times New Roman" w:cs="Times New Roman" w:eastAsia="Times New Roman"/>
          <w:sz w:val="24"/>
          <w:szCs w:val="24"/>
        </w:rPr>
        <w:t xml:space="preserve">Where this project positions its contribution is the treatment of information decay in the interface itself. The sources reviewed here concentrate on collecting reports and on judging their reliability; none of them examines withholding a report once it is too old to act on. That is an observation about the literature this review reached, not a demonstrated gap in the field, and it is stated as such: a systematic search would be needed to establish that no such work exists. On that reading, Antas treats staleness as a first-class safety property: every reading states its age, and beyond six hours the map draws nothing and says why. It pairs that with an explicit refusal to imply a dispatch capability it does not have. Those two commitments, rather than the collection mechanism, are what distinguish this system from the precedents reviewed here.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Two comparisons are needed rather than one. The tools a Metro Manila resident reaches for when something is happening on their street — official warnings, news, neighbourhood groups, navigation apps — differ from Antas in the ways set out below. LyfSaver, described in Section 1.2F, is a different case: it is a purpose-built crowdsourced reporting platform and shares this project’s premise. The differences that matter against it are the third, the seventh and the eighth.</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A photograph posted to a group carries no such treatment: nothing in the channel marks its age or withdraws it once conditions change.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A measurement, not a report.</w:t>
      </w:r>
      <w:r>
        <w:rPr>
          <w:rFonts w:ascii="Times New Roman" w:hAnsi="Times New Roman" w:cs="Times New Roman" w:eastAsia="Times New Roman"/>
          <w:sz w:val="24"/>
          <w:szCs w:val="24"/>
        </w:rPr>
        <w:t xml:space="preserve"> This is the difference that separates Antas from other crowdsourced platforms rather than from informal sources. A platform records that an incident is present at a place; Antas records how deep the water is on a five-level scale. The distinction is not one of detail but of data type. A presence report cannot be ordered, compared between contributors, or clustered without losing its meaning, and it cannot be converted into advice. A graded reading can be all four, which is what makes the map colour-ramp, the cluster rule that takes the deepest member, and the passability classification below possible at all.</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Road passability in the national authority’s own words.</w:t>
      </w:r>
      <w:r>
        <w:rPr>
          <w:rFonts w:ascii="Times New Roman" w:hAnsi="Times New Roman" w:cs="Times New Roman" w:eastAsia="Times New Roman"/>
          <w:sz w:val="24"/>
          <w:szCs w:val="24"/>
        </w:rPr>
        <w:t xml:space="preserve"> Antas maps each flood reading onto the MMDA Flood Gauge System (Section 1.2G) and shows the result: passable to all vehicles, not passable to light vehicles, or not passable to any vehicle. MMDA publishes that classification for a small number of monitored roads; Antas publishes it for any street a resident is standing on, minutes old, in the vocabulary Metro Manila motorists already read in traffic advisories. Where one of the five levels straddles two MMDA categories the worse category is taken, so the system never reports a street as more passable than the reading supports. It offers no verdict for people on foot, because the MMDA standard covers vehicles and moving water is dangerous well below knee height; the interface says so rather than estimating.</w:t>
      </w:r>
    </w:p>
    <w:p>
      <w:pPr>
        <w:spacing w:before="240" w:after="240" w:line="276" w:lineRule="auto"/>
        <w:ind w:left="0" w:right="0" w:firstLine="0"/>
        <w:jc w:val="left"/>
      </w:pPr>
      <w:r>
        <w:rPr>
          <w:rFonts w:ascii="Times New Roman" w:hAnsi="Times New Roman" w:cs="Times New Roman" w:eastAsia="Times New Roman"/>
          <w:sz w:val="24"/>
          <w:szCs w:val="24"/>
        </w:rPr>
        <w:t xml:space="preserve">The seventh and eighth points are the substantive claim of this project. The first six distinguish Antas from informal sources, which is a low bar. Against a purpose-built platform the argument is narrower and should be stated as such. Antas now takes six hazards rather than one, so breadth of coverage is no longer the difference it once was; but coverage is not the same as depth of capability, and LyfSaver retains the scientific hazard layers, the institutional verification, the training programme and the city deployment that this project does not have and is not attempting. What Antas contributes is one measurement those platforms do not take, and one decision they therefore cannot support.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compares Antas with the sources a Metro Manila resident currently relies on during an emergency, and with LyfSaver, the purpose-built platform described in Section 1.2F. LyfSaver is given its own column because it is the only entry that shares this project’s premise, and the rows where it is the stronger system are marked as such.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1120"/>
        <w:gridCol w:w="1120"/>
        <w:gridCol w:w="1120"/>
        <w:gridCol w:w="1120"/>
        <w:gridCol w:w="1320"/>
        <w:gridCol w:w="1120"/>
      </w:tblGrid>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LyfSaver</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incident reports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Graded water depth, not just presence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Road passability in MMDA categories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Withholds a person’s emergency from the public map</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Multi-hazard coverage beyond flood</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One severity rank comparable across hazards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Records which responder was put on an incident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Scientific hazard and risk layers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Verified alerts from an institution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Photographs and video with a report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Responder training programme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Deployed with a city government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 — not applicable.</w:t>
      </w:r>
    </w:p>
    <w:p>
      <w:pPr>
        <w:spacing w:before="240" w:after="240" w:line="276" w:lineRule="auto"/>
        <w:ind w:left="0" w:right="0" w:firstLine="0"/>
        <w:jc w:val="left"/>
      </w:pPr>
      <w:r>
        <w:rPr>
          <w:rFonts w:ascii="Times New Roman" w:hAnsi="Times New Roman" w:cs="Times New Roman" w:eastAsia="Times New Roman"/>
          <w:sz w:val="22"/>
          <w:szCs w:val="22"/>
          <w:i/>
        </w:rPr>
        <w:t xml:space="preserve">The last five rows are the ones LyfSaver wins, and they are included deliberately. A comparison table in which the author’s own system takes every row is an advertisement rather than an assessment. LyfSaver carries UP-NOAH hazard modelling, institutional verification, a training pipeline and a live deployment with the Quezon City government; this project has none of those and is not attempting them. Photographs are marked partial for Antas because a photograph may be attached to a report but video cannot, and because photographs of accident and medical incidents are withheld from the public map by the same rule that withholds their location.</w:t>
      </w:r>
    </w:p>
    <w:p>
      <w:pPr>
        <w:spacing w:before="240" w:after="240" w:line="276" w:lineRule="auto"/>
        <w:ind w:left="0" w:right="0" w:firstLine="0"/>
        <w:jc w:val="left"/>
      </w:pPr>
      <w:r>
        <w:rPr>
          <w:rFonts w:ascii="Times New Roman" w:hAnsi="Times New Roman" w:cs="Times New Roman" w:eastAsia="Times New Roman"/>
          <w:sz w:val="22"/>
          <w:szCs w:val="22"/>
          <w:i/>
        </w:rPr>
        <w:t xml:space="preserve">The two rows added for the multi-hazard work follow the same evidentiary rule as the offline cell. LyfSaver is marked partial on both rather than absent: a platform deployed with a city government and training its responders plainly coordinates them somehow, and may well grade incidents on a scale of its own, but no published statement of either was found, and an unverified absence is not a finding. The Antas ticks are stated rules enforced in the database — a shared one-to-three rank that lets a fire be ordered against a flood, and an assignment row that is the single source of the board’s assigned state. The second earns a caution rather than a boast: recording who was assigned is not dispatching them, and Antas notifies nobody.</w:t>
      </w:r>
    </w:p>
    <w:p>
      <w:pPr>
        <w:spacing w:before="240" w:after="240" w:line="276" w:lineRule="auto"/>
        <w:ind w:left="0" w:right="0" w:firstLine="0"/>
        <w:jc w:val="left"/>
      </w:pPr>
      <w:r>
        <w:rPr>
          <w:rFonts w:ascii="Times New Roman" w:hAnsi="Times New Roman" w:cs="Times New Roman" w:eastAsia="Times New Roman"/>
          <w:sz w:val="22"/>
          <w:szCs w:val="22"/>
          <w:i/>
        </w:rPr>
        <w:t xml:space="preserve">Three cells warrant a note. Public Facebook groups are readable without an account and private ones are not, so the account row of the earlier draft was partial rather than absent for that column. Waze hazard reports are a fixed set of named categories rather than graded readings, which is why its structured-readings cell is partial. LyfSaver’s offline behaviour is marked partial rather than absent because it is available as an installable mobile application, which implies some local caching, but no published statement of its offline guarantees was found; the cell records what could be verified, not what is likely.</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Personas</w:t>
      </w:r>
    </w:p>
    <w:p>
      <w:pPr>
        <w:spacing w:before="240" w:after="240" w:line="276" w:lineRule="auto"/>
        <w:ind w:left="0" w:right="0" w:firstLine="0"/>
        <w:jc w:val="left"/>
      </w:pPr>
      <w:r>
        <w:rPr>
          <w:rFonts w:ascii="Times New Roman" w:hAnsi="Times New Roman" w:cs="Times New Roman" w:eastAsia="Times New Roman"/>
          <w:sz w:val="24"/>
          <w:szCs w:val="24"/>
        </w:rPr>
        <w:t xml:space="preserve">Two personas drive the design, and they use the system for opposite reasons: one is deciding whether to move, the other is deciding whom to help first. A third consideration, the asymmetry between reading and contributing, is set out at the end because it shapes the interface more than either persona alone.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1.5.1 Primary Persona: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location:</w:t>
      </w:r>
      <w:r>
        <w:rPr>
          <w:rFonts w:ascii="Times New Roman" w:hAnsi="Times New Roman" w:cs="Times New Roman" w:eastAsia="Times New Roman"/>
          <w:sz w:val="24"/>
          <w:szCs w:val="24"/>
        </w:rPr>
        <w:t xml:space="preserve"> 34, renting a ground-floor unit in Barangay Malanday,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Administrative assistant in an Ortigas office. Commutes daily by jeepney and MRT, leaving home before seven and returning after six.</w:t>
      </w:r>
    </w:p>
    <w:p>
      <w:pPr>
        <w:spacing w:before="240" w:after="240" w:line="276" w:lineRule="auto"/>
        <w:ind w:left="0" w:right="0" w:firstLine="0"/>
        <w:jc w:val="left"/>
      </w:pPr>
      <w:r>
        <w:rPr>
          <w:rFonts w:ascii="Times New Roman" w:hAnsi="Times New Roman" w:cs="Times New Roman" w:eastAsia="Times New Roman"/>
          <w:sz w:val="24"/>
          <w:szCs w:val="24"/>
          <w:b/>
        </w:rPr>
        <w:t xml:space="preserve">Household:</w:t>
      </w:r>
      <w:r>
        <w:rPr>
          <w:rFonts w:ascii="Times New Roman" w:hAnsi="Times New Roman" w:cs="Times New Roman" w:eastAsia="Times New Roman"/>
          <w:sz w:val="24"/>
          <w:szCs w:val="24"/>
        </w:rPr>
        <w:t xml:space="preserve"> Lives with her mother, who is 61 and has limited mobility, and a nine-year-old son. Her decisions are not only about herself: if the water rises she must decide whether to move her mother upstairs to a neighbour's unit, and whether her son's school route is passable.</w:t>
      </w:r>
    </w:p>
    <w:p>
      <w:pPr>
        <w:spacing w:before="240" w:after="240" w:line="276" w:lineRule="auto"/>
        <w:ind w:left="0" w:right="0" w:firstLine="0"/>
        <w:jc w:val="left"/>
      </w:pPr>
      <w:r>
        <w:rPr>
          <w:rFonts w:ascii="Times New Roman" w:hAnsi="Times New Roman" w:cs="Times New Roman" w:eastAsia="Times New Roman"/>
          <w:sz w:val="24"/>
          <w:szCs w:val="24"/>
          <w:b/>
        </w:rPr>
        <w:t xml:space="preserve">Device and connectivity:</w:t>
      </w:r>
      <w:r>
        <w:rPr>
          <w:rFonts w:ascii="Times New Roman" w:hAnsi="Times New Roman" w:cs="Times New Roman" w:eastAsia="Times New Roman"/>
          <w:sz w:val="24"/>
          <w:szCs w:val="24"/>
        </w:rPr>
        <w:t xml:space="preserve"> A mid-range Android phone, three years old, on prepaid mobile data. Storage is nearly full, so she is reluctant to install new applications. During heavy rain her signal degrades and pages that require a network round trip frequently fail to load. Battery is a live concern during a brownout.</w:t>
      </w:r>
    </w:p>
    <w:p>
      <w:pPr>
        <w:spacing w:before="240" w:after="240" w:line="276" w:lineRule="auto"/>
        <w:ind w:left="0" w:right="0" w:firstLine="0"/>
        <w:jc w:val="left"/>
      </w:pPr>
      <w:r>
        <w:rPr>
          <w:rFonts w:ascii="Times New Roman" w:hAnsi="Times New Roman" w:cs="Times New Roman" w:eastAsia="Times New Roman"/>
          <w:sz w:val="24"/>
          <w:szCs w:val="24"/>
          <w:b/>
        </w:rPr>
        <w:t xml:space="preserve">Digital habits:</w:t>
      </w:r>
      <w:r>
        <w:rPr>
          <w:rFonts w:ascii="Times New Roman" w:hAnsi="Times New Roman" w:cs="Times New Roman" w:eastAsia="Times New Roman"/>
          <w:sz w:val="24"/>
          <w:szCs w:val="24"/>
        </w:rPr>
        <w:t xml:space="preserve"> Facebook and Messenger daily; two barangay community groups and one Marikina weather page. She uses Google Maps for unfamiliar routes but not for her commute, which she knows. She has never created an account for a local government service and is wary of giving a mobile number to an application she does not recognise.</w:t>
      </w:r>
    </w:p>
    <w:p>
      <w:pPr>
        <w:spacing w:before="240" w:after="240" w:line="276" w:lineRule="auto"/>
        <w:ind w:left="0" w:right="0" w:firstLine="0"/>
        <w:jc w:val="left"/>
      </w:pPr>
      <w:r>
        <w:rPr>
          <w:rFonts w:ascii="Times New Roman" w:hAnsi="Times New Roman" w:cs="Times New Roman" w:eastAsia="Times New Roman"/>
          <w:sz w:val="24"/>
          <w:szCs w:val="24"/>
          <w:b/>
        </w:rPr>
        <w:t xml:space="preserve">Goals: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w:t>
      </w:r>
      <w:r>
        <w:rPr>
          <w:rFonts w:ascii="Times New Roman" w:hAnsi="Times New Roman" w:cs="Times New Roman" w:eastAsia="Times New Roman"/>
          <w:sz w:val="24"/>
          <w:szCs w:val="24"/>
        </w:rPr>
        <w:t xml:space="preserve"> Decide, within the next few minutes, whether her street and her commute are passable right 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Know early enough to move her mother and belongings upstairs before the water reaches the doorstep.</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Tertiary:</w:t>
      </w:r>
      <w:r>
        <w:rPr>
          <w:rFonts w:ascii="Times New Roman" w:hAnsi="Times New Roman" w:cs="Times New Roman" w:eastAsia="Times New Roman"/>
          <w:sz w:val="24"/>
          <w:szCs w:val="24"/>
        </w:rPr>
        <w:t xml:space="preserve"> Warn her neighbours, which she already does by posting to the barangay group.</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naming Marikina and still cannot tell whether the corner of her own street is ankle-deep or waist-deep. The warning is true and unusable at her scale.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She cannot tell which were taken this hour, and the comments contradict each other.</w:t>
      </w:r>
    </w:p>
    <w:p>
      <w:pPr>
        <w:spacing w:before="0" w:after="120" w:line="276" w:lineRule="auto"/>
        <w:ind w:left="720" w:hanging="360"/>
        <w:jc w:val="left"/>
      </w:pPr>
      <w:r>
        <w:rPr>
          <w:rFonts w:ascii="Times New Roman" w:hAnsi="Times New Roman" w:cs="Times New Roman" w:eastAsia="Times New Roman"/>
          <w:sz w:val="24"/>
          <w:szCs w:val="24"/>
        </w:rPr>
        <w:t xml:space="preserve">•  She has walked into water deeper than she expected, because the photograph she relied on turned out to be from the previous evening. Six inches of moving water is enough to take an adult off their feet.</w:t>
      </w:r>
    </w:p>
    <w:p>
      <w:pPr>
        <w:spacing w:before="0" w:after="120" w:line="276" w:lineRule="auto"/>
        <w:ind w:left="720" w:hanging="360"/>
        <w:jc w:val="left"/>
      </w:pPr>
      <w:r>
        <w:rPr>
          <w:rFonts w:ascii="Times New Roman" w:hAnsi="Times New Roman" w:cs="Times New Roman" w:eastAsia="Times New Roman"/>
          <w:sz w:val="24"/>
          <w:szCs w:val="24"/>
        </w:rPr>
        <w:t xml:space="preserve">•  When the rain is heaviest her connection is worst, so the moment she most needs information is the moment least likely to load.</w:t>
      </w:r>
    </w:p>
    <w:p>
      <w:pPr>
        <w:spacing w:before="0" w:after="120" w:line="276" w:lineRule="auto"/>
        <w:ind w:left="720" w:hanging="360"/>
        <w:jc w:val="left"/>
      </w:pPr>
      <w:r>
        <w:rPr>
          <w:rFonts w:ascii="Times New Roman" w:hAnsi="Times New Roman" w:cs="Times New Roman" w:eastAsia="Times New Roman"/>
          <w:sz w:val="24"/>
          <w:szCs w:val="24"/>
        </w:rPr>
        <w:t xml:space="preserve">•  She does not know which number to call for her own barangay, and has never found a list she trusted enough to save.</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It is 4:40 in the afternoon and it has been raining for three hours. She has perhaps fifteen minutes to decide whether to leave now, wait for the rain to ease, or stay in the office overnight. Her mother has phoned to say water has reached the gate. Every source available answers a broader question than the one she is asking, and the one channel that is specific enough, the barangay group, gives her photographs she cannot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Why she might not adopt the tool, which the design must answer:</w:t>
      </w:r>
      <w:r>
        <w:rPr>
          <w:rFonts w:ascii="Times New Roman" w:hAnsi="Times New Roman" w:cs="Times New Roman" w:eastAsia="Times New Roman"/>
          <w:sz w:val="24"/>
          <w:szCs w:val="24"/>
        </w:rPr>
        <w:t xml:space="preserve"> she will not create an account to look at a map; she will not install anything large; and she will abandon a page that does not load on a weak connection. Antas therefore requires no account to read or to send an emergency signal, is installable but works as a web page, and caches its shell and guide so that something useful survives a failed connection.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success looks like for her:</w:t>
      </w:r>
      <w:r>
        <w:rPr>
          <w:rFonts w:ascii="Times New Roman" w:hAnsi="Times New Roman" w:cs="Times New Roman" w:eastAsia="Times New Roman"/>
          <w:sz w:val="24"/>
          <w:szCs w:val="24"/>
        </w:rPr>
        <w:t xml:space="preserve"> she opens the map, sees that the reading two streets away is knee-deep and eleven minutes old, and leaves immediately rather than waiting. Or she sees that it is above head height and does not leave at all.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1.5.2 Secondary Persona: Ronnel Diaz, Barangay Disaster Desk Officer</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role:</w:t>
      </w:r>
      <w:r>
        <w:rPr>
          <w:rFonts w:ascii="Times New Roman" w:hAnsi="Times New Roman" w:cs="Times New Roman" w:eastAsia="Times New Roman"/>
          <w:sz w:val="24"/>
          <w:szCs w:val="24"/>
        </w:rPr>
        <w:t xml:space="preserve"> 45, a barangay disaster risk reduction officer in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w:t>
      </w:r>
      <w:r>
        <w:rPr>
          <w:rFonts w:ascii="Times New Roman" w:hAnsi="Times New Roman" w:cs="Times New Roman" w:eastAsia="Times New Roman"/>
          <w:sz w:val="24"/>
          <w:szCs w:val="24"/>
        </w:rPr>
        <w:t xml:space="preserve"> During an emergency — most often a flood, but equally a fire or an accident on his barangay's roads — he is at a desk with a laptop and a phone, fielding calls and messages from residents while coordinating a small number of volunteers with one truck. He is not a dispatcher for the city; he escalates, and he decides who among his neighbours gets attention first.</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Comfortable with a browser and a spreadsheet. No training in any specialist system, and no time to learn one during an event.</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Reports arrive by text message, phone call and Facebook comment, in no order, with no way to tell which describe the same incident.</w:t>
      </w:r>
    </w:p>
    <w:p>
      <w:pPr>
        <w:spacing w:before="0" w:after="120" w:line="276" w:lineRule="auto"/>
        <w:ind w:left="720" w:hanging="360"/>
        <w:jc w:val="left"/>
      </w:pPr>
      <w:r>
        <w:rPr>
          <w:rFonts w:ascii="Times New Roman" w:hAnsi="Times New Roman" w:cs="Times New Roman" w:eastAsia="Times New Roman"/>
          <w:sz w:val="24"/>
          <w:szCs w:val="24"/>
        </w:rPr>
        <w:t xml:space="preserve">•  He has no basis for judging whether a report is credible. A message claiming chest-deep water may be accurate, exaggerated, or from someone who is not there at all.</w:t>
      </w:r>
    </w:p>
    <w:p>
      <w:pPr>
        <w:spacing w:before="0" w:after="120" w:line="276" w:lineRule="auto"/>
        <w:ind w:left="720" w:hanging="360"/>
        <w:jc w:val="left"/>
      </w:pPr>
      <w:r>
        <w:rPr>
          <w:rFonts w:ascii="Times New Roman" w:hAnsi="Times New Roman" w:cs="Times New Roman" w:eastAsia="Times New Roman"/>
          <w:sz w:val="24"/>
          <w:szCs w:val="24"/>
        </w:rPr>
        <w:t xml:space="preserve">•  He cannot easily reach a person back once their message arrives, because a Facebook comment carries no phone number.</w:t>
      </w:r>
    </w:p>
    <w:p>
      <w:pPr>
        <w:spacing w:before="0" w:after="120" w:line="276" w:lineRule="auto"/>
        <w:ind w:left="720" w:hanging="360"/>
        <w:jc w:val="left"/>
      </w:pPr>
      <w:r>
        <w:rPr>
          <w:rFonts w:ascii="Times New Roman" w:hAnsi="Times New Roman" w:cs="Times New Roman" w:eastAsia="Times New Roman"/>
          <w:sz w:val="24"/>
          <w:szCs w:val="24"/>
        </w:rPr>
        <w:t xml:space="preserve">•  He is accountable for his decisions afterwards and has no record of what he saw or when he saw it.</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Eleven messages arrive within four minutes. Three may describe the same street. He must choose which to act on with no information beyond the words themselves, knowing that being wrong means somebody waits longer than they should have.</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the system gives him:</w:t>
      </w:r>
      <w:r>
        <w:rPr>
          <w:rFonts w:ascii="Times New Roman" w:hAnsi="Times New Roman" w:cs="Times New Roman" w:eastAsia="Times New Roman"/>
          <w:sz w:val="24"/>
          <w:szCs w:val="24"/>
        </w:rPr>
        <w:t xml:space="preserve"> a queue scoped to his own barangay, each signal carrying a trust score with its supporting evidence stated in plain language, a call button where the sender left a number, directions to the exact coordinate, and an audit record of every signal he opened. What it deliberately does not give him is an instruction; the decision remains his.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1.5.3 The Contribution Asymmetry</w:t>
      </w:r>
    </w:p>
    <w:p>
      <w:pPr>
        <w:spacing w:before="240" w:after="240" w:line="276" w:lineRule="auto"/>
        <w:ind w:left="0" w:right="0" w:firstLine="0"/>
        <w:jc w:val="left"/>
      </w:pPr>
      <w:r>
        <w:rPr>
          <w:rFonts w:ascii="Times New Roman" w:hAnsi="Times New Roman" w:cs="Times New Roman" w:eastAsia="Times New Roman"/>
          <w:sz w:val="24"/>
          <w:szCs w:val="24"/>
        </w:rPr>
        <w:t xml:space="preserve">A crowdsourced system has a structural problem that neither persona expresses on their own: almost everybody reads and almost nobody contributes. Maricel will open the map far more often than she will file a report, and the map is worthless to her unless somebody else has filed one recently.</w:t>
      </w:r>
    </w:p>
    <w:p>
      <w:pPr>
        <w:spacing w:before="240" w:after="240" w:line="276" w:lineRule="auto"/>
        <w:ind w:left="0" w:right="0" w:firstLine="0"/>
        <w:jc w:val="left"/>
      </w:pPr>
      <w:r>
        <w:rPr>
          <w:rFonts w:ascii="Times New Roman" w:hAnsi="Times New Roman" w:cs="Times New Roman" w:eastAsia="Times New Roman"/>
          <w:sz w:val="24"/>
          <w:szCs w:val="24"/>
        </w:rPr>
        <w:t xml:space="preserve">Three decisions follow from this, and they are why the interface looks as it does. Reporting is the raised centre action in the tab bar rather than a peer item, because it is the one contribution the system asks for and it must not be buried. The report itself is a single tap on a five-level scale, with the photograph optional, because every additional field costs contributions at exactly the moment people are least willing to give them. And the freshness control on an existing report exists because confirming somebody else's reading is a far smaller ask than filing a new one, yet it produces most of the value: it tells the next reader whether a pin is still true.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street-level hazard severity, and for flood depth in particular. Its primary objective is to turn what residents already report informally into structured, located, time-stamped readings that another resident can act on, and to be explicit about the limits of what those readings support. Flood is the hazard it measures most precisely and the one it was built for; fire, earthquake, accident, medical and other are carried on the same rails at a coarser grade, because a system that can only describe one kind of emergency is silent during the rest of them.</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ten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Hazard Map.</w:t>
      </w:r>
      <w:r>
        <w:rPr>
          <w:rFonts w:ascii="Times New Roman" w:hAnsi="Times New Roman" w:cs="Times New Roman" w:eastAsia="Times New Roman"/>
          <w:sz w:val="24"/>
          <w:szCs w:val="24"/>
        </w:rPr>
        <w:t xml:space="preserve"> The default screen. Reports are drawn as pins coloured by severity, clustered when they overlap. A cluster takes its worst member rather than an average, so eleven ankle-deep reports cannot hide one above-head report behind a reassuring colour, and where two members tie at the worst severity the deeper flood wins the tie. Flood, fire and earthquake are drawn; accident and medical are not, because those describe a person rather than a place, and the rule is enforced as a database predicate rather than in the client.</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hazard is chosen first. Flood opens a five-level gauge labelled by body part; every other hazard opens three severity words, because water can be measured against a body and a structural collapse cannot. A photograph is optional and a GPS accuracy check is automatic: where the fix is imprecise the user is warned and asked to confirm, because a report placed on the wrong street is worse than no report. The photograph is taken through an in-page viewfinder rather than chosen from the device’s files: a picker offers the gallery beside the camera, which places an image downloaded from anywhere one tap away from a report about a specific street.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 Six optional hazard chips sit above the hold. Choosing none is a real answer rather than a missing one, and is recorded as such: a signal with no chip is corroborated by any active report nearby rather than by floods only, because the sender has not claimed it is a flood.</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Two triage queues on one screen, both scoped to a barangay. The emergency queue shows each signal’s trust score, its supporting evidence, a call button, and directions. The report queue, described in 2.6, carries the readings themselves. Each tab shows its own count, so a backlog building behind the queue in view is visible without going to look for it, and every opening of either kind of row is recorded. The tabs shown depend on who is asking: a moderator sees the queues, a responder sees only what has been assigned to them.</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Report Dashboard.</w:t>
      </w:r>
      <w:r>
        <w:rPr>
          <w:rFonts w:ascii="Times New Roman" w:hAnsi="Times New Roman" w:cs="Times New Roman" w:eastAsia="Times New Roman"/>
          <w:sz w:val="24"/>
          <w:szCs w:val="24"/>
        </w:rPr>
        <w:t xml:space="preserve"> The second queue in the console, listing submitted readings in priority order with the reporter’s contact number available on the report a moderator opens. Added in response to the review described in 2.6.</w:t>
      </w:r>
    </w:p>
    <w:p>
      <w:pPr>
        <w:spacing w:before="0" w:after="120" w:line="276" w:lineRule="auto"/>
        <w:ind w:left="720" w:hanging="360"/>
        <w:jc w:val="left"/>
      </w:pP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b/>
        </w:rPr>
        <w:t xml:space="preserve">Triage Board.</w:t>
      </w:r>
      <w:r>
        <w:rPr>
          <w:rFonts w:ascii="Times New Roman" w:hAnsi="Times New Roman" w:cs="Times New Roman" w:eastAsia="Times New Roman"/>
          <w:sz w:val="24"/>
          <w:szCs w:val="24"/>
        </w:rPr>
        <w:t xml:space="preserve"> A master admin’s view of reports and emergency signals together in four columns — needs checking, not true, needs attention, assigned — moved by button or by drag, with incidents per hour over the last forty-eight hours and a barangay ranking above them. It is desktop-only and says so on a phone, because a four-column board on a 360-pixel screen is a worse tool than the queue it would replace. The assigned column is derived from an open assignment rather than stored, and the board caps at two hundred rows per column: a stated limit, in preference to the silent truncation a thousand-row API ceiling would produce.</w:t>
      </w:r>
    </w:p>
    <w:p>
      <w:pPr>
        <w:spacing w:before="0" w:after="120" w:line="276" w:lineRule="auto"/>
        <w:ind w:left="720" w:hanging="360"/>
        <w:jc w:val="left"/>
      </w:pP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b/>
        </w:rPr>
        <w:t xml:space="preserve">Responder Register.</w:t>
      </w:r>
      <w:r>
        <w:rPr>
          <w:rFonts w:ascii="Times New Roman" w:hAnsi="Times New Roman" w:cs="Times New Roman" w:eastAsia="Times New Roman"/>
          <w:sz w:val="24"/>
          <w:szCs w:val="24"/>
        </w:rPr>
        <w:t xml:space="preserve"> A signed-in person declares themselves a responder and a unit — fire service, barangay rescue, medical, police, or other — from the Ako screen, which makes them assignable on the board and gives them a console tab showing only their own assignments. It records who was put on an incident. It does not notify them, and it does not dispatch.</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jc w:val="center"/>
      </w:pPr>
      <w:r>
        <w:drawing>
          <wp:inline xmlns:wp="http://schemas.openxmlformats.org/drawingml/2006/wordprocessingDrawing" distT="0" distB="0" distL="0" distR="0">
            <wp:extent cx="5943600" cy="2714042"/>
            <wp:docPr id="1" name="Figure 1"/>
            <a:graphic xmlns:a="http://schemas.openxmlformats.org/drawingml/2006/main">
              <a:graphicData uri="http://schemas.openxmlformats.org/drawingml/2006/picture">
                <pic:pic xmlns:pic="http://schemas.openxmlformats.org/drawingml/2006/picture">
                  <pic:nvPicPr>
                    <pic:cNvPr id="1" name="fig1.png"/>
                    <pic:cNvPicPr/>
                  </pic:nvPicPr>
                  <pic:blipFill>
                    <a:blip xmlns:r="http://schemas.openxmlformats.org/officeDocument/2006/relationships" r:embed="rId101"/>
                    <a:stretch>
                      <a:fillRect/>
                    </a:stretch>
                  </pic:blipFill>
                  <pic:spPr>
                    <a:xfrm>
                      <a:off x="0" y="0"/>
                      <a:ext cx="5943600" cy="2714042"/>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eleven tables across thirty-four migrations, and thirty-four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jc w:val="center"/>
      </w:pPr>
      <w:r>
        <w:drawing>
          <wp:inline xmlns:wp="http://schemas.openxmlformats.org/drawingml/2006/wordprocessingDrawing" distT="0" distB="0" distL="0" distR="0">
            <wp:extent cx="5943600" cy="3290207"/>
            <wp:docPr id="2" name="Figure 2"/>
            <a:graphic xmlns:a="http://schemas.openxmlformats.org/drawingml/2006/main">
              <a:graphicData uri="http://schemas.openxmlformats.org/drawingml/2006/picture">
                <pic:pic xmlns:pic="http://schemas.openxmlformats.org/drawingml/2006/picture">
                  <pic:nvPicPr>
                    <pic:cNvPr id="2" name="fig2.png"/>
                    <pic:cNvPicPr/>
                  </pic:nvPicPr>
                  <pic:blipFill>
                    <a:blip xmlns:r="http://schemas.openxmlformats.org/officeDocument/2006/relationships" r:embed="rId102"/>
                    <a:stretch>
                      <a:fillRect/>
                    </a:stretch>
                  </pic:blipFill>
                  <pic:spPr>
                    <a:xfrm>
                      <a:off x="0" y="0"/>
                      <a:ext cx="5943600" cy="3290207"/>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jc w:val="center"/>
      </w:pPr>
      <w:r>
        <w:drawing>
          <wp:inline xmlns:wp="http://schemas.openxmlformats.org/drawingml/2006/wordprocessingDrawing" distT="0" distB="0" distL="0" distR="0">
            <wp:extent cx="5943600" cy="1470738"/>
            <wp:docPr id="3" name="Figure 3"/>
            <a:graphic xmlns:a="http://schemas.openxmlformats.org/drawingml/2006/main">
              <a:graphicData uri="http://schemas.openxmlformats.org/drawingml/2006/picture">
                <pic:pic xmlns:pic="http://schemas.openxmlformats.org/drawingml/2006/picture">
                  <pic:nvPicPr>
                    <pic:cNvPr id="3" name="fig3.png"/>
                    <pic:cNvPicPr/>
                  </pic:nvPicPr>
                  <pic:blipFill>
                    <a:blip xmlns:r="http://schemas.openxmlformats.org/officeDocument/2006/relationships" r:embed="rId103"/>
                    <a:stretch>
                      <a:fillRect/>
                    </a:stretch>
                  </pic:blipFill>
                  <pic:spPr>
                    <a:xfrm>
                      <a:off x="0" y="0"/>
                      <a:ext cx="5943600" cy="1470738"/>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jc w:val="center"/>
      </w:pPr>
      <w:r>
        <w:drawing>
          <wp:inline xmlns:wp="http://schemas.openxmlformats.org/drawingml/2006/wordprocessingDrawing" distT="0" distB="0" distL="0" distR="0">
            <wp:extent cx="5943600" cy="2827759"/>
            <wp:docPr id="4" name="Figure 4"/>
            <a:graphic xmlns:a="http://schemas.openxmlformats.org/drawingml/2006/main">
              <a:graphicData uri="http://schemas.openxmlformats.org/drawingml/2006/picture">
                <pic:pic xmlns:pic="http://schemas.openxmlformats.org/drawingml/2006/picture">
                  <pic:nvPicPr>
                    <pic:cNvPr id="4" name="fig4.png"/>
                    <pic:cNvPicPr/>
                  </pic:nvPicPr>
                  <pic:blipFill>
                    <a:blip xmlns:r="http://schemas.openxmlformats.org/officeDocument/2006/relationships" r:embed="rId104"/>
                    <a:stretch>
                      <a:fillRect/>
                    </a:stretch>
                  </pic:blipFill>
                  <pic:spPr>
                    <a:xfrm>
                      <a:off x="0" y="0"/>
                      <a:ext cx="5943600" cy="2827759"/>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2.6 Response to Review Recommendations</w:t>
      </w:r>
    </w:p>
    <w:p>
      <w:pPr>
        <w:spacing w:before="240" w:after="240" w:line="276" w:lineRule="auto"/>
        <w:ind w:left="0" w:right="0" w:firstLine="0"/>
        <w:jc w:val="left"/>
      </w:pPr>
      <w:r>
        <w:rPr>
          <w:rFonts w:ascii="Times New Roman" w:hAnsi="Times New Roman" w:cs="Times New Roman" w:eastAsia="Times New Roman"/>
          <w:sz w:val="24"/>
          <w:szCs w:val="24"/>
        </w:rPr>
        <w:t xml:space="preserve">The working system was reviewed by Mr. Peralta, who returned five recommendations. All five are implemented and described in this report as built behaviour. The fifth — expanding beyond flood — was recorded in an earlier draft of this section as adopted scope that was deliberately not claimed as working software; it was built afterwards, and the argument that held it back is kept below rather than quietly deleted, because it is the argument that determined the shape of what was eventually built.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00"/>
        <w:gridCol w:w="1500"/>
        <w:gridCol w:w="4460"/>
      </w:tblGrid>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Recommendation</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How it was addressed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Expand the scope beyond flood to emergency, fire, earthquake and accidents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Six hazards are accepted on reports and on emergency signals. Flood keeps its five body levels; the others carry a three-step severity, and a shared 1-3 rank orders them against each other. Described below.</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Create a dashboard for the admin to monitor the submitted reports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 second queue in the moderator console, scoped to a barangay by the same database predicate as the emergency queue.</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Organise the reports and categorise them to identify priorities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Three priority bands computed in the database from severity and age, with contested reports ordered above all of them.</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Use the built-in camera to capture instead of uploading pictures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report screen now uses the same in-page viewfinder the emergency screen has always used.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Collect additional data such as a contact number, to contact the reporter</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column and the field already existed for emergencies; the number is now reachable from a depth report as well.</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Priority is a stated rule, not a score.</w:t>
      </w:r>
      <w:r>
        <w:rPr>
          <w:rFonts w:ascii="Times New Roman" w:hAnsi="Times New Roman" w:cs="Times New Roman" w:eastAsia="Times New Roman"/>
          <w:sz w:val="24"/>
          <w:szCs w:val="24"/>
        </w:rPr>
        <w:t xml:space="preserve"> A report is urgent at severity 3 and less than six hours old, watch at severity 2 and fresh or severity 3 and older, and routine otherwise. The rule is written on the shared one-to-three rank rather than on depth, which is what lets a spreading fire and a chest-deep flood queue against each other at all; for a flood, severity 3 is chest-deep or above-head, so the behaviour the earlier draft described in depth terms is unchanged for the hazard it described. Six hours is not a new threshold: it is the same age at which the map already refuses to draw a cached reading, on the argument that floodwater moves in far less time than that. Contested readings sort above every band regardless of severity, because a contested report is waiting on a person rather than on the hazard.</w:t>
      </w:r>
    </w:p>
    <w:p>
      <w:pPr>
        <w:spacing w:before="240" w:after="240" w:line="276" w:lineRule="auto"/>
        <w:ind w:left="0" w:right="0" w:firstLine="0"/>
        <w:jc w:val="left"/>
      </w:pPr>
      <w:r>
        <w:rPr>
          <w:rFonts w:ascii="Times New Roman" w:hAnsi="Times New Roman" w:cs="Times New Roman" w:eastAsia="Times New Roman"/>
          <w:sz w:val="24"/>
          <w:szCs w:val="24"/>
        </w:rPr>
        <w:t xml:space="preserve">The deliberate omission is a trust score. Emergency signals carry one because they are weighed against rainfall, elevation and reporter history before a human sees them; an ordinary report has no comparable evidence behind it, and a number computed from severity and age alone would present an ordering rule as an assessment. The bands are shown as words for the same reason the console never shows a bare score: a moderator can argue with a sentence.</w:t>
      </w:r>
    </w:p>
    <w:p>
      <w:pPr>
        <w:spacing w:before="240" w:after="240" w:line="276" w:lineRule="auto"/>
        <w:ind w:left="0" w:right="0" w:firstLine="0"/>
        <w:jc w:val="left"/>
      </w:pPr>
      <w:r>
        <w:rPr>
          <w:rFonts w:ascii="Times New Roman" w:hAnsi="Times New Roman" w:cs="Times New Roman" w:eastAsia="Times New Roman"/>
          <w:sz w:val="24"/>
          <w:szCs w:val="24"/>
          <w:b/>
        </w:rPr>
        <w:t xml:space="preserve">The contact number was already collected, and the recommendation identified where it was missing.</w:t>
      </w:r>
      <w:r>
        <w:rPr>
          <w:rFonts w:ascii="Times New Roman" w:hAnsi="Times New Roman" w:cs="Times New Roman" w:eastAsia="Times New Roman"/>
          <w:sz w:val="24"/>
          <w:szCs w:val="24"/>
        </w:rPr>
        <w:t xml:space="preserve"> A reporter’s number has been stored since the emergency work, constrained to a single dialable form, and exposed only through the function that serves a moderator who may act on that signal. What did not exist was any path from a depth report to the person who filed it. That path now exists on the same terms: the number is absent from the queue listing and present on the report a moderator opens, and every opening is recorded, because the record of who saw a number is also the record of who could have called it.</w:t>
      </w:r>
    </w:p>
    <w:p>
      <w:pPr>
        <w:spacing w:before="240" w:after="240" w:line="276" w:lineRule="auto"/>
        <w:ind w:left="0" w:right="0" w:firstLine="0"/>
        <w:jc w:val="left"/>
      </w:pPr>
      <w:r>
        <w:rPr>
          <w:rFonts w:ascii="Times New Roman" w:hAnsi="Times New Roman" w:cs="Times New Roman" w:eastAsia="Times New Roman"/>
          <w:sz w:val="24"/>
          <w:szCs w:val="24"/>
        </w:rPr>
        <w:t xml:space="preserve">One limitation is restated rather than resolved: these numbers are unverified. Verification means sending a code by SMS, which requires a paid provider this project does not have, so the console labels the number as what the reporter typed rather than as a checked fact.</w:t>
      </w:r>
    </w:p>
    <w:p>
      <w:pPr>
        <w:spacing w:before="240" w:after="240" w:line="276" w:lineRule="auto"/>
        <w:ind w:left="0" w:right="0" w:firstLine="0"/>
        <w:jc w:val="left"/>
      </w:pPr>
      <w:r>
        <w:rPr>
          <w:rFonts w:ascii="Times New Roman" w:hAnsi="Times New Roman" w:cs="Times New Roman" w:eastAsia="Times New Roman"/>
          <w:sz w:val="24"/>
          <w:szCs w:val="24"/>
          <w:b/>
        </w:rPr>
        <w:t xml:space="preserve">On expanding beyond flood.</w:t>
      </w:r>
      <w:r>
        <w:rPr>
          <w:rFonts w:ascii="Times New Roman" w:hAnsi="Times New Roman" w:cs="Times New Roman" w:eastAsia="Times New Roman"/>
          <w:sz w:val="24"/>
          <w:szCs w:val="24"/>
        </w:rPr>
        <w:t xml:space="preserve"> This response previously recorded the recommendation as accepted but unbuilt, and set out what building it would cost. It has since been built, and the earlier objection is worth restating because it shaped the design rather than being dismissed by it. The system’s data model was not merely flood-themed; it was flood-shaped. Severity was a five-step scale named for where water reaches on a body, the map coloured and clustered pins along that scale and took a cluster’s deepest member so that shallow readings could not average away a deep one, and the trust score weighed rainfall and elevation. None of that survives contact with a fire. A body-part gauge cannot describe a structural collapse, and rainfall is not evidence about an earthquake.</w:t>
      </w:r>
    </w:p>
    <w:p>
      <w:pPr>
        <w:spacing w:before="240" w:after="240" w:line="276" w:lineRule="auto"/>
        <w:ind w:left="0" w:right="0" w:firstLine="0"/>
        <w:jc w:val="left"/>
      </w:pPr>
      <w:r>
        <w:rPr>
          <w:rFonts w:ascii="Times New Roman" w:hAnsi="Times New Roman" w:cs="Times New Roman" w:eastAsia="Times New Roman"/>
          <w:sz w:val="24"/>
          <w:szCs w:val="24"/>
        </w:rPr>
        <w:t xml:space="preserve">That list of costs became the specification. A hazard type is now carried on every report and on every emergency signal; the severity vocabulary is separate per hazard, with flood keeping its five body levels because water can be measured against a body and nothing else can, and fire, earthquake, accident, medical and other carrying three severity words instead of five, because inventing finer gradations for a fire would be a false claim about how well it is known. A shared one-to-three rank lets a fire be ordered against a flood without pretending the two were measured the same way. The map draws flood, fire and earthquake and withholds accident and medical, on the rule that the first three describe a place and the last two describe a person; that rule is enforced by a database predicate rather than by the client. Clustering was revised to take a cluster’s worst severity across hazards, breaking a tie between two floods by the deeper reading, so the original guarantee — that shallow readings cannot average away a deep one — survives the generalisation. The trust score weighs rainfall and elevation only where they are evidence, and withdraws rather than guessing where they are not. Every new string was written in both Filipino and English, because the product fails its build rather than falling back when a translation is missing.</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also a naming consequence, and it resolved in the product’s favour rather than against it. The earlier draft of this section held that </w:t>
      </w:r>
      <w:r>
        <w:rPr>
          <w:rFonts w:ascii="Times New Roman" w:hAnsi="Times New Roman" w:cs="Times New Roman" w:eastAsia="Times New Roman"/>
          <w:sz w:val="24"/>
          <w:szCs w:val="24"/>
          <w:b/>
        </w:rPr>
        <w:t xml:space="preserve">antas</w:t>
      </w:r>
      <w:r>
        <w:rPr>
          <w:rFonts w:ascii="Times New Roman" w:hAnsi="Times New Roman" w:cs="Times New Roman" w:eastAsia="Times New Roman"/>
          <w:sz w:val="24"/>
          <w:szCs w:val="24"/>
        </w:rPr>
        <w:t xml:space="preserve"> means level, that the product was named for the measurement it takes, and that a multi-hazard system would therefore need a different organising noun. The implemented design shows the objection was too narrow: every hazard now reports a level of severity, and the shared one-to-three rank is exactly the </w:t>
      </w:r>
      <w:r>
        <w:rPr>
          <w:rFonts w:ascii="Times New Roman" w:hAnsi="Times New Roman" w:cs="Times New Roman" w:eastAsia="Times New Roman"/>
          <w:sz w:val="24"/>
          <w:szCs w:val="24"/>
          <w:i/>
        </w:rPr>
        <w:t xml:space="preserve">antas</w:t>
      </w:r>
      <w:r>
        <w:rPr>
          <w:rFonts w:ascii="Times New Roman" w:hAnsi="Times New Roman" w:cs="Times New Roman" w:eastAsia="Times New Roman"/>
          <w:sz w:val="24"/>
          <w:szCs w:val="24"/>
        </w:rPr>
        <w:t xml:space="preserve"> the name refers to. What changed is that the level is no longer always measured in water. The name is kept, and it is kept on an argument rather than on inertia.</w:t>
      </w:r>
    </w:p>
    <w:p>
      <w:pPr>
        <w:spacing w:before="240" w:after="240" w:line="276" w:lineRule="auto"/>
        <w:ind w:left="0" w:right="0" w:firstLine="0"/>
        <w:jc w:val="left"/>
      </w:pPr>
      <w:r>
        <w:rPr>
          <w:rFonts w:ascii="Times New Roman" w:hAnsi="Times New Roman" w:cs="Times New Roman" w:eastAsia="Times New Roman"/>
          <w:sz w:val="24"/>
          <w:szCs w:val="24"/>
          <w:b/>
        </w:rPr>
        <w:t xml:space="preserve">A fourth queue arrangement came out of the same discussion, and it is a demonstration rather than an operational claim.</w:t>
      </w:r>
      <w:r>
        <w:rPr>
          <w:rFonts w:ascii="Times New Roman" w:hAnsi="Times New Roman" w:cs="Times New Roman" w:eastAsia="Times New Roman"/>
          <w:sz w:val="24"/>
          <w:szCs w:val="24"/>
        </w:rPr>
        <w:t xml:space="preserve"> Alongside the moderator console there is now a master-admin role, a board that puts reports and emergency signals into four columns — needs checking, not true, needs attention, assigned — and a register through which a signed-in person declares themselves a responder with a unit: fire service, barangay rescue, medical, police, or other. Assigning a record to a responder writes an assignment row and moves the record out of “needs checking”, which the console then marks as confirmed — sending somebody to an incident nobody has accepted as real would be a contradiction. The board’s assigned column is not stored at all: it is derived from an open assignment, so the column can never disagree with the assignment that produces it. Above the board, incidents per hour over the preceding forty-eight hours and a ranking of barangays by volume. What this is not is dispatch. Nobody is sent anywhere, no responder is notified by the system, and the emergency screen’s statement that Antas summons no rescue is unchanged and remains true. The feature demonstrates what a barangay desk’s coordination record would look like if the platform kept one; it does not claim to be that record in service.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This section is a record, and is reproduced as it was written.</w:t>
      </w:r>
      <w:r>
        <w:rPr>
          <w:rFonts w:ascii="Times New Roman" w:hAnsi="Times New Roman" w:cs="Times New Roman" w:eastAsia="Times New Roman"/>
          <w:sz w:val="24"/>
          <w:szCs w:val="24"/>
        </w:rPr>
        <w:t xml:space="preserve"> The brief and the prompts below were submitted to the generator while Antas was a flood-depth system and nothing else; the expansion to six hazards came later, out of the review described in Section 2.6. They are not updated here to match the product, because a design prompt rewritten after the fact is no longer evidence of anything — the point of quoting them is to show what was asked for and what came back. Read "flood" in this section as the scope of the brief at the time. Section II describes what the application accepts now.</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 (as submitted):</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to declare. Six inches of moving water is enough to knock an adult off their feet, and floodwater can be electrically charged by downed or underground power lines (National Weather Service, n.d.).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The personas were derived from design constraints and local knowledge rather than validated through formal user interviews. And the map's nearby-reports query and the two console queues carry no explicit row limit, so past the data layer's own thousand-row ceiling they would truncate silently rather than saying so — a condition a real flood produces and a demonstration does not. The triage board is the one place where the limit is stated instead: two hundred rows per column, refused visibly. The older three should be brought to the same standard.</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street-level hazard reporting system, built first for flood depth, that helps Metro Manila residents decide whether a street is passable. The user opens the map, which loads without an account and shows nearby reports as pins coloured by severity. The user may search for a place or locate themselves, then tap a pin to see the reading, the photograph if one exists, and how long ago it was recorded. If the reading is out of date, the user answers whether the water is gone, the same, or higher. To contribute, the user taps I-report and chooses a hazard: a flood is graded on the five-level body-scale gauge, and fire, earthquake, accident, medical or other on three severity words. A photograph is optional; on submitting, the system records the location and the time and publishes the pin, unless the hazard describes a person rather than a place, in which case it reaches the barangay desk without reaching the public map. In an emergency, the user taps Tulong, takes a live photograph, optionally taps a hazard chip,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A master admin may additionally work reports and signals together on a four-column board and record which responder was put on one. Every opening of a signal is recorded. Throughout, the system states that it does not dispatch rescue, and assigning a responder does not change that: nobody is summoned by the software.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https://stitch.withgoogle.com/projects/7108188453245133559</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Journal articles and conference papers</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i/>
        </w:rPr>
        <w:t xml:space="preserve">PLOS Digital Health, 5</w:t>
      </w:r>
      <w:r>
        <w:rPr>
          <w:rFonts w:ascii="Times New Roman" w:hAnsi="Times New Roman" w:cs="Times New Roman" w:eastAsia="Times New Roman"/>
          <w:sz w:val="24"/>
          <w:szCs w:val="24"/>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i/>
        </w:rPr>
        <w:t xml:space="preserve">Hydrology, 10</w:t>
      </w:r>
      <w:r>
        <w:rPr>
          <w:rFonts w:ascii="Times New Roman" w:hAnsi="Times New Roman" w:cs="Times New Roman" w:eastAsia="Times New Roman"/>
          <w:sz w:val="24"/>
          <w:szCs w:val="24"/>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i/>
        </w:rPr>
        <w:t xml:space="preserve">Sensors, 23</w:t>
      </w:r>
      <w:r>
        <w:rPr>
          <w:rFonts w:ascii="Times New Roman" w:hAnsi="Times New Roman" w:cs="Times New Roman" w:eastAsia="Times New Roman"/>
          <w:sz w:val="24"/>
          <w:szCs w:val="24"/>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i/>
        </w:rPr>
        <w:t xml:space="preserve">Urban Informatics, 3</w:t>
      </w:r>
      <w:r>
        <w:rPr>
          <w:rFonts w:ascii="Times New Roman" w:hAnsi="Times New Roman" w:cs="Times New Roman" w:eastAsia="Times New Roman"/>
          <w:sz w:val="24"/>
          <w:szCs w:val="24"/>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i/>
        </w:rPr>
        <w:t xml:space="preserve">ISPRS Journal of Photogrammetry and Remote Sensing, 169</w:t>
      </w:r>
      <w:r>
        <w:rPr>
          <w:rFonts w:ascii="Times New Roman" w:hAnsi="Times New Roman" w:cs="Times New Roman" w:eastAsia="Times New Roman"/>
          <w:sz w:val="24"/>
          <w:szCs w:val="24"/>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Gheyas, I., Asghar, M. R., Schneider, S., &amp; Woodward, A. (2025). </w:t>
      </w:r>
      <w:r>
        <w:rPr>
          <w:rFonts w:ascii="Times New Roman" w:hAnsi="Times New Roman" w:cs="Times New Roman" w:eastAsia="Times New Roman"/>
          <w:sz w:val="24"/>
          <w:szCs w:val="24"/>
          <w:i/>
        </w:rPr>
        <w:t xml:space="preserve">Establishing trust in crowdsourced data</w:t>
      </w:r>
      <w:r>
        <w:rPr>
          <w:rFonts w:ascii="Times New Roman" w:hAnsi="Times New Roman" w:cs="Times New Roman" w:eastAsia="Times New Roman"/>
          <w:sz w:val="24"/>
          <w:szCs w:val="24"/>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i/>
        </w:rPr>
        <w:t xml:space="preserve">JMIR Infodemiology, 5</w:t>
      </w:r>
      <w:r>
        <w:rPr>
          <w:rFonts w:ascii="Times New Roman" w:hAnsi="Times New Roman" w:cs="Times New Roman" w:eastAsia="Times New Roman"/>
          <w:sz w:val="24"/>
          <w:szCs w:val="24"/>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Kemp, S. (2025). </w:t>
      </w:r>
      <w:r>
        <w:rPr>
          <w:rFonts w:ascii="Times New Roman" w:hAnsi="Times New Roman" w:cs="Times New Roman" w:eastAsia="Times New Roman"/>
          <w:sz w:val="24"/>
          <w:szCs w:val="24"/>
          <w:i/>
        </w:rPr>
        <w:t xml:space="preserve">Digital 2026: The Philippines</w:t>
      </w:r>
      <w:r>
        <w:rPr>
          <w:rFonts w:ascii="Times New Roman" w:hAnsi="Times New Roman" w:cs="Times New Roman" w:eastAsia="Times New Roman"/>
          <w:sz w:val="24"/>
          <w:szCs w:val="24"/>
        </w:rPr>
        <w:t xml:space="preserve">. DataReportal. Retrieved August 15, 2026, from https://datareportal.com/reports/digital-2026-philippines</w:t>
      </w:r>
    </w:p>
    <w:p>
      <w:pPr>
        <w:spacing w:before="240" w:after="240" w:line="276" w:lineRule="auto"/>
        <w:ind w:left="0" w:right="0" w:firstLine="0"/>
        <w:jc w:val="left"/>
      </w:pPr>
      <w:r>
        <w:rPr>
          <w:rFonts w:ascii="Times New Roman" w:hAnsi="Times New Roman" w:cs="Times New Roman" w:eastAsia="Times New Roman"/>
          <w:sz w:val="24"/>
          <w:szCs w:val="24"/>
        </w:rPr>
        <w:t xml:space="preserve">Knysh, A., &amp; Pohrebniak, T. (2026). Mental health app crisis support assessment framework: Development and pilot testing. </w:t>
      </w:r>
      <w:r>
        <w:rPr>
          <w:rFonts w:ascii="Times New Roman" w:hAnsi="Times New Roman" w:cs="Times New Roman" w:eastAsia="Times New Roman"/>
          <w:sz w:val="24"/>
          <w:szCs w:val="24"/>
          <w:i/>
        </w:rPr>
        <w:t xml:space="preserve">Frontiers in Digital Health, 8</w:t>
      </w:r>
      <w:r>
        <w:rPr>
          <w:rFonts w:ascii="Times New Roman" w:hAnsi="Times New Roman" w:cs="Times New Roman" w:eastAsia="Times New Roman"/>
          <w:sz w:val="24"/>
          <w:szCs w:val="24"/>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i/>
        </w:rPr>
        <w:t xml:space="preserve">Behavioral Sciences, 14</w:t>
      </w:r>
      <w:r>
        <w:rPr>
          <w:rFonts w:ascii="Times New Roman" w:hAnsi="Times New Roman" w:cs="Times New Roman" w:eastAsia="Times New Roman"/>
          <w:sz w:val="24"/>
          <w:szCs w:val="24"/>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i/>
        </w:rPr>
        <w:t xml:space="preserve">Scientific Reports, 12</w:t>
      </w:r>
      <w:r>
        <w:rPr>
          <w:rFonts w:ascii="Times New Roman" w:hAnsi="Times New Roman" w:cs="Times New Roman" w:eastAsia="Times New Roman"/>
          <w:sz w:val="24"/>
          <w:szCs w:val="24"/>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Mozilla. (2025). </w:t>
      </w:r>
      <w:r>
        <w:rPr>
          <w:rFonts w:ascii="Times New Roman" w:hAnsi="Times New Roman" w:cs="Times New Roman" w:eastAsia="Times New Roman"/>
          <w:sz w:val="24"/>
          <w:szCs w:val="24"/>
          <w:i/>
        </w:rPr>
        <w:t xml:space="preserve">Offline and background operation</w:t>
      </w:r>
      <w:r>
        <w:rPr>
          <w:rFonts w:ascii="Times New Roman" w:hAnsi="Times New Roman" w:cs="Times New Roman" w:eastAsia="Times New Roman"/>
          <w:sz w:val="24"/>
          <w:szCs w:val="24"/>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Weather Service. (n.d.). </w:t>
      </w:r>
      <w:r>
        <w:rPr>
          <w:rFonts w:ascii="Times New Roman" w:hAnsi="Times New Roman" w:cs="Times New Roman" w:eastAsia="Times New Roman"/>
          <w:sz w:val="24"/>
          <w:szCs w:val="24"/>
          <w:i/>
        </w:rPr>
        <w:t xml:space="preserve">During a flood</w:t>
      </w:r>
      <w:r>
        <w:rPr>
          <w:rFonts w:ascii="Times New Roman" w:hAnsi="Times New Roman" w:cs="Times New Roman" w:eastAsia="Times New Roman"/>
          <w:sz w:val="24"/>
          <w:szCs w:val="24"/>
        </w:rPr>
        <w:t xml:space="preserve">. National Oceanic and Atmospheric Administration. Retrieved August 15, 2026, from https://www.weather.gov/safety/flood-during</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i/>
        </w:rPr>
        <w:t xml:space="preserve">Risk, Hazards &amp; Crisis in Public Policy, 15</w:t>
      </w:r>
      <w:r>
        <w:rPr>
          <w:rFonts w:ascii="Times New Roman" w:hAnsi="Times New Roman" w:cs="Times New Roman" w:eastAsia="Times New Roman"/>
          <w:sz w:val="24"/>
          <w:szCs w:val="24"/>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i/>
        </w:rPr>
        <w:t xml:space="preserve">Natural Hazards and Earth System Sciences, 23</w:t>
      </w:r>
      <w:r>
        <w:rPr>
          <w:rFonts w:ascii="Times New Roman" w:hAnsi="Times New Roman" w:cs="Times New Roman" w:eastAsia="Times New Roman"/>
          <w:sz w:val="24"/>
          <w:szCs w:val="24"/>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World Bank. (2020). </w:t>
      </w:r>
      <w:r>
        <w:rPr>
          <w:rFonts w:ascii="Times New Roman" w:hAnsi="Times New Roman" w:cs="Times New Roman" w:eastAsia="Times New Roman"/>
          <w:sz w:val="24"/>
          <w:szCs w:val="24"/>
          <w:i/>
        </w:rPr>
        <w:t xml:space="preserve">Concept project information document (PID): Pasig-Marikina River Basin Flood Management Project (P171897)</w:t>
      </w:r>
      <w:r>
        <w:rPr>
          <w:rFonts w:ascii="Times New Roman" w:hAnsi="Times New Roman" w:cs="Times New Roman" w:eastAsia="Times New Roman"/>
          <w:sz w:val="24"/>
          <w:szCs w:val="24"/>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World Wide Web Consortium. (2024). </w:t>
      </w:r>
      <w:r>
        <w:rPr>
          <w:rFonts w:ascii="Times New Roman" w:hAnsi="Times New Roman" w:cs="Times New Roman" w:eastAsia="Times New Roman"/>
          <w:sz w:val="24"/>
          <w:szCs w:val="24"/>
          <w:i/>
        </w:rPr>
        <w:t xml:space="preserve">Web Content Accessibility Guidelines (WCAG) 2.2</w:t>
      </w:r>
      <w:r>
        <w:rPr>
          <w:rFonts w:ascii="Times New Roman" w:hAnsi="Times New Roman" w:cs="Times New Roman" w:eastAsia="Times New Roman"/>
          <w:sz w:val="24"/>
          <w:szCs w:val="24"/>
        </w:rPr>
        <w:t xml:space="preserve"> (W3C Recommendation). Retrieved August 15, 2026, from https://www.w3.org/TR/WCAG22/</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Government and institutional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Disaster Risk Reduction and Management Council. (2024). </w:t>
      </w:r>
      <w:r>
        <w:rPr>
          <w:rFonts w:ascii="Times New Roman" w:hAnsi="Times New Roman" w:cs="Times New Roman" w:eastAsia="Times New Roman"/>
          <w:sz w:val="24"/>
          <w:szCs w:val="24"/>
          <w:i/>
        </w:rPr>
        <w:t xml:space="preserve">SitRep no. 46 for the combined effects of Southwest Monsoon and TCs Butchoy and Carina (2024)</w:t>
      </w:r>
      <w:r>
        <w:rPr>
          <w:rFonts w:ascii="Times New Roman" w:hAnsi="Times New Roman" w:cs="Times New Roman" w:eastAsia="Times New Roman"/>
          <w:sz w:val="24"/>
          <w:szCs w:val="24"/>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Flood information</w:t>
      </w:r>
      <w:r>
        <w:rPr>
          <w:rFonts w:ascii="Times New Roman" w:hAnsi="Times New Roman" w:cs="Times New Roman" w:eastAsia="Times New Roman"/>
          <w:sz w:val="24"/>
          <w:szCs w:val="24"/>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Legend</w:t>
      </w:r>
      <w:r>
        <w:rPr>
          <w:rFonts w:ascii="Times New Roman" w:hAnsi="Times New Roman" w:cs="Times New Roman" w:eastAsia="Times New Roman"/>
          <w:sz w:val="24"/>
          <w:szCs w:val="24"/>
        </w:rPr>
        <w:t xml:space="preserve">. Retrieved August 15, 2026, from https://pagasa.dost.gov.ph/learnings/legend</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Platform and industry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S. A. (2026, August 26). QC trains city disaster responders through LyfSaver. </w:t>
      </w:r>
      <w:r>
        <w:rPr>
          <w:rFonts w:ascii="Times New Roman" w:hAnsi="Times New Roman" w:cs="Times New Roman" w:eastAsia="Times New Roman"/>
          <w:sz w:val="24"/>
          <w:szCs w:val="24"/>
          <w:i/>
        </w:rPr>
        <w:t xml:space="preserve">Daily Tribune</w:t>
      </w:r>
      <w:r>
        <w:rPr>
          <w:rFonts w:ascii="Times New Roman" w:hAnsi="Times New Roman" w:cs="Times New Roman" w:eastAsia="Times New Roman"/>
          <w:sz w:val="24"/>
          <w:szCs w:val="24"/>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J. (2024, September 4). Tire deep or gutter deep? MMDA’s new system assigns acronyms to flood levels. </w:t>
      </w:r>
      <w:r>
        <w:rPr>
          <w:rFonts w:ascii="Times New Roman" w:hAnsi="Times New Roman" w:cs="Times New Roman" w:eastAsia="Times New Roman"/>
          <w:sz w:val="24"/>
          <w:szCs w:val="24"/>
          <w:i/>
        </w:rPr>
        <w:t xml:space="preserve">Interaksyon</w:t>
      </w:r>
      <w:r>
        <w:rPr>
          <w:rFonts w:ascii="Times New Roman" w:hAnsi="Times New Roman" w:cs="Times New Roman" w:eastAsia="Times New Roman"/>
          <w:sz w:val="24"/>
          <w:szCs w:val="24"/>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Roque, N. (2024, August 24). Dingdong Dantes’ foundation helps launch LyfSaver, an app to foster bayanihan during disasters. </w:t>
      </w:r>
      <w:r>
        <w:rPr>
          <w:rFonts w:ascii="Times New Roman" w:hAnsi="Times New Roman" w:cs="Times New Roman" w:eastAsia="Times New Roman"/>
          <w:sz w:val="24"/>
          <w:szCs w:val="24"/>
          <w:i/>
        </w:rPr>
        <w:t xml:space="preserve">GMA Integrated News</w:t>
      </w:r>
      <w:r>
        <w:rPr>
          <w:rFonts w:ascii="Times New Roman" w:hAnsi="Times New Roman" w:cs="Times New Roman" w:eastAsia="Times New Roman"/>
          <w:sz w:val="24"/>
          <w:szCs w:val="24"/>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2"/>
          <w:szCs w:val="22"/>
          <w:i/>
        </w:rPr>
        <w:t xml:space="preserve">No peer-reviewed study of PetaBencana.id published in 2022 or later could be located; the available literature on that platform predates the date window applied here. The three sources above are news reporting rather than peer-reviewed work, and are cited for what news reporting can establish — that a system exists, when it launched, who built it, and that a city government has adopted it — not for evaluative claims about its performance.</w:t>
      </w:r>
    </w:p>
    <w:sectPr>
      <w:pgSz w:w="12240" w:h="15840" w:orient="portrait"/>
      <w:pgMar w:top="1440" w:right="1440" w:bottom="1440" w:left="1440" w:header="720" w:footer="720"/>
    </w:sectPr>
  </w:body>
</w:document>
</file>

<file path=word/_rels/document.xml.rels><?xml version="1.0" encoding="UTF-8" standalone="yes"?><Relationships xmlns="http://schemas.openxmlformats.org/package/2006/relationships"><Relationship Id="rId101" Type="http://schemas.openxmlformats.org/officeDocument/2006/relationships/image" Target="media/fig1.png"/><Relationship Id="rId102" Type="http://schemas.openxmlformats.org/officeDocument/2006/relationships/image" Target="media/fig2.png"/><Relationship Id="rId103" Type="http://schemas.openxmlformats.org/officeDocument/2006/relationships/image" Target="media/fig3.png"/><Relationship Id="rId104" Type="http://schemas.openxmlformats.org/officeDocument/2006/relationships/image" Target="media/fig4.png"/></Relationships>
</file>