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charts/chart9.xml" ContentType="application/vnd.openxmlformats-officedocument.drawingml.chart+xml"/>
  <Override PartName="/word/theme/themeOverride6.xml" ContentType="application/vnd.openxmlformats-officedocument.themeOverride+xml"/>
  <Override PartName="/word/charts/chart10.xml" ContentType="application/vnd.openxmlformats-officedocument.drawingml.chart+xml"/>
  <Override PartName="/word/theme/themeOverride7.xml" ContentType="application/vnd.openxmlformats-officedocument.themeOverrid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12.xml" ContentType="application/vnd.openxmlformats-officedocument.drawingml.chart+xml"/>
  <Override PartName="/word/theme/themeOverride9.xml" ContentType="application/vnd.openxmlformats-officedocument.themeOverride+xml"/>
  <Override PartName="/word/charts/chart13.xml" ContentType="application/vnd.openxmlformats-officedocument.drawingml.chart+xml"/>
  <Override PartName="/word/theme/themeOverride10.xml" ContentType="application/vnd.openxmlformats-officedocument.themeOverrid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1.xml" ContentType="application/vnd.openxmlformats-officedocument.themeOverrid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E71C" w14:textId="77777777" w:rsidR="00000000" w:rsidRDefault="00763D17">
      <w:pPr>
        <w:adjustRightInd w:val="0"/>
        <w:snapToGrid w:val="0"/>
        <w:rPr>
          <w:rFonts w:ascii="仿宋_GB2312" w:eastAsia="仿宋_GB2312" w:hAnsi="宋体" w:hint="eastAsia"/>
          <w:sz w:val="32"/>
          <w:szCs w:val="32"/>
        </w:rPr>
      </w:pPr>
      <w:bookmarkStart w:id="0" w:name="第七部分部门决算分析报告撰写提纲"/>
    </w:p>
    <w:p w14:paraId="23D30FD0" w14:textId="77777777" w:rsidR="00000000" w:rsidRDefault="00763D17">
      <w:pPr>
        <w:snapToGrid w:val="0"/>
        <w:rPr>
          <w:rFonts w:ascii="仿宋_GB2312" w:eastAsia="仿宋_GB2312" w:hAnsi="仿宋"/>
          <w:sz w:val="32"/>
          <w:szCs w:val="32"/>
        </w:rPr>
      </w:pPr>
    </w:p>
    <w:p w14:paraId="731274F4" w14:textId="77777777" w:rsidR="00000000" w:rsidRDefault="00763D17">
      <w:pPr>
        <w:snapToGrid w:val="0"/>
        <w:jc w:val="center"/>
        <w:rPr>
          <w:rFonts w:ascii="仿宋_GB2312" w:eastAsia="仿宋_GB2312" w:hAnsi="仿宋"/>
          <w:b/>
          <w:bCs/>
          <w:sz w:val="44"/>
          <w:szCs w:val="44"/>
        </w:rPr>
      </w:pPr>
    </w:p>
    <w:p w14:paraId="261D9F0A" w14:textId="77777777" w:rsidR="00000000" w:rsidRDefault="00763D17">
      <w:pPr>
        <w:snapToGrid w:val="0"/>
        <w:jc w:val="center"/>
        <w:rPr>
          <w:rFonts w:ascii="仿宋_GB2312" w:eastAsia="仿宋_GB2312" w:hAnsi="仿宋"/>
          <w:b/>
          <w:bCs/>
          <w:sz w:val="44"/>
          <w:szCs w:val="44"/>
        </w:rPr>
      </w:pPr>
    </w:p>
    <w:p w14:paraId="596B19C6" w14:textId="77777777" w:rsidR="00000000" w:rsidRDefault="00763D17">
      <w:pPr>
        <w:snapToGrid w:val="0"/>
        <w:jc w:val="center"/>
        <w:rPr>
          <w:rFonts w:ascii="仿宋_GB2312" w:eastAsia="仿宋_GB2312" w:hAnsi="仿宋"/>
          <w:b/>
          <w:bCs/>
          <w:sz w:val="44"/>
          <w:szCs w:val="44"/>
        </w:rPr>
      </w:pPr>
    </w:p>
    <w:p w14:paraId="7CC8A448" w14:textId="77777777" w:rsidR="00000000" w:rsidRDefault="00763D17">
      <w:pPr>
        <w:snapToGrid w:val="0"/>
        <w:jc w:val="center"/>
        <w:rPr>
          <w:rFonts w:ascii="仿宋_GB2312" w:eastAsia="仿宋_GB2312" w:hAnsi="仿宋"/>
          <w:b/>
          <w:bCs/>
          <w:sz w:val="44"/>
          <w:szCs w:val="44"/>
        </w:rPr>
      </w:pPr>
    </w:p>
    <w:p w14:paraId="385358D1" w14:textId="77777777" w:rsidR="00000000" w:rsidRDefault="00763D17">
      <w:pPr>
        <w:snapToGrid w:val="0"/>
        <w:jc w:val="center"/>
        <w:rPr>
          <w:rFonts w:ascii="仿宋_GB2312" w:eastAsia="仿宋_GB2312" w:hAnsi="仿宋"/>
          <w:b/>
          <w:bCs/>
          <w:sz w:val="44"/>
          <w:szCs w:val="44"/>
        </w:rPr>
      </w:pPr>
    </w:p>
    <w:p w14:paraId="70830ABC" w14:textId="77777777" w:rsidR="00000000" w:rsidRDefault="00763D17">
      <w:pPr>
        <w:snapToGrid w:val="0"/>
        <w:jc w:val="center"/>
        <w:rPr>
          <w:rFonts w:ascii="仿宋_GB2312" w:eastAsia="仿宋_GB2312" w:hAnsi="仿宋"/>
          <w:b/>
          <w:bCs/>
          <w:sz w:val="44"/>
          <w:szCs w:val="44"/>
        </w:rPr>
      </w:pPr>
    </w:p>
    <w:p w14:paraId="6E3FD311" w14:textId="77777777" w:rsidR="00000000" w:rsidRDefault="00763D17">
      <w:pPr>
        <w:snapToGrid w:val="0"/>
        <w:jc w:val="center"/>
        <w:rPr>
          <w:rFonts w:ascii="仿宋_GB2312" w:eastAsia="仿宋_GB2312" w:hAnsi="仿宋"/>
          <w:b/>
          <w:bCs/>
          <w:sz w:val="52"/>
          <w:szCs w:val="52"/>
        </w:rPr>
      </w:pPr>
      <w:r>
        <w:rPr>
          <w:rFonts w:ascii="仿宋_GB2312" w:eastAsia="仿宋_GB2312" w:hAnsi="仿宋" w:hint="eastAsia"/>
          <w:b/>
          <w:bCs/>
          <w:sz w:val="52"/>
          <w:szCs w:val="52"/>
        </w:rPr>
        <w:t>新疆兵团第</w:t>
      </w:r>
      <w:r>
        <w:rPr>
          <w:rFonts w:ascii="仿宋_GB2312" w:eastAsia="仿宋_GB2312" w:hAnsi="仿宋" w:hint="eastAsia"/>
          <w:b/>
          <w:bCs/>
          <w:sz w:val="52"/>
          <w:szCs w:val="52"/>
        </w:rPr>
        <w:t>九</w:t>
      </w:r>
      <w:r>
        <w:rPr>
          <w:rFonts w:ascii="仿宋_GB2312" w:eastAsia="仿宋_GB2312" w:hAnsi="仿宋" w:hint="eastAsia"/>
          <w:b/>
          <w:bCs/>
          <w:sz w:val="52"/>
          <w:szCs w:val="52"/>
        </w:rPr>
        <w:t>师</w:t>
      </w:r>
      <w:r>
        <w:rPr>
          <w:rFonts w:ascii="仿宋_GB2312" w:eastAsia="仿宋_GB2312" w:hAnsi="仿宋" w:hint="eastAsia"/>
          <w:b/>
          <w:bCs/>
          <w:sz w:val="52"/>
          <w:szCs w:val="52"/>
        </w:rPr>
        <w:t>2023</w:t>
      </w:r>
      <w:r>
        <w:rPr>
          <w:rFonts w:ascii="仿宋_GB2312" w:eastAsia="仿宋_GB2312" w:hAnsi="仿宋" w:hint="eastAsia"/>
          <w:b/>
          <w:bCs/>
          <w:sz w:val="52"/>
          <w:szCs w:val="52"/>
        </w:rPr>
        <w:t>年度</w:t>
      </w:r>
    </w:p>
    <w:p w14:paraId="21912E49" w14:textId="77777777" w:rsidR="00000000" w:rsidRDefault="00763D17">
      <w:pPr>
        <w:snapToGrid w:val="0"/>
        <w:jc w:val="center"/>
        <w:rPr>
          <w:rFonts w:ascii="仿宋_GB2312" w:eastAsia="仿宋_GB2312" w:hAnsi="仿宋"/>
          <w:b/>
          <w:bCs/>
          <w:sz w:val="52"/>
          <w:szCs w:val="52"/>
        </w:rPr>
      </w:pPr>
    </w:p>
    <w:p w14:paraId="59A96AC7" w14:textId="77777777" w:rsidR="00000000" w:rsidRDefault="00763D17">
      <w:pPr>
        <w:snapToGrid w:val="0"/>
        <w:jc w:val="center"/>
        <w:rPr>
          <w:rFonts w:ascii="仿宋_GB2312" w:eastAsia="仿宋_GB2312" w:hAnsi="仿宋"/>
          <w:b/>
          <w:bCs/>
          <w:sz w:val="52"/>
          <w:szCs w:val="52"/>
        </w:rPr>
      </w:pPr>
      <w:r>
        <w:rPr>
          <w:rFonts w:ascii="仿宋_GB2312" w:eastAsia="仿宋_GB2312" w:hAnsi="仿宋" w:hint="eastAsia"/>
          <w:b/>
          <w:bCs/>
          <w:sz w:val="52"/>
          <w:szCs w:val="52"/>
        </w:rPr>
        <w:t>部门决算分析报告</w:t>
      </w:r>
    </w:p>
    <w:p w14:paraId="53724057" w14:textId="77777777" w:rsidR="00000000" w:rsidRDefault="00763D17">
      <w:pPr>
        <w:snapToGrid w:val="0"/>
        <w:jc w:val="center"/>
        <w:rPr>
          <w:rFonts w:ascii="仿宋_GB2312" w:eastAsia="仿宋_GB2312" w:hAnsi="仿宋"/>
          <w:sz w:val="52"/>
          <w:szCs w:val="52"/>
        </w:rPr>
      </w:pPr>
    </w:p>
    <w:p w14:paraId="611B2098" w14:textId="77777777" w:rsidR="00000000" w:rsidRDefault="00763D17">
      <w:pPr>
        <w:snapToGrid w:val="0"/>
        <w:jc w:val="center"/>
        <w:rPr>
          <w:rFonts w:ascii="仿宋_GB2312" w:eastAsia="仿宋_GB2312" w:hAnsi="仿宋"/>
          <w:sz w:val="36"/>
          <w:szCs w:val="36"/>
        </w:rPr>
      </w:pPr>
    </w:p>
    <w:p w14:paraId="68BE6300" w14:textId="77777777" w:rsidR="00000000" w:rsidRDefault="00763D17">
      <w:pPr>
        <w:snapToGrid w:val="0"/>
        <w:jc w:val="center"/>
        <w:rPr>
          <w:rFonts w:ascii="仿宋_GB2312" w:eastAsia="仿宋_GB2312" w:hAnsi="仿宋"/>
          <w:sz w:val="36"/>
          <w:szCs w:val="36"/>
        </w:rPr>
      </w:pPr>
    </w:p>
    <w:p w14:paraId="6AE8D389" w14:textId="77777777" w:rsidR="00000000" w:rsidRDefault="00763D17">
      <w:pPr>
        <w:snapToGrid w:val="0"/>
        <w:jc w:val="center"/>
        <w:rPr>
          <w:rFonts w:ascii="仿宋_GB2312" w:eastAsia="仿宋_GB2312" w:hAnsi="仿宋"/>
          <w:sz w:val="36"/>
          <w:szCs w:val="36"/>
        </w:rPr>
      </w:pPr>
    </w:p>
    <w:p w14:paraId="01081520" w14:textId="77777777" w:rsidR="00000000" w:rsidRDefault="00763D17">
      <w:pPr>
        <w:snapToGrid w:val="0"/>
        <w:jc w:val="center"/>
        <w:rPr>
          <w:rFonts w:ascii="仿宋_GB2312" w:eastAsia="仿宋_GB2312" w:hAnsi="仿宋"/>
          <w:sz w:val="36"/>
          <w:szCs w:val="36"/>
        </w:rPr>
      </w:pPr>
    </w:p>
    <w:p w14:paraId="2E1F24E6" w14:textId="77777777" w:rsidR="00000000" w:rsidRDefault="00763D17">
      <w:pPr>
        <w:snapToGrid w:val="0"/>
        <w:jc w:val="center"/>
        <w:rPr>
          <w:rFonts w:ascii="仿宋_GB2312" w:eastAsia="仿宋_GB2312" w:hAnsi="仿宋"/>
          <w:sz w:val="36"/>
          <w:szCs w:val="36"/>
        </w:rPr>
      </w:pPr>
    </w:p>
    <w:p w14:paraId="7BD74ED7" w14:textId="77777777" w:rsidR="00000000" w:rsidRDefault="00763D17">
      <w:pPr>
        <w:snapToGrid w:val="0"/>
        <w:jc w:val="center"/>
        <w:rPr>
          <w:rFonts w:ascii="仿宋_GB2312" w:eastAsia="仿宋_GB2312" w:hAnsi="仿宋"/>
          <w:sz w:val="36"/>
          <w:szCs w:val="36"/>
        </w:rPr>
      </w:pPr>
    </w:p>
    <w:p w14:paraId="0DF877CC" w14:textId="77777777" w:rsidR="00000000" w:rsidRDefault="00763D17">
      <w:pPr>
        <w:snapToGrid w:val="0"/>
        <w:jc w:val="center"/>
        <w:rPr>
          <w:rFonts w:ascii="仿宋_GB2312" w:eastAsia="仿宋_GB2312" w:hAnsi="仿宋"/>
          <w:sz w:val="36"/>
          <w:szCs w:val="36"/>
        </w:rPr>
      </w:pPr>
    </w:p>
    <w:p w14:paraId="10187559" w14:textId="77777777" w:rsidR="00000000" w:rsidRDefault="00763D17">
      <w:pPr>
        <w:snapToGrid w:val="0"/>
        <w:jc w:val="center"/>
        <w:rPr>
          <w:rFonts w:ascii="仿宋_GB2312" w:eastAsia="仿宋_GB2312" w:hAnsi="仿宋"/>
          <w:sz w:val="36"/>
          <w:szCs w:val="36"/>
        </w:rPr>
      </w:pPr>
    </w:p>
    <w:p w14:paraId="155A9F91" w14:textId="77777777" w:rsidR="00000000" w:rsidRDefault="00763D17">
      <w:pPr>
        <w:snapToGrid w:val="0"/>
        <w:jc w:val="center"/>
        <w:rPr>
          <w:rFonts w:ascii="仿宋_GB2312" w:eastAsia="仿宋_GB2312" w:hAnsi="仿宋"/>
          <w:sz w:val="36"/>
          <w:szCs w:val="36"/>
        </w:rPr>
      </w:pPr>
    </w:p>
    <w:p w14:paraId="50A8350C" w14:textId="77777777" w:rsidR="00000000" w:rsidRDefault="00763D17">
      <w:pPr>
        <w:snapToGrid w:val="0"/>
        <w:jc w:val="center"/>
        <w:rPr>
          <w:rFonts w:ascii="仿宋_GB2312" w:eastAsia="仿宋_GB2312" w:hAnsi="仿宋"/>
          <w:sz w:val="36"/>
          <w:szCs w:val="36"/>
        </w:rPr>
      </w:pPr>
    </w:p>
    <w:p w14:paraId="6007F01D" w14:textId="77777777" w:rsidR="00000000" w:rsidRDefault="00763D17">
      <w:pPr>
        <w:snapToGrid w:val="0"/>
        <w:jc w:val="center"/>
        <w:rPr>
          <w:rFonts w:ascii="仿宋_GB2312" w:eastAsia="仿宋_GB2312" w:hAnsi="仿宋"/>
          <w:sz w:val="36"/>
          <w:szCs w:val="36"/>
        </w:rPr>
      </w:pPr>
    </w:p>
    <w:p w14:paraId="2B9371D0" w14:textId="77777777" w:rsidR="00000000" w:rsidRDefault="00763D17">
      <w:pPr>
        <w:snapToGrid w:val="0"/>
        <w:jc w:val="center"/>
        <w:rPr>
          <w:rFonts w:ascii="仿宋_GB2312" w:eastAsia="仿宋_GB2312" w:hAnsi="仿宋"/>
          <w:sz w:val="36"/>
          <w:szCs w:val="36"/>
        </w:rPr>
      </w:pPr>
    </w:p>
    <w:p w14:paraId="5281F3E8" w14:textId="77777777" w:rsidR="00000000" w:rsidRDefault="00763D17">
      <w:pPr>
        <w:snapToGrid w:val="0"/>
        <w:jc w:val="center"/>
        <w:rPr>
          <w:rFonts w:ascii="仿宋_GB2312" w:eastAsia="仿宋_GB2312" w:hAnsi="仿宋"/>
          <w:sz w:val="36"/>
          <w:szCs w:val="36"/>
        </w:rPr>
      </w:pPr>
    </w:p>
    <w:p w14:paraId="5E76DFB9" w14:textId="77777777" w:rsidR="00000000" w:rsidRDefault="00763D17">
      <w:pPr>
        <w:snapToGrid w:val="0"/>
        <w:jc w:val="center"/>
        <w:rPr>
          <w:rFonts w:ascii="仿宋_GB2312" w:eastAsia="仿宋_GB2312" w:hAnsi="仿宋"/>
          <w:b/>
          <w:bCs/>
          <w:sz w:val="36"/>
          <w:szCs w:val="36"/>
        </w:rPr>
      </w:pPr>
      <w:r>
        <w:rPr>
          <w:rFonts w:ascii="仿宋_GB2312" w:eastAsia="仿宋_GB2312" w:hAnsi="仿宋" w:hint="eastAsia"/>
          <w:b/>
          <w:bCs/>
          <w:sz w:val="36"/>
          <w:szCs w:val="36"/>
        </w:rPr>
        <w:t>目</w:t>
      </w:r>
      <w:r>
        <w:rPr>
          <w:rFonts w:ascii="仿宋_GB2312" w:eastAsia="仿宋_GB2312" w:hAnsi="仿宋" w:hint="eastAsia"/>
          <w:b/>
          <w:bCs/>
          <w:sz w:val="36"/>
          <w:szCs w:val="36"/>
        </w:rPr>
        <w:t xml:space="preserve">  </w:t>
      </w:r>
      <w:r>
        <w:rPr>
          <w:rFonts w:ascii="仿宋_GB2312" w:eastAsia="仿宋_GB2312" w:hAnsi="仿宋" w:hint="eastAsia"/>
          <w:b/>
          <w:bCs/>
          <w:sz w:val="36"/>
          <w:szCs w:val="36"/>
        </w:rPr>
        <w:t>录</w:t>
      </w:r>
    </w:p>
    <w:p w14:paraId="1171B140" w14:textId="77777777" w:rsidR="00000000" w:rsidRDefault="00763D17">
      <w:pPr>
        <w:pStyle w:val="TOC1"/>
        <w:tabs>
          <w:tab w:val="right" w:leader="dot" w:pos="10095"/>
        </w:tabs>
        <w:rPr>
          <w:rFonts w:ascii="仿宋_GB2312" w:eastAsia="仿宋_GB2312" w:hAnsi="仿宋"/>
          <w:sz w:val="30"/>
          <w:szCs w:val="30"/>
        </w:rPr>
      </w:pPr>
      <w:r>
        <w:rPr>
          <w:rFonts w:ascii="仿宋_GB2312" w:eastAsia="仿宋_GB2312" w:hAnsi="仿宋" w:hint="eastAsia"/>
          <w:sz w:val="30"/>
          <w:szCs w:val="30"/>
        </w:rPr>
        <w:fldChar w:fldCharType="begin"/>
      </w:r>
      <w:r>
        <w:rPr>
          <w:rFonts w:ascii="仿宋_GB2312" w:eastAsia="仿宋_GB2312" w:hAnsi="仿宋" w:hint="eastAsia"/>
          <w:sz w:val="30"/>
          <w:szCs w:val="30"/>
        </w:rPr>
        <w:instrText xml:space="preserve"> TOC \o "1-3" \h \z \u </w:instrText>
      </w:r>
      <w:r>
        <w:rPr>
          <w:rFonts w:ascii="仿宋_GB2312" w:eastAsia="仿宋_GB2312" w:hAnsi="仿宋" w:hint="eastAsia"/>
          <w:sz w:val="30"/>
          <w:szCs w:val="30"/>
        </w:rPr>
        <w:fldChar w:fldCharType="separate"/>
      </w:r>
      <w:hyperlink w:anchor="_Toc62323721" w:history="1">
        <w:r>
          <w:rPr>
            <w:rStyle w:val="ab"/>
            <w:rFonts w:ascii="仿宋_GB2312" w:eastAsia="仿宋_GB2312" w:hAnsi="仿宋" w:hint="eastAsia"/>
            <w:color w:val="auto"/>
            <w:sz w:val="30"/>
            <w:szCs w:val="30"/>
          </w:rPr>
          <w:t>一、本地区经济社会发展情况分析</w:t>
        </w:r>
        <w:r>
          <w:rPr>
            <w:rFonts w:ascii="仿宋_GB2312" w:eastAsia="仿宋_GB2312" w:hAnsi="仿宋" w:hint="eastAsia"/>
            <w:sz w:val="30"/>
            <w:szCs w:val="30"/>
          </w:rPr>
          <w:tab/>
        </w:r>
        <w:r>
          <w:rPr>
            <w:rFonts w:ascii="仿宋_GB2312" w:eastAsia="仿宋_GB2312" w:hAnsi="仿宋" w:hint="eastAsia"/>
            <w:sz w:val="30"/>
            <w:szCs w:val="30"/>
          </w:rPr>
          <w:fldChar w:fldCharType="begin"/>
        </w:r>
        <w:r>
          <w:rPr>
            <w:rFonts w:ascii="仿宋_GB2312" w:eastAsia="仿宋_GB2312" w:hAnsi="仿宋" w:hint="eastAsia"/>
            <w:sz w:val="30"/>
            <w:szCs w:val="30"/>
          </w:rPr>
          <w:instrText xml:space="preserve"> PAGEREF _Toc62323721 \h </w:instrText>
        </w:r>
        <w:r>
          <w:rPr>
            <w:rFonts w:ascii="仿宋_GB2312" w:eastAsia="仿宋_GB2312" w:hAnsi="仿宋" w:hint="eastAsia"/>
            <w:sz w:val="30"/>
            <w:szCs w:val="30"/>
          </w:rPr>
          <w:fldChar w:fldCharType="separate"/>
        </w:r>
        <w:r>
          <w:rPr>
            <w:rFonts w:ascii="仿宋_GB2312" w:eastAsia="仿宋_GB2312" w:hAnsi="仿宋"/>
            <w:sz w:val="30"/>
            <w:szCs w:val="30"/>
          </w:rPr>
          <w:t>1</w:t>
        </w:r>
        <w:r>
          <w:rPr>
            <w:rFonts w:ascii="仿宋_GB2312" w:eastAsia="仿宋_GB2312" w:hAnsi="仿宋" w:hint="eastAsia"/>
            <w:sz w:val="30"/>
            <w:szCs w:val="30"/>
          </w:rPr>
          <w:fldChar w:fldCharType="end"/>
        </w:r>
      </w:hyperlink>
    </w:p>
    <w:p w14:paraId="51A98D16" w14:textId="77777777" w:rsidR="00000000" w:rsidRDefault="00763D17">
      <w:pPr>
        <w:pStyle w:val="TOC2"/>
        <w:tabs>
          <w:tab w:val="right" w:leader="dot" w:pos="10095"/>
        </w:tabs>
        <w:ind w:left="420"/>
        <w:rPr>
          <w:rFonts w:ascii="仿宋_GB2312" w:eastAsia="仿宋_GB2312" w:hAnsi="仿宋"/>
          <w:sz w:val="30"/>
          <w:szCs w:val="30"/>
        </w:rPr>
      </w:pPr>
      <w:hyperlink w:anchor="_Toc62323722" w:history="1">
        <w:r>
          <w:rPr>
            <w:rStyle w:val="ab"/>
            <w:rFonts w:ascii="仿宋_GB2312" w:eastAsia="仿宋_GB2312" w:hAnsi="仿宋" w:hint="eastAsia"/>
            <w:color w:val="auto"/>
            <w:sz w:val="30"/>
            <w:szCs w:val="30"/>
          </w:rPr>
          <w:t>（一）经济发展情况。</w:t>
        </w:r>
        <w:r>
          <w:rPr>
            <w:rFonts w:ascii="仿宋_GB2312" w:eastAsia="仿宋_GB2312" w:hAnsi="仿宋" w:hint="eastAsia"/>
            <w:sz w:val="30"/>
            <w:szCs w:val="30"/>
          </w:rPr>
          <w:tab/>
        </w:r>
        <w:r>
          <w:rPr>
            <w:rFonts w:ascii="仿宋_GB2312" w:eastAsia="仿宋_GB2312" w:hAnsi="仿宋" w:hint="eastAsia"/>
            <w:sz w:val="30"/>
            <w:szCs w:val="30"/>
          </w:rPr>
          <w:fldChar w:fldCharType="begin"/>
        </w:r>
        <w:r>
          <w:rPr>
            <w:rFonts w:ascii="仿宋_GB2312" w:eastAsia="仿宋_GB2312" w:hAnsi="仿宋" w:hint="eastAsia"/>
            <w:sz w:val="30"/>
            <w:szCs w:val="30"/>
          </w:rPr>
          <w:instrText xml:space="preserve"> PAGEREF _Toc62323722 \h </w:instrText>
        </w:r>
        <w:r>
          <w:rPr>
            <w:rFonts w:ascii="仿宋_GB2312" w:eastAsia="仿宋_GB2312" w:hAnsi="仿宋" w:hint="eastAsia"/>
            <w:sz w:val="30"/>
            <w:szCs w:val="30"/>
          </w:rPr>
          <w:fldChar w:fldCharType="separate"/>
        </w:r>
        <w:r>
          <w:rPr>
            <w:rFonts w:ascii="仿宋_GB2312" w:eastAsia="仿宋_GB2312" w:hAnsi="仿宋"/>
            <w:sz w:val="30"/>
            <w:szCs w:val="30"/>
          </w:rPr>
          <w:t>1</w:t>
        </w:r>
        <w:r>
          <w:rPr>
            <w:rFonts w:ascii="仿宋_GB2312" w:eastAsia="仿宋_GB2312" w:hAnsi="仿宋" w:hint="eastAsia"/>
            <w:sz w:val="30"/>
            <w:szCs w:val="30"/>
          </w:rPr>
          <w:fldChar w:fldCharType="end"/>
        </w:r>
      </w:hyperlink>
    </w:p>
    <w:p w14:paraId="70965E9B" w14:textId="77777777" w:rsidR="00000000" w:rsidRDefault="00763D17">
      <w:pPr>
        <w:pStyle w:val="TOC2"/>
        <w:tabs>
          <w:tab w:val="right" w:leader="dot" w:pos="10095"/>
        </w:tabs>
        <w:ind w:left="420"/>
        <w:rPr>
          <w:rFonts w:ascii="仿宋_GB2312" w:eastAsia="仿宋_GB2312" w:hAnsi="仿宋"/>
          <w:sz w:val="30"/>
          <w:szCs w:val="30"/>
        </w:rPr>
      </w:pPr>
      <w:hyperlink w:anchor="_Toc62323723" w:history="1">
        <w:r>
          <w:rPr>
            <w:rStyle w:val="ab"/>
            <w:rFonts w:ascii="仿宋_GB2312" w:eastAsia="仿宋_GB2312" w:hAnsi="仿宋" w:hint="eastAsia"/>
            <w:color w:val="auto"/>
            <w:sz w:val="30"/>
            <w:szCs w:val="30"/>
          </w:rPr>
          <w:t>（二）财政收支运行情况。</w:t>
        </w:r>
        <w:r>
          <w:rPr>
            <w:rFonts w:ascii="仿宋_GB2312" w:eastAsia="仿宋_GB2312" w:hAnsi="仿宋" w:hint="eastAsia"/>
            <w:sz w:val="30"/>
            <w:szCs w:val="30"/>
          </w:rPr>
          <w:tab/>
        </w:r>
        <w:r>
          <w:rPr>
            <w:rFonts w:ascii="仿宋_GB2312" w:eastAsia="仿宋_GB2312" w:hAnsi="仿宋" w:hint="eastAsia"/>
            <w:sz w:val="30"/>
            <w:szCs w:val="30"/>
          </w:rPr>
          <w:t>3</w:t>
        </w:r>
      </w:hyperlink>
    </w:p>
    <w:p w14:paraId="53B84370" w14:textId="77777777" w:rsidR="00000000" w:rsidRDefault="00763D17">
      <w:pPr>
        <w:pStyle w:val="TOC1"/>
        <w:tabs>
          <w:tab w:val="right" w:leader="dot" w:pos="10095"/>
        </w:tabs>
        <w:rPr>
          <w:rFonts w:ascii="仿宋_GB2312" w:eastAsia="仿宋_GB2312" w:hAnsi="仿宋"/>
          <w:sz w:val="30"/>
          <w:szCs w:val="30"/>
        </w:rPr>
      </w:pPr>
      <w:hyperlink w:anchor="_Toc62323724" w:history="1">
        <w:r>
          <w:rPr>
            <w:rStyle w:val="ab"/>
            <w:rFonts w:ascii="仿宋_GB2312" w:eastAsia="仿宋_GB2312" w:hAnsi="仿宋" w:hint="eastAsia"/>
            <w:color w:val="auto"/>
            <w:sz w:val="30"/>
            <w:szCs w:val="30"/>
          </w:rPr>
          <w:t>二、本地区部门收支余情况分析及预算绩效情况</w:t>
        </w:r>
        <w:r>
          <w:rPr>
            <w:rFonts w:ascii="仿宋_GB2312" w:eastAsia="仿宋_GB2312" w:hAnsi="仿宋" w:hint="eastAsia"/>
            <w:sz w:val="30"/>
            <w:szCs w:val="30"/>
          </w:rPr>
          <w:tab/>
        </w:r>
        <w:r>
          <w:rPr>
            <w:rFonts w:ascii="仿宋_GB2312" w:eastAsia="仿宋_GB2312" w:hAnsi="仿宋" w:hint="eastAsia"/>
            <w:sz w:val="30"/>
            <w:szCs w:val="30"/>
          </w:rPr>
          <w:t>3</w:t>
        </w:r>
      </w:hyperlink>
    </w:p>
    <w:p w14:paraId="5F000583" w14:textId="77777777" w:rsidR="00000000" w:rsidRDefault="00763D17">
      <w:pPr>
        <w:pStyle w:val="TOC2"/>
        <w:tabs>
          <w:tab w:val="right" w:leader="dot" w:pos="10095"/>
        </w:tabs>
        <w:ind w:left="420"/>
        <w:rPr>
          <w:rFonts w:ascii="仿宋_GB2312" w:eastAsia="仿宋_GB2312" w:hAnsi="仿宋"/>
          <w:sz w:val="30"/>
          <w:szCs w:val="30"/>
        </w:rPr>
      </w:pPr>
      <w:hyperlink w:anchor="_Toc62323725" w:history="1">
        <w:r>
          <w:rPr>
            <w:rStyle w:val="ab"/>
            <w:rFonts w:ascii="仿宋_GB2312" w:eastAsia="仿宋_GB2312" w:hAnsi="仿宋" w:hint="eastAsia"/>
            <w:color w:val="auto"/>
            <w:sz w:val="30"/>
            <w:szCs w:val="30"/>
          </w:rPr>
          <w:t>（一）部门收入、支出及结转结余情况。</w:t>
        </w:r>
        <w:r>
          <w:rPr>
            <w:rFonts w:ascii="仿宋_GB2312" w:eastAsia="仿宋_GB2312" w:hAnsi="仿宋" w:hint="eastAsia"/>
            <w:sz w:val="30"/>
            <w:szCs w:val="30"/>
          </w:rPr>
          <w:tab/>
        </w:r>
        <w:r>
          <w:rPr>
            <w:rFonts w:ascii="仿宋_GB2312" w:eastAsia="仿宋_GB2312" w:hAnsi="仿宋" w:hint="eastAsia"/>
            <w:sz w:val="30"/>
            <w:szCs w:val="30"/>
          </w:rPr>
          <w:t>5</w:t>
        </w:r>
      </w:hyperlink>
    </w:p>
    <w:p w14:paraId="1EE06D06"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26" w:history="1">
        <w:r>
          <w:rPr>
            <w:rStyle w:val="ab"/>
            <w:rFonts w:ascii="仿宋_GB2312" w:eastAsia="仿宋_GB2312" w:hAnsi="仿宋" w:hint="eastAsia"/>
            <w:color w:val="auto"/>
            <w:sz w:val="30"/>
            <w:szCs w:val="30"/>
          </w:rPr>
          <w:t>（二）部门收入、支出预决算对比情况。</w:t>
        </w:r>
        <w:r>
          <w:rPr>
            <w:rFonts w:ascii="仿宋_GB2312" w:eastAsia="仿宋_GB2312" w:hAnsi="仿宋" w:hint="eastAsia"/>
            <w:sz w:val="30"/>
            <w:szCs w:val="30"/>
          </w:rPr>
          <w:tab/>
        </w:r>
        <w:r>
          <w:rPr>
            <w:rFonts w:ascii="仿宋_GB2312" w:eastAsia="仿宋_GB2312" w:hAnsi="仿宋" w:hint="eastAsia"/>
            <w:sz w:val="30"/>
            <w:szCs w:val="30"/>
          </w:rPr>
          <w:t>1</w:t>
        </w:r>
      </w:hyperlink>
      <w:r>
        <w:rPr>
          <w:rFonts w:ascii="仿宋_GB2312" w:eastAsia="仿宋_GB2312" w:hAnsi="仿宋" w:hint="eastAsia"/>
          <w:sz w:val="30"/>
          <w:szCs w:val="30"/>
        </w:rPr>
        <w:t>0</w:t>
      </w:r>
    </w:p>
    <w:p w14:paraId="22C35161" w14:textId="77777777" w:rsidR="00000000" w:rsidRDefault="00763D17">
      <w:pPr>
        <w:pStyle w:val="TOC2"/>
        <w:tabs>
          <w:tab w:val="right" w:leader="dot" w:pos="10095"/>
        </w:tabs>
        <w:ind w:left="420"/>
        <w:rPr>
          <w:rFonts w:ascii="仿宋_GB2312" w:eastAsia="仿宋_GB2312" w:hAnsi="仿宋"/>
          <w:sz w:val="30"/>
          <w:szCs w:val="30"/>
        </w:rPr>
      </w:pPr>
      <w:hyperlink w:anchor="_Toc62323727" w:history="1">
        <w:r>
          <w:rPr>
            <w:rStyle w:val="ab"/>
            <w:rFonts w:ascii="仿宋_GB2312" w:eastAsia="仿宋_GB2312" w:hAnsi="仿宋" w:hint="eastAsia"/>
            <w:color w:val="auto"/>
            <w:sz w:val="30"/>
            <w:szCs w:val="30"/>
          </w:rPr>
          <w:t>（三）部门决算收入、支出和结余结转的特点和问题。</w:t>
        </w:r>
        <w:r>
          <w:rPr>
            <w:rFonts w:ascii="仿宋_GB2312" w:eastAsia="仿宋_GB2312" w:hAnsi="仿宋" w:hint="eastAsia"/>
            <w:sz w:val="30"/>
            <w:szCs w:val="30"/>
          </w:rPr>
          <w:tab/>
        </w:r>
        <w:r>
          <w:rPr>
            <w:rFonts w:ascii="仿宋_GB2312" w:eastAsia="仿宋_GB2312" w:hAnsi="仿宋" w:hint="eastAsia"/>
            <w:sz w:val="30"/>
            <w:szCs w:val="30"/>
          </w:rPr>
          <w:fldChar w:fldCharType="begin"/>
        </w:r>
        <w:r>
          <w:rPr>
            <w:rFonts w:ascii="仿宋_GB2312" w:eastAsia="仿宋_GB2312" w:hAnsi="仿宋" w:hint="eastAsia"/>
            <w:sz w:val="30"/>
            <w:szCs w:val="30"/>
          </w:rPr>
          <w:instrText xml:space="preserve"> PAGEREF _Toc62323</w:instrText>
        </w:r>
        <w:r>
          <w:rPr>
            <w:rFonts w:ascii="仿宋_GB2312" w:eastAsia="仿宋_GB2312" w:hAnsi="仿宋" w:hint="eastAsia"/>
            <w:sz w:val="30"/>
            <w:szCs w:val="30"/>
          </w:rPr>
          <w:instrText xml:space="preserve">727 \h </w:instrText>
        </w:r>
        <w:r>
          <w:rPr>
            <w:rFonts w:ascii="仿宋_GB2312" w:eastAsia="仿宋_GB2312" w:hAnsi="仿宋" w:hint="eastAsia"/>
            <w:sz w:val="30"/>
            <w:szCs w:val="30"/>
          </w:rPr>
          <w:fldChar w:fldCharType="separate"/>
        </w:r>
        <w:r>
          <w:rPr>
            <w:rFonts w:ascii="仿宋_GB2312" w:eastAsia="仿宋_GB2312" w:hAnsi="仿宋"/>
            <w:sz w:val="30"/>
            <w:szCs w:val="30"/>
          </w:rPr>
          <w:t>1</w:t>
        </w:r>
        <w:r>
          <w:rPr>
            <w:rFonts w:ascii="仿宋_GB2312" w:eastAsia="仿宋_GB2312" w:hAnsi="仿宋" w:hint="eastAsia"/>
            <w:sz w:val="30"/>
            <w:szCs w:val="30"/>
          </w:rPr>
          <w:t>3</w:t>
        </w:r>
        <w:r>
          <w:rPr>
            <w:rFonts w:ascii="仿宋_GB2312" w:eastAsia="仿宋_GB2312" w:hAnsi="仿宋" w:hint="eastAsia"/>
            <w:sz w:val="30"/>
            <w:szCs w:val="30"/>
          </w:rPr>
          <w:fldChar w:fldCharType="end"/>
        </w:r>
      </w:hyperlink>
    </w:p>
    <w:p w14:paraId="3A15B3AE"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28" w:history="1">
        <w:r>
          <w:rPr>
            <w:rStyle w:val="ab"/>
            <w:rFonts w:ascii="仿宋_GB2312" w:eastAsia="仿宋_GB2312" w:hAnsi="仿宋" w:hint="eastAsia"/>
            <w:color w:val="auto"/>
            <w:sz w:val="30"/>
            <w:szCs w:val="30"/>
          </w:rPr>
          <w:t>（四）针对本地区部门预算执行特点及存在问题提出对策建议。</w:t>
        </w:r>
        <w:r>
          <w:rPr>
            <w:rFonts w:ascii="仿宋_GB2312" w:eastAsia="仿宋_GB2312" w:hAnsi="仿宋" w:hint="eastAsia"/>
            <w:sz w:val="30"/>
            <w:szCs w:val="30"/>
          </w:rPr>
          <w:tab/>
        </w:r>
        <w:r>
          <w:rPr>
            <w:rFonts w:ascii="仿宋_GB2312" w:eastAsia="仿宋_GB2312" w:hAnsi="仿宋" w:hint="eastAsia"/>
            <w:sz w:val="30"/>
            <w:szCs w:val="30"/>
          </w:rPr>
          <w:t>1</w:t>
        </w:r>
      </w:hyperlink>
      <w:r>
        <w:rPr>
          <w:rFonts w:ascii="仿宋_GB2312" w:eastAsia="仿宋_GB2312" w:hAnsi="仿宋" w:hint="eastAsia"/>
          <w:sz w:val="30"/>
          <w:szCs w:val="30"/>
        </w:rPr>
        <w:t>5</w:t>
      </w:r>
    </w:p>
    <w:p w14:paraId="6D9AF1F3"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29" w:history="1">
        <w:r>
          <w:rPr>
            <w:rStyle w:val="ab"/>
            <w:rFonts w:ascii="仿宋_GB2312" w:eastAsia="仿宋_GB2312" w:hAnsi="仿宋" w:hint="eastAsia"/>
            <w:color w:val="auto"/>
            <w:sz w:val="30"/>
            <w:szCs w:val="30"/>
          </w:rPr>
          <w:t>（五）本地区预算绩效管理工作开展情况。</w:t>
        </w:r>
        <w:r>
          <w:rPr>
            <w:rFonts w:ascii="仿宋_GB2312" w:eastAsia="仿宋_GB2312" w:hAnsi="仿宋" w:hint="eastAsia"/>
            <w:sz w:val="30"/>
            <w:szCs w:val="30"/>
          </w:rPr>
          <w:tab/>
        </w:r>
        <w:r>
          <w:rPr>
            <w:rFonts w:ascii="仿宋_GB2312" w:eastAsia="仿宋_GB2312" w:hAnsi="仿宋" w:hint="eastAsia"/>
            <w:sz w:val="30"/>
            <w:szCs w:val="30"/>
          </w:rPr>
          <w:t>1</w:t>
        </w:r>
      </w:hyperlink>
      <w:r>
        <w:rPr>
          <w:rFonts w:ascii="仿宋_GB2312" w:eastAsia="仿宋_GB2312" w:hAnsi="仿宋" w:hint="eastAsia"/>
          <w:sz w:val="30"/>
          <w:szCs w:val="30"/>
        </w:rPr>
        <w:t>5</w:t>
      </w:r>
    </w:p>
    <w:p w14:paraId="6C40EC03" w14:textId="77777777" w:rsidR="00000000" w:rsidRDefault="00763D17">
      <w:pPr>
        <w:pStyle w:val="TOC1"/>
        <w:tabs>
          <w:tab w:val="right" w:leader="dot" w:pos="10095"/>
        </w:tabs>
        <w:rPr>
          <w:rFonts w:ascii="仿宋_GB2312" w:eastAsia="仿宋_GB2312" w:hAnsi="仿宋" w:hint="eastAsia"/>
          <w:sz w:val="30"/>
          <w:szCs w:val="30"/>
        </w:rPr>
      </w:pPr>
      <w:hyperlink w:anchor="_Toc62323730" w:history="1">
        <w:r>
          <w:rPr>
            <w:rStyle w:val="ab"/>
            <w:rFonts w:ascii="仿宋_GB2312" w:eastAsia="仿宋_GB2312" w:hAnsi="仿宋" w:hint="eastAsia"/>
            <w:color w:val="auto"/>
            <w:sz w:val="30"/>
            <w:szCs w:val="30"/>
          </w:rPr>
          <w:t>三、本地区与预算支出相关的其他信息分析</w:t>
        </w:r>
        <w:r>
          <w:rPr>
            <w:rFonts w:ascii="仿宋_GB2312" w:eastAsia="仿宋_GB2312" w:hAnsi="仿宋" w:hint="eastAsia"/>
            <w:sz w:val="30"/>
            <w:szCs w:val="30"/>
          </w:rPr>
          <w:tab/>
        </w:r>
        <w:r>
          <w:rPr>
            <w:rFonts w:ascii="仿宋_GB2312" w:eastAsia="仿宋_GB2312" w:hAnsi="仿宋" w:hint="eastAsia"/>
            <w:sz w:val="30"/>
            <w:szCs w:val="30"/>
          </w:rPr>
          <w:t>1</w:t>
        </w:r>
      </w:hyperlink>
      <w:r>
        <w:rPr>
          <w:rFonts w:ascii="仿宋_GB2312" w:eastAsia="仿宋_GB2312" w:hAnsi="仿宋" w:hint="eastAsia"/>
          <w:sz w:val="30"/>
          <w:szCs w:val="30"/>
        </w:rPr>
        <w:t>6</w:t>
      </w:r>
    </w:p>
    <w:p w14:paraId="11AB2F4C"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31" w:history="1">
        <w:r>
          <w:rPr>
            <w:rStyle w:val="ab"/>
            <w:rFonts w:ascii="仿宋_GB2312" w:eastAsia="仿宋_GB2312" w:hAnsi="仿宋" w:hint="eastAsia"/>
            <w:color w:val="auto"/>
            <w:sz w:val="30"/>
            <w:szCs w:val="30"/>
          </w:rPr>
          <w:t>（一）资产负债情况。</w:t>
        </w:r>
        <w:r>
          <w:rPr>
            <w:rFonts w:ascii="仿宋_GB2312" w:eastAsia="仿宋_GB2312" w:hAnsi="仿宋" w:hint="eastAsia"/>
            <w:sz w:val="30"/>
            <w:szCs w:val="30"/>
          </w:rPr>
          <w:tab/>
        </w:r>
        <w:r>
          <w:rPr>
            <w:rFonts w:ascii="仿宋_GB2312" w:eastAsia="仿宋_GB2312" w:hAnsi="仿宋" w:hint="eastAsia"/>
            <w:sz w:val="30"/>
            <w:szCs w:val="30"/>
          </w:rPr>
          <w:t>1</w:t>
        </w:r>
      </w:hyperlink>
      <w:r>
        <w:rPr>
          <w:rFonts w:ascii="仿宋_GB2312" w:eastAsia="仿宋_GB2312" w:hAnsi="仿宋" w:hint="eastAsia"/>
          <w:sz w:val="30"/>
          <w:szCs w:val="30"/>
        </w:rPr>
        <w:t>6</w:t>
      </w:r>
    </w:p>
    <w:p w14:paraId="6F4221FE"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32" w:history="1">
        <w:r>
          <w:rPr>
            <w:rStyle w:val="ab"/>
            <w:rFonts w:ascii="仿宋_GB2312" w:eastAsia="仿宋_GB2312" w:hAnsi="仿宋" w:hint="eastAsia"/>
            <w:color w:val="auto"/>
            <w:sz w:val="30"/>
            <w:szCs w:val="30"/>
          </w:rPr>
          <w:t>（二）机构人员情况。</w:t>
        </w:r>
        <w:r>
          <w:rPr>
            <w:rFonts w:ascii="仿宋_GB2312" w:eastAsia="仿宋_GB2312" w:hAnsi="仿宋" w:hint="eastAsia"/>
            <w:sz w:val="30"/>
            <w:szCs w:val="30"/>
          </w:rPr>
          <w:tab/>
        </w:r>
        <w:r>
          <w:rPr>
            <w:rFonts w:ascii="仿宋_GB2312" w:eastAsia="仿宋_GB2312" w:hAnsi="仿宋" w:hint="eastAsia"/>
            <w:sz w:val="30"/>
            <w:szCs w:val="30"/>
          </w:rPr>
          <w:t>1</w:t>
        </w:r>
      </w:hyperlink>
      <w:r>
        <w:rPr>
          <w:rFonts w:ascii="仿宋_GB2312" w:eastAsia="仿宋_GB2312" w:hAnsi="仿宋" w:hint="eastAsia"/>
          <w:sz w:val="30"/>
          <w:szCs w:val="30"/>
        </w:rPr>
        <w:t>6</w:t>
      </w:r>
    </w:p>
    <w:p w14:paraId="571EEDA1" w14:textId="77777777" w:rsidR="00000000" w:rsidRDefault="00763D17">
      <w:pPr>
        <w:pStyle w:val="TOC1"/>
        <w:tabs>
          <w:tab w:val="right" w:leader="dot" w:pos="10095"/>
        </w:tabs>
        <w:rPr>
          <w:rFonts w:ascii="仿宋_GB2312" w:eastAsia="仿宋_GB2312" w:hAnsi="仿宋" w:hint="eastAsia"/>
          <w:sz w:val="30"/>
          <w:szCs w:val="30"/>
        </w:rPr>
      </w:pPr>
      <w:hyperlink w:anchor="_Toc62323733" w:history="1">
        <w:r>
          <w:rPr>
            <w:rStyle w:val="ab"/>
            <w:rFonts w:ascii="仿宋_GB2312" w:eastAsia="仿宋_GB2312" w:hAnsi="仿宋" w:hint="eastAsia"/>
            <w:color w:val="auto"/>
            <w:sz w:val="30"/>
            <w:szCs w:val="30"/>
          </w:rPr>
          <w:t>四、本地区部门决算管理工作</w:t>
        </w:r>
        <w:r>
          <w:rPr>
            <w:rFonts w:ascii="仿宋_GB2312" w:eastAsia="仿宋_GB2312" w:hAnsi="仿宋" w:hint="eastAsia"/>
            <w:sz w:val="30"/>
            <w:szCs w:val="30"/>
          </w:rPr>
          <w:tab/>
        </w:r>
        <w:r>
          <w:rPr>
            <w:rFonts w:ascii="仿宋_GB2312" w:eastAsia="仿宋_GB2312" w:hAnsi="仿宋" w:hint="eastAsia"/>
            <w:sz w:val="30"/>
            <w:szCs w:val="30"/>
          </w:rPr>
          <w:t>2</w:t>
        </w:r>
      </w:hyperlink>
      <w:r>
        <w:rPr>
          <w:rFonts w:ascii="仿宋_GB2312" w:eastAsia="仿宋_GB2312" w:hAnsi="仿宋" w:hint="eastAsia"/>
          <w:sz w:val="30"/>
          <w:szCs w:val="30"/>
        </w:rPr>
        <w:t>8</w:t>
      </w:r>
    </w:p>
    <w:p w14:paraId="588F2A1B"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34" w:history="1">
        <w:r>
          <w:rPr>
            <w:rStyle w:val="ab"/>
            <w:rFonts w:ascii="仿宋_GB2312" w:eastAsia="仿宋_GB2312" w:hAnsi="仿宋" w:hint="eastAsia"/>
            <w:color w:val="auto"/>
            <w:sz w:val="30"/>
            <w:szCs w:val="30"/>
          </w:rPr>
          <w:t>（一）本地区部门决算工作情况总结。</w:t>
        </w:r>
        <w:r>
          <w:rPr>
            <w:rFonts w:ascii="仿宋_GB2312" w:eastAsia="仿宋_GB2312" w:hAnsi="仿宋" w:hint="eastAsia"/>
            <w:sz w:val="30"/>
            <w:szCs w:val="30"/>
          </w:rPr>
          <w:tab/>
        </w:r>
        <w:r>
          <w:rPr>
            <w:rFonts w:ascii="仿宋_GB2312" w:eastAsia="仿宋_GB2312" w:hAnsi="仿宋" w:hint="eastAsia"/>
            <w:sz w:val="30"/>
            <w:szCs w:val="30"/>
          </w:rPr>
          <w:t>2</w:t>
        </w:r>
      </w:hyperlink>
      <w:r>
        <w:rPr>
          <w:rFonts w:ascii="仿宋_GB2312" w:eastAsia="仿宋_GB2312" w:hAnsi="仿宋" w:hint="eastAsia"/>
          <w:sz w:val="30"/>
          <w:szCs w:val="30"/>
        </w:rPr>
        <w:t>9</w:t>
      </w:r>
    </w:p>
    <w:p w14:paraId="074F27E0"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35" w:history="1">
        <w:r>
          <w:rPr>
            <w:rStyle w:val="ab"/>
            <w:rFonts w:ascii="仿宋_GB2312" w:eastAsia="仿宋_GB2312" w:hAnsi="仿宋" w:hint="eastAsia"/>
            <w:color w:val="auto"/>
            <w:sz w:val="30"/>
            <w:szCs w:val="30"/>
          </w:rPr>
          <w:t>（二）本地区部门决算工作下一步计划。</w:t>
        </w:r>
        <w:r>
          <w:rPr>
            <w:rFonts w:ascii="仿宋_GB2312" w:eastAsia="仿宋_GB2312" w:hAnsi="仿宋" w:hint="eastAsia"/>
            <w:sz w:val="30"/>
            <w:szCs w:val="30"/>
          </w:rPr>
          <w:tab/>
        </w:r>
        <w:r>
          <w:rPr>
            <w:rFonts w:ascii="仿宋_GB2312" w:eastAsia="仿宋_GB2312" w:hAnsi="仿宋" w:hint="eastAsia"/>
            <w:sz w:val="30"/>
            <w:szCs w:val="30"/>
          </w:rPr>
          <w:t>2</w:t>
        </w:r>
      </w:hyperlink>
      <w:r>
        <w:rPr>
          <w:rFonts w:ascii="仿宋_GB2312" w:eastAsia="仿宋_GB2312" w:hAnsi="仿宋" w:hint="eastAsia"/>
          <w:sz w:val="30"/>
          <w:szCs w:val="30"/>
        </w:rPr>
        <w:t>9</w:t>
      </w:r>
    </w:p>
    <w:p w14:paraId="02B97C98" w14:textId="77777777" w:rsidR="00000000" w:rsidRDefault="00763D17">
      <w:pPr>
        <w:pStyle w:val="TOC2"/>
        <w:tabs>
          <w:tab w:val="right" w:leader="dot" w:pos="10095"/>
        </w:tabs>
        <w:ind w:left="420"/>
        <w:rPr>
          <w:rFonts w:ascii="仿宋_GB2312" w:eastAsia="仿宋_GB2312" w:hAnsi="仿宋" w:hint="eastAsia"/>
          <w:sz w:val="30"/>
          <w:szCs w:val="30"/>
        </w:rPr>
      </w:pPr>
      <w:hyperlink w:anchor="_Toc62323736" w:history="1">
        <w:r>
          <w:rPr>
            <w:rStyle w:val="ab"/>
            <w:rFonts w:ascii="仿宋_GB2312" w:eastAsia="仿宋_GB2312" w:hAnsi="仿宋" w:hint="eastAsia"/>
            <w:color w:val="auto"/>
            <w:sz w:val="30"/>
            <w:szCs w:val="30"/>
          </w:rPr>
          <w:t>（三）对部门决算管理工作的意见和建议。</w:t>
        </w:r>
        <w:r>
          <w:rPr>
            <w:rFonts w:ascii="仿宋_GB2312" w:eastAsia="仿宋_GB2312" w:hAnsi="仿宋" w:hint="eastAsia"/>
            <w:sz w:val="30"/>
            <w:szCs w:val="30"/>
          </w:rPr>
          <w:tab/>
        </w:r>
        <w:r>
          <w:rPr>
            <w:rFonts w:ascii="仿宋_GB2312" w:eastAsia="仿宋_GB2312" w:hAnsi="仿宋" w:hint="eastAsia"/>
            <w:sz w:val="30"/>
            <w:szCs w:val="30"/>
          </w:rPr>
          <w:t>2</w:t>
        </w:r>
      </w:hyperlink>
      <w:r>
        <w:rPr>
          <w:rFonts w:ascii="仿宋_GB2312" w:eastAsia="仿宋_GB2312" w:hAnsi="仿宋" w:hint="eastAsia"/>
          <w:sz w:val="30"/>
          <w:szCs w:val="30"/>
        </w:rPr>
        <w:t>9</w:t>
      </w:r>
    </w:p>
    <w:p w14:paraId="20ED79E2" w14:textId="77777777" w:rsidR="00000000" w:rsidRDefault="00763D17">
      <w:pPr>
        <w:snapToGrid w:val="0"/>
        <w:rPr>
          <w:rFonts w:ascii="仿宋_GB2312" w:eastAsia="仿宋_GB2312" w:hAnsi="宋体" w:hint="eastAsia"/>
          <w:sz w:val="32"/>
          <w:szCs w:val="32"/>
        </w:rPr>
      </w:pPr>
      <w:r>
        <w:rPr>
          <w:rFonts w:ascii="仿宋_GB2312" w:eastAsia="仿宋_GB2312" w:hAnsi="仿宋" w:hint="eastAsia"/>
          <w:sz w:val="30"/>
          <w:szCs w:val="30"/>
        </w:rPr>
        <w:fldChar w:fldCharType="end"/>
      </w:r>
    </w:p>
    <w:p w14:paraId="5169A274" w14:textId="77777777" w:rsidR="00000000" w:rsidRDefault="00763D17">
      <w:pPr>
        <w:snapToGrid w:val="0"/>
        <w:spacing w:line="580" w:lineRule="exact"/>
        <w:ind w:firstLineChars="200" w:firstLine="640"/>
        <w:rPr>
          <w:rFonts w:ascii="黑体" w:eastAsia="黑体" w:hAnsi="黑体" w:hint="eastAsia"/>
          <w:sz w:val="32"/>
          <w:szCs w:val="32"/>
        </w:rPr>
      </w:pPr>
      <w:bookmarkStart w:id="1" w:name="YS060301"/>
    </w:p>
    <w:p w14:paraId="5C8A1454" w14:textId="77777777" w:rsidR="00000000" w:rsidRDefault="00763D17">
      <w:pPr>
        <w:snapToGrid w:val="0"/>
        <w:spacing w:line="580" w:lineRule="exact"/>
        <w:ind w:firstLineChars="200" w:firstLine="640"/>
        <w:rPr>
          <w:rFonts w:ascii="黑体" w:eastAsia="黑体" w:hAnsi="黑体" w:hint="eastAsia"/>
          <w:sz w:val="32"/>
          <w:szCs w:val="32"/>
        </w:rPr>
      </w:pPr>
    </w:p>
    <w:p w14:paraId="383AD2B4" w14:textId="77777777" w:rsidR="00000000" w:rsidRDefault="00763D17">
      <w:pPr>
        <w:snapToGrid w:val="0"/>
        <w:spacing w:line="580" w:lineRule="exact"/>
        <w:ind w:firstLineChars="200" w:firstLine="640"/>
        <w:rPr>
          <w:rFonts w:ascii="黑体" w:eastAsia="黑体" w:hAnsi="黑体" w:hint="eastAsia"/>
          <w:sz w:val="32"/>
          <w:szCs w:val="32"/>
        </w:rPr>
      </w:pPr>
    </w:p>
    <w:p w14:paraId="43B2045B" w14:textId="77777777" w:rsidR="00000000" w:rsidRDefault="00763D17">
      <w:pPr>
        <w:snapToGrid w:val="0"/>
        <w:spacing w:line="580" w:lineRule="exact"/>
        <w:ind w:firstLineChars="200" w:firstLine="640"/>
        <w:rPr>
          <w:rFonts w:ascii="黑体" w:eastAsia="黑体" w:hAnsi="黑体" w:hint="eastAsia"/>
          <w:sz w:val="32"/>
          <w:szCs w:val="32"/>
        </w:rPr>
      </w:pPr>
    </w:p>
    <w:p w14:paraId="1F5DDD0B" w14:textId="77777777" w:rsidR="00000000" w:rsidRDefault="00763D17">
      <w:pPr>
        <w:snapToGrid w:val="0"/>
        <w:spacing w:line="580" w:lineRule="exact"/>
        <w:ind w:firstLineChars="200" w:firstLine="640"/>
        <w:rPr>
          <w:rFonts w:ascii="黑体" w:eastAsia="黑体" w:hAnsi="黑体" w:hint="eastAsia"/>
          <w:sz w:val="32"/>
          <w:szCs w:val="32"/>
        </w:rPr>
      </w:pPr>
    </w:p>
    <w:p w14:paraId="6EF5BB7F" w14:textId="77777777" w:rsidR="00000000" w:rsidRDefault="00763D17">
      <w:pPr>
        <w:snapToGrid w:val="0"/>
        <w:spacing w:line="580" w:lineRule="exact"/>
        <w:ind w:firstLineChars="200" w:firstLine="640"/>
        <w:rPr>
          <w:rFonts w:ascii="黑体" w:eastAsia="黑体" w:hAnsi="黑体" w:hint="eastAsia"/>
          <w:sz w:val="32"/>
          <w:szCs w:val="32"/>
        </w:rPr>
        <w:sectPr w:rsidR="00000000">
          <w:footerReference w:type="default" r:id="rId7"/>
          <w:pgSz w:w="23757" w:h="16783" w:orient="landscape"/>
          <w:pgMar w:top="1800" w:right="1440" w:bottom="1800" w:left="1440" w:header="851" w:footer="992" w:gutter="0"/>
          <w:pgNumType w:start="1"/>
          <w:cols w:num="2" w:space="425" w:equalWidth="0">
            <w:col w:w="10226" w:space="425"/>
            <w:col w:w="10226"/>
          </w:cols>
          <w:docGrid w:type="lines" w:linePitch="312"/>
        </w:sectPr>
      </w:pPr>
    </w:p>
    <w:p w14:paraId="6426E26F" w14:textId="77777777" w:rsidR="00000000" w:rsidRDefault="00763D17">
      <w:pPr>
        <w:snapToGrid w:val="0"/>
        <w:spacing w:line="580" w:lineRule="exact"/>
        <w:ind w:firstLineChars="200" w:firstLine="640"/>
        <w:rPr>
          <w:rFonts w:ascii="黑体" w:eastAsia="黑体" w:hAnsi="黑体" w:hint="eastAsia"/>
          <w:sz w:val="32"/>
          <w:szCs w:val="32"/>
        </w:rPr>
      </w:pPr>
      <w:r>
        <w:rPr>
          <w:rFonts w:ascii="黑体" w:eastAsia="黑体" w:hAnsi="黑体" w:hint="eastAsia"/>
          <w:sz w:val="32"/>
          <w:szCs w:val="32"/>
        </w:rPr>
        <w:lastRenderedPageBreak/>
        <w:t>一、经济社会发展情况分析</w:t>
      </w:r>
    </w:p>
    <w:bookmarkEnd w:id="1"/>
    <w:p w14:paraId="42C99A5C"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w:t>
      </w:r>
      <w:r>
        <w:rPr>
          <w:rFonts w:ascii="楷体_GB2312" w:eastAsia="楷体_GB2312" w:hAnsi="仿宋" w:hint="eastAsia"/>
          <w:b/>
          <w:sz w:val="32"/>
          <w:szCs w:val="32"/>
        </w:rPr>
        <w:t>一）经济发展情况。</w:t>
      </w:r>
    </w:p>
    <w:p w14:paraId="4B3393B0" w14:textId="77777777" w:rsidR="00000000" w:rsidRDefault="00763D17">
      <w:pPr>
        <w:ind w:firstLineChars="200" w:firstLine="640"/>
        <w:rPr>
          <w:rFonts w:eastAsia="仿宋_GB2312"/>
          <w:sz w:val="32"/>
          <w:szCs w:val="32"/>
        </w:rPr>
      </w:pPr>
      <w:r>
        <w:rPr>
          <w:rFonts w:eastAsia="仿宋_GB2312"/>
          <w:sz w:val="32"/>
          <w:szCs w:val="32"/>
        </w:rPr>
        <w:t>2023</w:t>
      </w:r>
      <w:r>
        <w:rPr>
          <w:rFonts w:eastAsia="仿宋_GB2312"/>
          <w:sz w:val="32"/>
          <w:szCs w:val="32"/>
        </w:rPr>
        <w:t>年，在兵团党委的坚强领导下，师市上下坚持以习近平新时代中国特色社会主义思想为指导，高标准高质量开展习近平新时代中国特色社会主义思想主题教育，全面贯彻党的二十大精神，完整准确全面贯彻新时代党的治疆方略和党中央对兵团定位要求，坚持稳中求进工作总基调，完整准确全面贯彻新发展理念，主动服务和融入新发展格局，统筹发展和安全，加快推动经济高质量发展，师市经济运行总体平稳，经济实力进一步增强，农业生产再创佳绩，工业生产稳中有进，固定资产投资较快增长，就业形势保持稳定，人民生活持续改善，发展质量</w:t>
      </w:r>
      <w:r>
        <w:rPr>
          <w:rFonts w:eastAsia="仿宋_GB2312"/>
          <w:sz w:val="32"/>
          <w:szCs w:val="32"/>
        </w:rPr>
        <w:t>稳步提升。</w:t>
      </w:r>
    </w:p>
    <w:p w14:paraId="14B59FBB" w14:textId="77777777" w:rsidR="00000000" w:rsidRDefault="00763D17">
      <w:pPr>
        <w:snapToGrid w:val="0"/>
        <w:spacing w:line="580" w:lineRule="exact"/>
        <w:ind w:firstLineChars="200" w:firstLine="643"/>
        <w:rPr>
          <w:rFonts w:eastAsia="仿宋_GB2312" w:hAnsi="仿宋_GB2312"/>
          <w:sz w:val="32"/>
          <w:szCs w:val="32"/>
        </w:rPr>
      </w:pPr>
      <w:r>
        <w:rPr>
          <w:rFonts w:eastAsia="楷体_GB2312" w:hint="eastAsia"/>
          <w:b/>
          <w:sz w:val="32"/>
          <w:szCs w:val="32"/>
        </w:rPr>
        <w:t>1.</w:t>
      </w:r>
      <w:r>
        <w:rPr>
          <w:rFonts w:eastAsia="楷体_GB2312"/>
          <w:b/>
          <w:sz w:val="32"/>
          <w:szCs w:val="32"/>
        </w:rPr>
        <w:t>经济平稳健康发展。</w:t>
      </w:r>
      <w:r>
        <w:rPr>
          <w:rFonts w:eastAsia="仿宋_GB2312"/>
          <w:sz w:val="32"/>
          <w:szCs w:val="32"/>
        </w:rPr>
        <w:t>2023</w:t>
      </w:r>
      <w:r>
        <w:rPr>
          <w:rFonts w:eastAsia="仿宋_GB2312" w:hAnsi="仿宋_GB2312"/>
          <w:sz w:val="32"/>
          <w:szCs w:val="32"/>
        </w:rPr>
        <w:t>年预计实现生产总值</w:t>
      </w:r>
      <w:r>
        <w:rPr>
          <w:rFonts w:eastAsia="仿宋_GB2312"/>
          <w:sz w:val="32"/>
          <w:szCs w:val="32"/>
        </w:rPr>
        <w:t>7</w:t>
      </w:r>
      <w:r>
        <w:rPr>
          <w:rFonts w:eastAsia="仿宋_GB2312" w:hint="eastAsia"/>
          <w:sz w:val="32"/>
          <w:szCs w:val="32"/>
        </w:rPr>
        <w:t>4.2</w:t>
      </w:r>
      <w:r>
        <w:rPr>
          <w:rFonts w:eastAsia="仿宋_GB2312" w:hAnsi="仿宋_GB2312"/>
          <w:sz w:val="32"/>
          <w:szCs w:val="32"/>
        </w:rPr>
        <w:t>亿元，同比增长</w:t>
      </w:r>
      <w:r>
        <w:rPr>
          <w:rFonts w:eastAsia="仿宋_GB2312"/>
          <w:sz w:val="32"/>
          <w:szCs w:val="32"/>
        </w:rPr>
        <w:t>8%</w:t>
      </w:r>
      <w:r>
        <w:rPr>
          <w:rFonts w:eastAsia="仿宋_GB2312" w:hAnsi="仿宋_GB2312" w:hint="eastAsia"/>
          <w:sz w:val="32"/>
          <w:szCs w:val="32"/>
        </w:rPr>
        <w:t>；</w:t>
      </w:r>
      <w:r>
        <w:rPr>
          <w:rFonts w:eastAsia="仿宋_GB2312" w:hAnsi="仿宋_GB2312"/>
          <w:sz w:val="32"/>
          <w:szCs w:val="32"/>
        </w:rPr>
        <w:t>完成固定资产投资</w:t>
      </w:r>
      <w:r>
        <w:rPr>
          <w:rFonts w:eastAsia="仿宋_GB2312"/>
          <w:sz w:val="32"/>
          <w:szCs w:val="32"/>
        </w:rPr>
        <w:t>4</w:t>
      </w:r>
      <w:r>
        <w:rPr>
          <w:rFonts w:eastAsia="仿宋_GB2312" w:hint="eastAsia"/>
          <w:sz w:val="32"/>
          <w:szCs w:val="32"/>
        </w:rPr>
        <w:t>1.2</w:t>
      </w:r>
      <w:r>
        <w:rPr>
          <w:rFonts w:eastAsia="仿宋_GB2312" w:hAnsi="仿宋_GB2312"/>
          <w:sz w:val="32"/>
          <w:szCs w:val="32"/>
        </w:rPr>
        <w:t>亿元，同比增长</w:t>
      </w:r>
      <w:r>
        <w:rPr>
          <w:rFonts w:eastAsia="仿宋_GB2312" w:hint="eastAsia"/>
          <w:sz w:val="32"/>
          <w:szCs w:val="32"/>
        </w:rPr>
        <w:t>18</w:t>
      </w:r>
      <w:r>
        <w:rPr>
          <w:rFonts w:eastAsia="仿宋_GB2312"/>
          <w:sz w:val="32"/>
          <w:szCs w:val="32"/>
        </w:rPr>
        <w:t>%</w:t>
      </w:r>
      <w:r>
        <w:rPr>
          <w:rFonts w:eastAsia="仿宋_GB2312" w:hAnsi="仿宋_GB2312"/>
          <w:sz w:val="32"/>
          <w:szCs w:val="32"/>
        </w:rPr>
        <w:t>；规上工业增加值</w:t>
      </w:r>
      <w:r>
        <w:rPr>
          <w:rFonts w:eastAsia="仿宋_GB2312" w:hint="eastAsia"/>
          <w:sz w:val="32"/>
          <w:szCs w:val="32"/>
        </w:rPr>
        <w:t>3.25</w:t>
      </w:r>
      <w:r>
        <w:rPr>
          <w:rFonts w:eastAsia="仿宋_GB2312" w:hAnsi="仿宋_GB2312"/>
          <w:sz w:val="32"/>
          <w:szCs w:val="32"/>
        </w:rPr>
        <w:t>亿元，同比增长</w:t>
      </w:r>
      <w:r>
        <w:rPr>
          <w:rFonts w:eastAsia="仿宋_GB2312"/>
          <w:sz w:val="32"/>
          <w:szCs w:val="32"/>
        </w:rPr>
        <w:t>20%</w:t>
      </w:r>
      <w:r>
        <w:rPr>
          <w:rFonts w:eastAsia="仿宋_GB2312" w:hAnsi="仿宋_GB2312"/>
          <w:sz w:val="32"/>
          <w:szCs w:val="32"/>
        </w:rPr>
        <w:t>；社会消费品零售总额</w:t>
      </w:r>
      <w:r>
        <w:rPr>
          <w:rFonts w:eastAsia="仿宋_GB2312"/>
          <w:sz w:val="32"/>
          <w:szCs w:val="32"/>
        </w:rPr>
        <w:t>20.6</w:t>
      </w:r>
      <w:r>
        <w:rPr>
          <w:rFonts w:eastAsia="仿宋_GB2312" w:hAnsi="仿宋_GB2312"/>
          <w:sz w:val="32"/>
          <w:szCs w:val="32"/>
        </w:rPr>
        <w:t>亿元，同比增长</w:t>
      </w:r>
      <w:r>
        <w:rPr>
          <w:rFonts w:eastAsia="仿宋_GB2312"/>
          <w:sz w:val="32"/>
          <w:szCs w:val="32"/>
        </w:rPr>
        <w:t>13%</w:t>
      </w:r>
      <w:r>
        <w:rPr>
          <w:rFonts w:eastAsia="仿宋_GB2312" w:hAnsi="仿宋_GB2312"/>
          <w:sz w:val="32"/>
          <w:szCs w:val="32"/>
        </w:rPr>
        <w:t>；一般公共预算收入</w:t>
      </w:r>
      <w:r>
        <w:rPr>
          <w:rFonts w:eastAsia="仿宋_GB2312"/>
          <w:sz w:val="32"/>
          <w:szCs w:val="32"/>
        </w:rPr>
        <w:t>3.1</w:t>
      </w:r>
      <w:r>
        <w:rPr>
          <w:rFonts w:eastAsia="仿宋_GB2312" w:hint="eastAsia"/>
          <w:sz w:val="32"/>
          <w:szCs w:val="32"/>
        </w:rPr>
        <w:t>2</w:t>
      </w:r>
      <w:r>
        <w:rPr>
          <w:rFonts w:eastAsia="仿宋_GB2312" w:hAnsi="仿宋_GB2312"/>
          <w:sz w:val="32"/>
          <w:szCs w:val="32"/>
        </w:rPr>
        <w:t>亿元，同比增长</w:t>
      </w:r>
      <w:r>
        <w:rPr>
          <w:rFonts w:eastAsia="仿宋_GB2312" w:hint="eastAsia"/>
          <w:sz w:val="32"/>
          <w:szCs w:val="32"/>
        </w:rPr>
        <w:t>28.72</w:t>
      </w:r>
      <w:r>
        <w:rPr>
          <w:rFonts w:eastAsia="仿宋_GB2312"/>
          <w:sz w:val="32"/>
          <w:szCs w:val="32"/>
        </w:rPr>
        <w:t>%</w:t>
      </w:r>
      <w:r>
        <w:rPr>
          <w:rFonts w:eastAsia="仿宋_GB2312" w:hAnsi="仿宋_GB2312"/>
          <w:sz w:val="32"/>
          <w:szCs w:val="32"/>
        </w:rPr>
        <w:t>；居民人均可支配收入</w:t>
      </w:r>
      <w:r>
        <w:rPr>
          <w:rFonts w:eastAsia="仿宋_GB2312" w:hint="eastAsia"/>
          <w:sz w:val="32"/>
          <w:szCs w:val="32"/>
        </w:rPr>
        <w:t>3.66</w:t>
      </w:r>
      <w:r>
        <w:rPr>
          <w:rFonts w:eastAsia="仿宋_GB2312" w:hint="eastAsia"/>
          <w:sz w:val="32"/>
          <w:szCs w:val="32"/>
        </w:rPr>
        <w:t>万</w:t>
      </w:r>
      <w:r>
        <w:rPr>
          <w:rFonts w:eastAsia="仿宋_GB2312" w:hAnsi="仿宋_GB2312"/>
          <w:sz w:val="32"/>
          <w:szCs w:val="32"/>
        </w:rPr>
        <w:t>元，</w:t>
      </w:r>
      <w:r>
        <w:rPr>
          <w:rFonts w:eastAsia="仿宋_GB2312" w:hAnsi="仿宋_GB2312" w:hint="eastAsia"/>
          <w:sz w:val="32"/>
          <w:szCs w:val="32"/>
        </w:rPr>
        <w:t>城乡</w:t>
      </w:r>
      <w:r>
        <w:rPr>
          <w:rFonts w:eastAsia="仿宋_GB2312" w:hAnsi="仿宋_GB2312"/>
          <w:sz w:val="32"/>
          <w:szCs w:val="32"/>
        </w:rPr>
        <w:t>差距进一步缩小；城镇登记失业率控制在</w:t>
      </w:r>
      <w:r>
        <w:rPr>
          <w:rFonts w:eastAsia="仿宋_GB2312"/>
          <w:sz w:val="32"/>
          <w:szCs w:val="32"/>
        </w:rPr>
        <w:t>4%</w:t>
      </w:r>
      <w:r>
        <w:rPr>
          <w:rFonts w:eastAsia="仿宋_GB2312" w:hAnsi="仿宋_GB2312"/>
          <w:sz w:val="32"/>
          <w:szCs w:val="32"/>
        </w:rPr>
        <w:t>以内。</w:t>
      </w:r>
    </w:p>
    <w:p w14:paraId="16BD85C7" w14:textId="77777777" w:rsidR="00000000" w:rsidRDefault="00763D17">
      <w:pPr>
        <w:ind w:firstLineChars="200" w:firstLine="643"/>
        <w:rPr>
          <w:rFonts w:eastAsia="仿宋_GB2312"/>
          <w:sz w:val="32"/>
          <w:szCs w:val="32"/>
        </w:rPr>
      </w:pPr>
      <w:r>
        <w:rPr>
          <w:rFonts w:eastAsia="楷体_GB2312" w:hint="eastAsia"/>
          <w:b/>
          <w:sz w:val="32"/>
          <w:szCs w:val="32"/>
        </w:rPr>
        <w:t>2.</w:t>
      </w:r>
      <w:r>
        <w:rPr>
          <w:rFonts w:eastAsia="楷体_GB2312"/>
          <w:b/>
          <w:sz w:val="32"/>
          <w:szCs w:val="32"/>
        </w:rPr>
        <w:t>产业发展不断向好。</w:t>
      </w:r>
      <w:r>
        <w:rPr>
          <w:rFonts w:eastAsia="仿宋_GB2312"/>
          <w:b/>
          <w:sz w:val="32"/>
          <w:szCs w:val="32"/>
        </w:rPr>
        <w:t>一是</w:t>
      </w:r>
      <w:r>
        <w:rPr>
          <w:rFonts w:eastAsia="仿宋_GB2312"/>
          <w:sz w:val="32"/>
        </w:rPr>
        <w:t>优化提升第一产业。</w:t>
      </w:r>
      <w:r>
        <w:rPr>
          <w:rFonts w:eastAsia="仿宋_GB2312"/>
          <w:b/>
          <w:sz w:val="32"/>
        </w:rPr>
        <w:t>突出抓好种植业生产。</w:t>
      </w:r>
      <w:r>
        <w:rPr>
          <w:rFonts w:eastAsia="仿宋_GB2312"/>
          <w:sz w:val="32"/>
        </w:rPr>
        <w:t>坚决守住粮食安全，</w:t>
      </w:r>
      <w:r>
        <w:rPr>
          <w:rFonts w:eastAsia="仿宋_GB2312"/>
          <w:sz w:val="32"/>
          <w:shd w:val="clear" w:color="auto" w:fill="FFFFFF"/>
        </w:rPr>
        <w:t>粮食作物播种面积</w:t>
      </w:r>
      <w:r>
        <w:rPr>
          <w:rFonts w:eastAsia="仿宋_GB2312"/>
          <w:sz w:val="32"/>
          <w:shd w:val="clear" w:color="auto" w:fill="FFFFFF"/>
        </w:rPr>
        <w:t>7</w:t>
      </w:r>
      <w:r>
        <w:rPr>
          <w:rFonts w:eastAsia="仿宋_GB2312" w:hint="eastAsia"/>
          <w:sz w:val="32"/>
          <w:shd w:val="clear" w:color="auto" w:fill="FFFFFF"/>
        </w:rPr>
        <w:t>4.24</w:t>
      </w:r>
      <w:r>
        <w:rPr>
          <w:rFonts w:eastAsia="仿宋_GB2312"/>
          <w:sz w:val="32"/>
          <w:shd w:val="clear" w:color="auto" w:fill="FFFFFF"/>
        </w:rPr>
        <w:t>万亩，</w:t>
      </w:r>
      <w:r>
        <w:rPr>
          <w:rFonts w:eastAsia="仿宋_GB2312"/>
          <w:sz w:val="32"/>
        </w:rPr>
        <w:t>完成下达目标任务的</w:t>
      </w:r>
      <w:r>
        <w:rPr>
          <w:rFonts w:eastAsia="仿宋_GB2312"/>
          <w:sz w:val="32"/>
        </w:rPr>
        <w:t>10</w:t>
      </w:r>
      <w:r>
        <w:rPr>
          <w:rFonts w:eastAsia="仿宋_GB2312" w:hint="eastAsia"/>
          <w:sz w:val="32"/>
        </w:rPr>
        <w:t>0.3</w:t>
      </w:r>
      <w:r>
        <w:rPr>
          <w:rFonts w:eastAsia="仿宋_GB2312"/>
          <w:sz w:val="32"/>
        </w:rPr>
        <w:t>%</w:t>
      </w:r>
      <w:r>
        <w:rPr>
          <w:rFonts w:eastAsia="仿宋_GB2312"/>
          <w:sz w:val="32"/>
        </w:rPr>
        <w:t>，团结</w:t>
      </w:r>
      <w:r>
        <w:rPr>
          <w:rFonts w:eastAsia="仿宋_GB2312"/>
          <w:sz w:val="32"/>
        </w:rPr>
        <w:t>农场</w:t>
      </w:r>
      <w:r>
        <w:rPr>
          <w:rFonts w:eastAsia="仿宋_GB2312"/>
          <w:sz w:val="32"/>
        </w:rPr>
        <w:t>“</w:t>
      </w:r>
      <w:r>
        <w:rPr>
          <w:rFonts w:eastAsia="仿宋_GB2312"/>
          <w:sz w:val="32"/>
        </w:rPr>
        <w:t>干播湿出</w:t>
      </w:r>
      <w:r>
        <w:rPr>
          <w:rFonts w:eastAsia="仿宋_GB2312"/>
          <w:sz w:val="32"/>
        </w:rPr>
        <w:t>”</w:t>
      </w:r>
      <w:r>
        <w:rPr>
          <w:rFonts w:eastAsia="仿宋_GB2312"/>
          <w:sz w:val="32"/>
        </w:rPr>
        <w:t>矮密早关键技术冬小麦高产示范田亩产达</w:t>
      </w:r>
      <w:r>
        <w:rPr>
          <w:rFonts w:eastAsia="仿宋_GB2312"/>
          <w:sz w:val="32"/>
        </w:rPr>
        <w:t>783.5</w:t>
      </w:r>
      <w:r>
        <w:rPr>
          <w:rFonts w:eastAsia="仿宋_GB2312"/>
          <w:sz w:val="32"/>
        </w:rPr>
        <w:t>公斤，打破了</w:t>
      </w:r>
      <w:r>
        <w:rPr>
          <w:rFonts w:eastAsia="仿宋_GB2312"/>
          <w:sz w:val="32"/>
        </w:rPr>
        <w:t>2022</w:t>
      </w:r>
      <w:r>
        <w:rPr>
          <w:rFonts w:eastAsia="仿宋_GB2312"/>
          <w:sz w:val="32"/>
        </w:rPr>
        <w:t>年小麦单产</w:t>
      </w:r>
      <w:r>
        <w:rPr>
          <w:rFonts w:eastAsia="仿宋_GB2312"/>
          <w:sz w:val="32"/>
        </w:rPr>
        <w:t>742</w:t>
      </w:r>
      <w:r>
        <w:rPr>
          <w:rFonts w:eastAsia="仿宋_GB2312"/>
          <w:sz w:val="32"/>
        </w:rPr>
        <w:t>公斤纪录，再创小麦高产佳绩。</w:t>
      </w:r>
      <w:r>
        <w:rPr>
          <w:rFonts w:eastAsia="仿宋_GB2312" w:hAnsi="仿宋_GB2312"/>
          <w:sz w:val="32"/>
        </w:rPr>
        <w:t>新建和改造提升高标准农田</w:t>
      </w:r>
      <w:r>
        <w:rPr>
          <w:rFonts w:eastAsia="仿宋_GB2312"/>
          <w:sz w:val="32"/>
        </w:rPr>
        <w:t>5.77</w:t>
      </w:r>
      <w:r>
        <w:rPr>
          <w:rFonts w:eastAsia="仿宋_GB2312" w:hAnsi="仿宋_GB2312"/>
          <w:sz w:val="32"/>
        </w:rPr>
        <w:t>万亩，总投资</w:t>
      </w:r>
      <w:r>
        <w:rPr>
          <w:rFonts w:eastAsia="仿宋_GB2312"/>
          <w:sz w:val="32"/>
        </w:rPr>
        <w:t>9503</w:t>
      </w:r>
      <w:r>
        <w:rPr>
          <w:rFonts w:eastAsia="仿宋_GB2312" w:hAnsi="仿宋_GB2312"/>
          <w:sz w:val="32"/>
        </w:rPr>
        <w:t>万元。</w:t>
      </w:r>
      <w:r>
        <w:rPr>
          <w:rFonts w:eastAsia="仿宋_GB2312"/>
          <w:b/>
          <w:sz w:val="32"/>
        </w:rPr>
        <w:t>突出抓好畜牧业发展。</w:t>
      </w:r>
      <w:r>
        <w:rPr>
          <w:rFonts w:eastAsia="仿宋_GB2312"/>
          <w:sz w:val="32"/>
        </w:rPr>
        <w:t>有序稳步推进草原畜牧业转型升级试点项目和畜禽粪污资源化利</w:t>
      </w:r>
      <w:r>
        <w:rPr>
          <w:rFonts w:eastAsia="仿宋_GB2312"/>
          <w:sz w:val="32"/>
        </w:rPr>
        <w:t>用整县推进项目的建设，投入资金</w:t>
      </w:r>
      <w:r>
        <w:rPr>
          <w:rFonts w:eastAsia="仿宋_GB2312"/>
          <w:sz w:val="32"/>
        </w:rPr>
        <w:t>2.5</w:t>
      </w:r>
      <w:r>
        <w:rPr>
          <w:rFonts w:eastAsia="仿宋_GB2312"/>
          <w:sz w:val="32"/>
        </w:rPr>
        <w:t>亿元，其中撬动社会资本</w:t>
      </w:r>
      <w:r>
        <w:rPr>
          <w:rFonts w:eastAsia="仿宋_GB2312"/>
          <w:sz w:val="32"/>
        </w:rPr>
        <w:t>1.4</w:t>
      </w:r>
      <w:r>
        <w:rPr>
          <w:rFonts w:eastAsia="仿宋_GB2312"/>
          <w:sz w:val="32"/>
        </w:rPr>
        <w:t>亿元。</w:t>
      </w:r>
      <w:r>
        <w:rPr>
          <w:rFonts w:eastAsia="仿宋_GB2312"/>
          <w:b/>
          <w:sz w:val="32"/>
        </w:rPr>
        <w:t>突出抓好特色产业发展。</w:t>
      </w:r>
      <w:r>
        <w:rPr>
          <w:rFonts w:eastAsia="仿宋_GB2312"/>
          <w:sz w:val="32"/>
        </w:rPr>
        <w:t>成功获批</w:t>
      </w:r>
      <w:r>
        <w:rPr>
          <w:rFonts w:eastAsia="仿宋_GB2312"/>
          <w:sz w:val="32"/>
        </w:rPr>
        <w:t>170</w:t>
      </w:r>
      <w:r>
        <w:rPr>
          <w:rFonts w:eastAsia="仿宋_GB2312"/>
          <w:sz w:val="32"/>
        </w:rPr>
        <w:t>团国家级（沙棘）产业强镇，兵团级现代农业（种业）产业园。落实制种玉米面积</w:t>
      </w:r>
      <w:r>
        <w:rPr>
          <w:rFonts w:eastAsia="仿宋_GB2312"/>
          <w:sz w:val="32"/>
        </w:rPr>
        <w:t>14.</w:t>
      </w:r>
      <w:r>
        <w:rPr>
          <w:rFonts w:eastAsia="仿宋_GB2312" w:hint="eastAsia"/>
          <w:sz w:val="32"/>
        </w:rPr>
        <w:t>12</w:t>
      </w:r>
      <w:r>
        <w:rPr>
          <w:rFonts w:eastAsia="仿宋_GB2312"/>
          <w:sz w:val="32"/>
        </w:rPr>
        <w:t>万亩（其中地方</w:t>
      </w:r>
      <w:r>
        <w:rPr>
          <w:rFonts w:eastAsia="仿宋_GB2312"/>
          <w:sz w:val="32"/>
        </w:rPr>
        <w:t>2.66</w:t>
      </w:r>
      <w:r>
        <w:rPr>
          <w:rFonts w:eastAsia="仿宋_GB2312"/>
          <w:sz w:val="32"/>
        </w:rPr>
        <w:t>万亩），实现产值近</w:t>
      </w:r>
      <w:r>
        <w:rPr>
          <w:rFonts w:eastAsia="仿宋_GB2312"/>
          <w:sz w:val="32"/>
        </w:rPr>
        <w:t>4</w:t>
      </w:r>
      <w:r>
        <w:rPr>
          <w:rFonts w:eastAsia="仿宋_GB2312"/>
          <w:sz w:val="32"/>
        </w:rPr>
        <w:t>亿元。新</w:t>
      </w:r>
      <w:r>
        <w:rPr>
          <w:rFonts w:eastAsia="仿宋_GB2312" w:hint="eastAsia"/>
          <w:sz w:val="32"/>
        </w:rPr>
        <w:t>增</w:t>
      </w:r>
      <w:r>
        <w:rPr>
          <w:rFonts w:eastAsia="仿宋_GB2312"/>
          <w:sz w:val="32"/>
        </w:rPr>
        <w:t>沙棘面积</w:t>
      </w:r>
      <w:r>
        <w:rPr>
          <w:rFonts w:eastAsia="仿宋_GB2312"/>
          <w:sz w:val="32"/>
        </w:rPr>
        <w:t>2.</w:t>
      </w:r>
      <w:r>
        <w:rPr>
          <w:rFonts w:eastAsia="仿宋_GB2312"/>
          <w:sz w:val="32"/>
        </w:rPr>
        <w:t>7</w:t>
      </w:r>
      <w:r>
        <w:rPr>
          <w:rFonts w:eastAsia="仿宋_GB2312"/>
          <w:sz w:val="32"/>
        </w:rPr>
        <w:t>万亩，沙棘苗圃</w:t>
      </w:r>
      <w:r>
        <w:rPr>
          <w:rFonts w:eastAsia="仿宋_GB2312"/>
          <w:sz w:val="32"/>
        </w:rPr>
        <w:t>300</w:t>
      </w:r>
      <w:r>
        <w:rPr>
          <w:rFonts w:eastAsia="仿宋_GB2312"/>
          <w:sz w:val="32"/>
        </w:rPr>
        <w:t>亩，实现产值</w:t>
      </w:r>
      <w:r>
        <w:rPr>
          <w:rFonts w:eastAsia="仿宋_GB2312"/>
          <w:sz w:val="32"/>
        </w:rPr>
        <w:t>1</w:t>
      </w:r>
      <w:r>
        <w:rPr>
          <w:rFonts w:eastAsia="仿宋_GB2312"/>
          <w:sz w:val="32"/>
        </w:rPr>
        <w:t>亿元，同比增长</w:t>
      </w:r>
      <w:r>
        <w:rPr>
          <w:rFonts w:eastAsia="仿宋_GB2312"/>
          <w:sz w:val="32"/>
        </w:rPr>
        <w:t>42.8%</w:t>
      </w:r>
      <w:r>
        <w:rPr>
          <w:rFonts w:eastAsia="仿宋_GB2312"/>
          <w:sz w:val="32"/>
        </w:rPr>
        <w:t>。</w:t>
      </w:r>
      <w:r>
        <w:rPr>
          <w:rFonts w:eastAsia="仿宋_GB2312"/>
          <w:sz w:val="32"/>
        </w:rPr>
        <w:t>2023</w:t>
      </w:r>
      <w:r>
        <w:rPr>
          <w:rFonts w:eastAsia="仿宋_GB2312"/>
          <w:sz w:val="32"/>
        </w:rPr>
        <w:t>年定植各类设施作物</w:t>
      </w:r>
      <w:r>
        <w:rPr>
          <w:rFonts w:eastAsia="仿宋_GB2312"/>
          <w:sz w:val="32"/>
        </w:rPr>
        <w:t>7100</w:t>
      </w:r>
      <w:r>
        <w:rPr>
          <w:rFonts w:eastAsia="仿宋_GB2312"/>
          <w:sz w:val="32"/>
        </w:rPr>
        <w:t>座，生产果蔬</w:t>
      </w:r>
      <w:r>
        <w:rPr>
          <w:rFonts w:eastAsia="仿宋_GB2312"/>
          <w:sz w:val="32"/>
        </w:rPr>
        <w:t>8.1</w:t>
      </w:r>
      <w:r>
        <w:rPr>
          <w:rFonts w:eastAsia="仿宋_GB2312"/>
          <w:sz w:val="32"/>
        </w:rPr>
        <w:t>万吨，实现产值</w:t>
      </w:r>
      <w:r>
        <w:rPr>
          <w:rFonts w:eastAsia="仿宋_GB2312"/>
          <w:sz w:val="32"/>
        </w:rPr>
        <w:t>3</w:t>
      </w:r>
      <w:r>
        <w:rPr>
          <w:rFonts w:eastAsia="仿宋_GB2312"/>
          <w:sz w:val="32"/>
        </w:rPr>
        <w:t>亿元，同比增长</w:t>
      </w:r>
      <w:r>
        <w:rPr>
          <w:rFonts w:eastAsia="仿宋_GB2312"/>
          <w:sz w:val="32"/>
        </w:rPr>
        <w:t>6.7%</w:t>
      </w:r>
      <w:r>
        <w:rPr>
          <w:rFonts w:eastAsia="仿宋_GB2312"/>
          <w:sz w:val="32"/>
        </w:rPr>
        <w:t>。新增</w:t>
      </w:r>
      <w:r>
        <w:rPr>
          <w:rFonts w:eastAsia="仿宋_GB2312"/>
          <w:sz w:val="32"/>
        </w:rPr>
        <w:t>2</w:t>
      </w:r>
      <w:r>
        <w:rPr>
          <w:rFonts w:eastAsia="仿宋_GB2312"/>
          <w:sz w:val="32"/>
        </w:rPr>
        <w:t>家兵团级农业产业化龙头企业，培育</w:t>
      </w:r>
      <w:r>
        <w:rPr>
          <w:rFonts w:eastAsia="仿宋_GB2312"/>
          <w:sz w:val="32"/>
        </w:rPr>
        <w:t>25</w:t>
      </w:r>
      <w:r>
        <w:rPr>
          <w:rFonts w:eastAsia="仿宋_GB2312"/>
          <w:sz w:val="32"/>
        </w:rPr>
        <w:t>家产加销合作社。力争实现农产品加工产值与农业总产值比达到</w:t>
      </w:r>
      <w:r>
        <w:rPr>
          <w:rFonts w:eastAsia="仿宋_GB2312"/>
          <w:sz w:val="32"/>
        </w:rPr>
        <w:t>1.6</w:t>
      </w:r>
      <w:r>
        <w:rPr>
          <w:rFonts w:eastAsia="仿宋_GB2312"/>
          <w:sz w:val="32"/>
        </w:rPr>
        <w:t>：</w:t>
      </w:r>
      <w:r>
        <w:rPr>
          <w:rFonts w:eastAsia="仿宋_GB2312"/>
          <w:sz w:val="32"/>
        </w:rPr>
        <w:t>1</w:t>
      </w:r>
      <w:r>
        <w:rPr>
          <w:rFonts w:eastAsia="仿宋_GB2312"/>
          <w:sz w:val="32"/>
        </w:rPr>
        <w:t>。推动实施农业农村领域</w:t>
      </w:r>
      <w:r>
        <w:rPr>
          <w:rFonts w:eastAsia="仿宋_GB2312"/>
          <w:sz w:val="32"/>
        </w:rPr>
        <w:t>“</w:t>
      </w:r>
      <w:r>
        <w:rPr>
          <w:rFonts w:eastAsia="仿宋_GB2312"/>
          <w:sz w:val="32"/>
        </w:rPr>
        <w:t>双百工程</w:t>
      </w:r>
      <w:r>
        <w:rPr>
          <w:rFonts w:eastAsia="仿宋_GB2312"/>
          <w:sz w:val="32"/>
        </w:rPr>
        <w:t>”</w:t>
      </w:r>
      <w:r>
        <w:rPr>
          <w:rFonts w:eastAsia="仿宋_GB2312"/>
          <w:sz w:val="32"/>
        </w:rPr>
        <w:t>项目</w:t>
      </w:r>
      <w:r>
        <w:rPr>
          <w:rFonts w:eastAsia="仿宋_GB2312"/>
          <w:sz w:val="32"/>
        </w:rPr>
        <w:t>31</w:t>
      </w:r>
      <w:r>
        <w:rPr>
          <w:rFonts w:eastAsia="仿宋_GB2312"/>
          <w:sz w:val="32"/>
        </w:rPr>
        <w:t>个，完成投资</w:t>
      </w:r>
      <w:r>
        <w:rPr>
          <w:rFonts w:eastAsia="仿宋_GB2312"/>
          <w:sz w:val="32"/>
        </w:rPr>
        <w:t>4.72</w:t>
      </w:r>
      <w:r>
        <w:rPr>
          <w:rFonts w:eastAsia="仿宋_GB2312"/>
          <w:sz w:val="32"/>
        </w:rPr>
        <w:t>亿元。</w:t>
      </w:r>
      <w:r>
        <w:rPr>
          <w:rFonts w:eastAsia="仿宋_GB2312"/>
          <w:b/>
          <w:sz w:val="32"/>
          <w:szCs w:val="32"/>
        </w:rPr>
        <w:t>二是</w:t>
      </w:r>
      <w:r>
        <w:rPr>
          <w:rFonts w:eastAsia="仿宋_GB2312"/>
          <w:sz w:val="32"/>
          <w:szCs w:val="32"/>
        </w:rPr>
        <w:t>加快发展第二产业。扎实做好要素保障，落实甜菜、番茄等作物面积，保障绿翔糖业、鸿翔番茄等公司生产原料供应。落实稳经济一揽子政策，</w:t>
      </w:r>
      <w:r>
        <w:rPr>
          <w:rFonts w:eastAsia="仿宋_GB2312" w:hAnsi="仿宋_GB2312"/>
          <w:sz w:val="32"/>
        </w:rPr>
        <w:t>指导帮助洪顺建材、瑞磊建材、锡伯图商贸、锡伯图融合农</w:t>
      </w:r>
      <w:r>
        <w:rPr>
          <w:rFonts w:eastAsia="仿宋_GB2312" w:hAnsi="仿宋_GB2312"/>
          <w:sz w:val="32"/>
        </w:rPr>
        <w:t>业四家企业兑现招商引资优惠政策资金</w:t>
      </w:r>
      <w:r>
        <w:rPr>
          <w:rFonts w:eastAsia="仿宋_GB2312"/>
          <w:sz w:val="32"/>
        </w:rPr>
        <w:t>110</w:t>
      </w:r>
      <w:r>
        <w:rPr>
          <w:rFonts w:eastAsia="仿宋_GB2312" w:hAnsi="仿宋_GB2312"/>
          <w:sz w:val="32"/>
        </w:rPr>
        <w:t>万元</w:t>
      </w:r>
      <w:r>
        <w:rPr>
          <w:rFonts w:eastAsia="仿宋_GB2312"/>
          <w:sz w:val="32"/>
          <w:szCs w:val="32"/>
        </w:rPr>
        <w:t>。推动工业转型升级，引导绿翔糖业投资</w:t>
      </w:r>
      <w:r>
        <w:rPr>
          <w:rFonts w:eastAsia="仿宋_GB2312"/>
          <w:sz w:val="32"/>
          <w:szCs w:val="32"/>
        </w:rPr>
        <w:t>4160</w:t>
      </w:r>
      <w:r>
        <w:rPr>
          <w:rFonts w:eastAsia="仿宋_GB2312"/>
          <w:sz w:val="32"/>
          <w:szCs w:val="32"/>
        </w:rPr>
        <w:t>万元进行设备改造升级，珍果饮食品科技新增榨油生产线一条。全力提升服务效能，落实《九师服务工业企业高质量发展实施方案》，助力鸿翔番茄番茄丁项目开工建设。新能源取得新进展，</w:t>
      </w:r>
      <w:r>
        <w:rPr>
          <w:rFonts w:eastAsia="仿宋_GB2312"/>
          <w:sz w:val="32"/>
        </w:rPr>
        <w:t>新疆农垦</w:t>
      </w:r>
      <w:r>
        <w:rPr>
          <w:rFonts w:eastAsia="仿宋_GB2312"/>
          <w:sz w:val="32"/>
          <w:szCs w:val="32"/>
        </w:rPr>
        <w:t>166</w:t>
      </w:r>
      <w:r>
        <w:rPr>
          <w:rFonts w:eastAsia="仿宋_GB2312"/>
          <w:sz w:val="32"/>
          <w:szCs w:val="32"/>
        </w:rPr>
        <w:t>团</w:t>
      </w:r>
      <w:r>
        <w:rPr>
          <w:rFonts w:eastAsia="仿宋_GB2312"/>
          <w:sz w:val="32"/>
          <w:szCs w:val="32"/>
        </w:rPr>
        <w:t>7</w:t>
      </w:r>
      <w:r>
        <w:rPr>
          <w:rFonts w:eastAsia="仿宋_GB2312"/>
          <w:sz w:val="32"/>
          <w:szCs w:val="32"/>
        </w:rPr>
        <w:t>万千瓦光伏项目、中核</w:t>
      </w:r>
      <w:r>
        <w:rPr>
          <w:rFonts w:eastAsia="仿宋_GB2312" w:hint="eastAsia"/>
          <w:sz w:val="32"/>
          <w:szCs w:val="32"/>
        </w:rPr>
        <w:t>170</w:t>
      </w:r>
      <w:r>
        <w:rPr>
          <w:rFonts w:eastAsia="仿宋_GB2312" w:hint="eastAsia"/>
          <w:sz w:val="32"/>
          <w:szCs w:val="32"/>
        </w:rPr>
        <w:t>团</w:t>
      </w:r>
      <w:r>
        <w:rPr>
          <w:rFonts w:eastAsia="仿宋_GB2312"/>
          <w:sz w:val="32"/>
          <w:szCs w:val="32"/>
        </w:rPr>
        <w:t>20</w:t>
      </w:r>
      <w:r>
        <w:rPr>
          <w:rFonts w:eastAsia="仿宋_GB2312"/>
          <w:sz w:val="32"/>
          <w:szCs w:val="32"/>
        </w:rPr>
        <w:t>万千</w:t>
      </w:r>
      <w:r>
        <w:rPr>
          <w:rFonts w:eastAsia="仿宋_GB2312" w:hint="eastAsia"/>
          <w:sz w:val="32"/>
          <w:szCs w:val="32"/>
        </w:rPr>
        <w:t>瓦</w:t>
      </w:r>
      <w:r>
        <w:rPr>
          <w:rFonts w:eastAsia="仿宋_GB2312"/>
          <w:sz w:val="32"/>
          <w:szCs w:val="32"/>
        </w:rPr>
        <w:t>风力发电及配套储能项目落地，计划</w:t>
      </w:r>
      <w:r>
        <w:rPr>
          <w:rFonts w:eastAsia="仿宋_GB2312"/>
          <w:sz w:val="32"/>
          <w:szCs w:val="32"/>
        </w:rPr>
        <w:t>2024</w:t>
      </w:r>
      <w:r>
        <w:rPr>
          <w:rFonts w:eastAsia="仿宋_GB2312"/>
          <w:sz w:val="32"/>
          <w:szCs w:val="32"/>
        </w:rPr>
        <w:t>年底全部并网发电。建筑业取得新成效，吸引兵团建工集团等优势企业落户，实现产值</w:t>
      </w:r>
      <w:r>
        <w:rPr>
          <w:rFonts w:eastAsia="仿宋_GB2312" w:hint="eastAsia"/>
          <w:sz w:val="32"/>
          <w:szCs w:val="32"/>
        </w:rPr>
        <w:t>14.6</w:t>
      </w:r>
      <w:r>
        <w:rPr>
          <w:rFonts w:eastAsia="仿宋_GB2312" w:hint="eastAsia"/>
          <w:sz w:val="32"/>
          <w:szCs w:val="32"/>
        </w:rPr>
        <w:t>亿元。</w:t>
      </w:r>
      <w:r>
        <w:rPr>
          <w:rFonts w:eastAsia="仿宋_GB2312"/>
          <w:b/>
          <w:sz w:val="32"/>
          <w:szCs w:val="32"/>
        </w:rPr>
        <w:t>三是</w:t>
      </w:r>
      <w:r>
        <w:rPr>
          <w:rFonts w:eastAsia="仿宋_GB2312"/>
          <w:sz w:val="32"/>
          <w:szCs w:val="32"/>
        </w:rPr>
        <w:t>升级发展第三产业。聚焦扩大内需，提振消费信心。组织开展促消费活动共</w:t>
      </w:r>
      <w:r>
        <w:rPr>
          <w:rFonts w:eastAsia="仿宋_GB2312"/>
          <w:sz w:val="32"/>
          <w:szCs w:val="32"/>
        </w:rPr>
        <w:t>计</w:t>
      </w:r>
      <w:r>
        <w:rPr>
          <w:rFonts w:eastAsia="仿宋_GB2312"/>
          <w:sz w:val="32"/>
          <w:szCs w:val="32"/>
        </w:rPr>
        <w:t>180</w:t>
      </w:r>
      <w:r>
        <w:rPr>
          <w:rFonts w:eastAsia="仿宋_GB2312"/>
          <w:sz w:val="32"/>
          <w:szCs w:val="32"/>
        </w:rPr>
        <w:t>余场次、带动消费近</w:t>
      </w:r>
      <w:r>
        <w:rPr>
          <w:rFonts w:eastAsia="仿宋_GB2312"/>
          <w:sz w:val="32"/>
          <w:szCs w:val="32"/>
        </w:rPr>
        <w:t>1</w:t>
      </w:r>
      <w:r>
        <w:rPr>
          <w:rFonts w:eastAsia="仿宋_GB2312"/>
          <w:sz w:val="32"/>
          <w:szCs w:val="32"/>
        </w:rPr>
        <w:t>亿元；数字化电商产业园正式运营，已入驻企业</w:t>
      </w:r>
      <w:r>
        <w:rPr>
          <w:rFonts w:eastAsia="仿宋_GB2312"/>
          <w:sz w:val="32"/>
          <w:szCs w:val="32"/>
        </w:rPr>
        <w:t>38</w:t>
      </w:r>
      <w:r>
        <w:rPr>
          <w:rFonts w:eastAsia="仿宋_GB2312"/>
          <w:sz w:val="32"/>
          <w:szCs w:val="32"/>
        </w:rPr>
        <w:t>家，辖区网络销售总额为</w:t>
      </w:r>
      <w:r>
        <w:rPr>
          <w:rFonts w:eastAsia="仿宋_GB2312"/>
          <w:sz w:val="32"/>
          <w:szCs w:val="32"/>
        </w:rPr>
        <w:t>1.56</w:t>
      </w:r>
      <w:r>
        <w:rPr>
          <w:rFonts w:eastAsia="仿宋_GB2312"/>
          <w:sz w:val="32"/>
          <w:szCs w:val="32"/>
        </w:rPr>
        <w:t>亿元；争取</w:t>
      </w:r>
      <w:r>
        <w:rPr>
          <w:rFonts w:eastAsia="仿宋_GB2312"/>
          <w:sz w:val="32"/>
          <w:szCs w:val="32"/>
        </w:rPr>
        <w:t>1100</w:t>
      </w:r>
      <w:r>
        <w:rPr>
          <w:rFonts w:eastAsia="仿宋_GB2312"/>
          <w:sz w:val="32"/>
          <w:szCs w:val="32"/>
        </w:rPr>
        <w:t>万元支持</w:t>
      </w:r>
      <w:r>
        <w:rPr>
          <w:rFonts w:eastAsia="仿宋_GB2312"/>
          <w:sz w:val="32"/>
          <w:szCs w:val="32"/>
        </w:rPr>
        <w:t>2023</w:t>
      </w:r>
      <w:r>
        <w:rPr>
          <w:rFonts w:eastAsia="仿宋_GB2312"/>
          <w:sz w:val="32"/>
          <w:szCs w:val="32"/>
        </w:rPr>
        <w:t>年县域商业</w:t>
      </w:r>
      <w:r>
        <w:rPr>
          <w:rFonts w:eastAsia="仿宋_GB2312"/>
          <w:sz w:val="32"/>
          <w:szCs w:val="32"/>
        </w:rPr>
        <w:lastRenderedPageBreak/>
        <w:t>体系项目建设。促进旅游业提质升级，全力打造</w:t>
      </w:r>
      <w:r>
        <w:rPr>
          <w:rFonts w:eastAsia="仿宋_GB2312"/>
          <w:sz w:val="32"/>
          <w:szCs w:val="32"/>
        </w:rPr>
        <w:t>“</w:t>
      </w:r>
      <w:r>
        <w:rPr>
          <w:rFonts w:eastAsia="仿宋_GB2312"/>
          <w:sz w:val="32"/>
          <w:szCs w:val="32"/>
        </w:rPr>
        <w:t>云上花海</w:t>
      </w:r>
      <w:r>
        <w:rPr>
          <w:rFonts w:eastAsia="仿宋_GB2312"/>
          <w:sz w:val="32"/>
          <w:szCs w:val="32"/>
        </w:rPr>
        <w:t xml:space="preserve"> </w:t>
      </w:r>
      <w:r>
        <w:rPr>
          <w:rFonts w:eastAsia="仿宋_GB2312"/>
          <w:sz w:val="32"/>
          <w:szCs w:val="32"/>
        </w:rPr>
        <w:t>红色白杨</w:t>
      </w:r>
      <w:r>
        <w:rPr>
          <w:rFonts w:eastAsia="仿宋_GB2312"/>
          <w:sz w:val="32"/>
          <w:szCs w:val="32"/>
        </w:rPr>
        <w:t>”</w:t>
      </w:r>
      <w:r>
        <w:rPr>
          <w:rFonts w:eastAsia="仿宋_GB2312"/>
          <w:sz w:val="32"/>
          <w:szCs w:val="32"/>
        </w:rPr>
        <w:t>文旅品牌，先后组织</w:t>
      </w:r>
      <w:r>
        <w:rPr>
          <w:rFonts w:eastAsia="仿宋_GB2312"/>
          <w:sz w:val="32"/>
          <w:szCs w:val="32"/>
        </w:rPr>
        <w:t>“</w:t>
      </w:r>
      <w:r>
        <w:rPr>
          <w:rFonts w:eastAsia="仿宋_GB2312"/>
          <w:sz w:val="32"/>
          <w:szCs w:val="32"/>
        </w:rPr>
        <w:t>云上花海</w:t>
      </w:r>
      <w:r>
        <w:rPr>
          <w:rFonts w:eastAsia="仿宋_GB2312"/>
          <w:sz w:val="32"/>
          <w:szCs w:val="32"/>
        </w:rPr>
        <w:t xml:space="preserve"> </w:t>
      </w:r>
      <w:r>
        <w:rPr>
          <w:rFonts w:eastAsia="仿宋_GB2312"/>
          <w:sz w:val="32"/>
          <w:szCs w:val="32"/>
        </w:rPr>
        <w:t>红色白杨</w:t>
      </w:r>
      <w:r>
        <w:rPr>
          <w:rFonts w:eastAsia="仿宋_GB2312"/>
          <w:sz w:val="32"/>
          <w:szCs w:val="32"/>
        </w:rPr>
        <w:t>”</w:t>
      </w:r>
      <w:r>
        <w:rPr>
          <w:rFonts w:eastAsia="仿宋_GB2312"/>
          <w:sz w:val="32"/>
          <w:szCs w:val="32"/>
        </w:rPr>
        <w:t>文化旅游节、国潮音乐节、第五届山花节、第二届桃花节等系列主题活动和</w:t>
      </w:r>
      <w:r>
        <w:rPr>
          <w:rFonts w:eastAsia="仿宋_GB2312"/>
          <w:sz w:val="32"/>
          <w:szCs w:val="32"/>
        </w:rPr>
        <w:t>200</w:t>
      </w:r>
      <w:r>
        <w:rPr>
          <w:rFonts w:eastAsia="仿宋_GB2312"/>
          <w:sz w:val="32"/>
          <w:szCs w:val="32"/>
        </w:rPr>
        <w:t>余场各类文体旅活动。实施</w:t>
      </w:r>
      <w:r>
        <w:rPr>
          <w:rFonts w:eastAsia="仿宋_GB2312"/>
          <w:sz w:val="32"/>
          <w:szCs w:val="32"/>
        </w:rPr>
        <w:t>“</w:t>
      </w:r>
      <w:r>
        <w:rPr>
          <w:rFonts w:eastAsia="仿宋_GB2312"/>
          <w:sz w:val="32"/>
          <w:szCs w:val="32"/>
        </w:rPr>
        <w:t>云上花海</w:t>
      </w:r>
      <w:r>
        <w:rPr>
          <w:rFonts w:eastAsia="仿宋_GB2312"/>
          <w:sz w:val="32"/>
          <w:szCs w:val="32"/>
        </w:rPr>
        <w:t xml:space="preserve"> </w:t>
      </w:r>
      <w:r>
        <w:rPr>
          <w:rFonts w:eastAsia="仿宋_GB2312"/>
          <w:sz w:val="32"/>
          <w:szCs w:val="32"/>
        </w:rPr>
        <w:t>红色白杨</w:t>
      </w:r>
      <w:r>
        <w:rPr>
          <w:rFonts w:eastAsia="仿宋_GB2312"/>
          <w:sz w:val="32"/>
          <w:szCs w:val="32"/>
        </w:rPr>
        <w:t>”</w:t>
      </w:r>
      <w:r>
        <w:rPr>
          <w:rFonts w:eastAsia="仿宋_GB2312"/>
          <w:sz w:val="32"/>
          <w:szCs w:val="32"/>
        </w:rPr>
        <w:t>冬季文化旅游节，保持文旅消费热度不减、人气不降。大力支持市场主体发展，兑现文旅品牌创建奖补资金</w:t>
      </w:r>
      <w:r>
        <w:rPr>
          <w:rFonts w:eastAsia="仿宋_GB2312"/>
          <w:sz w:val="32"/>
          <w:szCs w:val="32"/>
        </w:rPr>
        <w:t>94</w:t>
      </w:r>
      <w:r>
        <w:rPr>
          <w:rFonts w:eastAsia="仿宋_GB2312"/>
          <w:sz w:val="32"/>
          <w:szCs w:val="32"/>
        </w:rPr>
        <w:t>万元。全力推进</w:t>
      </w:r>
      <w:r>
        <w:rPr>
          <w:rFonts w:eastAsia="仿宋_GB2312"/>
          <w:sz w:val="32"/>
          <w:szCs w:val="32"/>
        </w:rPr>
        <w:t>161</w:t>
      </w:r>
      <w:r>
        <w:rPr>
          <w:rFonts w:eastAsia="仿宋_GB2312"/>
          <w:sz w:val="32"/>
          <w:szCs w:val="32"/>
        </w:rPr>
        <w:t>团和裕民县联创国家</w:t>
      </w:r>
      <w:r>
        <w:rPr>
          <w:rFonts w:eastAsia="仿宋_GB2312"/>
          <w:sz w:val="32"/>
          <w:szCs w:val="32"/>
        </w:rPr>
        <w:t>5A</w:t>
      </w:r>
      <w:r>
        <w:rPr>
          <w:rFonts w:eastAsia="仿宋_GB2312"/>
          <w:sz w:val="32"/>
          <w:szCs w:val="32"/>
        </w:rPr>
        <w:t>级</w:t>
      </w:r>
      <w:r>
        <w:rPr>
          <w:rFonts w:eastAsia="仿宋_GB2312"/>
          <w:sz w:val="32"/>
          <w:szCs w:val="32"/>
        </w:rPr>
        <w:t>小白杨文化旅游区，筹集</w:t>
      </w:r>
      <w:r>
        <w:rPr>
          <w:rFonts w:eastAsia="仿宋_GB2312"/>
          <w:sz w:val="32"/>
          <w:szCs w:val="32"/>
        </w:rPr>
        <w:t>3000</w:t>
      </w:r>
      <w:r>
        <w:rPr>
          <w:rFonts w:eastAsia="仿宋_GB2312"/>
          <w:sz w:val="32"/>
          <w:szCs w:val="32"/>
        </w:rPr>
        <w:t>万元资金推动景区提升改造。累计接待游客</w:t>
      </w:r>
      <w:r>
        <w:rPr>
          <w:rFonts w:eastAsia="仿宋_GB2312" w:hint="eastAsia"/>
          <w:sz w:val="32"/>
          <w:szCs w:val="32"/>
        </w:rPr>
        <w:t>283.81</w:t>
      </w:r>
      <w:r>
        <w:rPr>
          <w:rFonts w:eastAsia="仿宋_GB2312"/>
          <w:sz w:val="32"/>
          <w:szCs w:val="32"/>
        </w:rPr>
        <w:t>万人，同比增长</w:t>
      </w:r>
      <w:r>
        <w:rPr>
          <w:rFonts w:eastAsia="仿宋_GB2312"/>
          <w:sz w:val="32"/>
          <w:szCs w:val="32"/>
        </w:rPr>
        <w:t>109.</w:t>
      </w:r>
      <w:r>
        <w:rPr>
          <w:rFonts w:eastAsia="仿宋_GB2312" w:hint="eastAsia"/>
          <w:sz w:val="32"/>
          <w:szCs w:val="32"/>
        </w:rPr>
        <w:t>0</w:t>
      </w:r>
      <w:r>
        <w:rPr>
          <w:rFonts w:eastAsia="仿宋_GB2312"/>
          <w:sz w:val="32"/>
          <w:szCs w:val="32"/>
        </w:rPr>
        <w:t>1%</w:t>
      </w:r>
      <w:r>
        <w:rPr>
          <w:rFonts w:eastAsia="仿宋_GB2312"/>
          <w:sz w:val="32"/>
          <w:szCs w:val="32"/>
        </w:rPr>
        <w:t>，实现旅游收入</w:t>
      </w:r>
      <w:r>
        <w:rPr>
          <w:rFonts w:eastAsia="仿宋_GB2312"/>
          <w:sz w:val="32"/>
          <w:szCs w:val="32"/>
        </w:rPr>
        <w:t>12.</w:t>
      </w:r>
      <w:r>
        <w:rPr>
          <w:rFonts w:eastAsia="仿宋_GB2312" w:hint="eastAsia"/>
          <w:sz w:val="32"/>
          <w:szCs w:val="32"/>
        </w:rPr>
        <w:t>92</w:t>
      </w:r>
      <w:r>
        <w:rPr>
          <w:rFonts w:eastAsia="仿宋_GB2312"/>
          <w:sz w:val="32"/>
          <w:szCs w:val="32"/>
        </w:rPr>
        <w:t>亿元，同比增长</w:t>
      </w:r>
      <w:r>
        <w:rPr>
          <w:rFonts w:eastAsia="仿宋_GB2312"/>
          <w:sz w:val="32"/>
          <w:szCs w:val="32"/>
        </w:rPr>
        <w:t>101.</w:t>
      </w:r>
      <w:r>
        <w:rPr>
          <w:rFonts w:eastAsia="仿宋_GB2312" w:hint="eastAsia"/>
          <w:sz w:val="32"/>
          <w:szCs w:val="32"/>
        </w:rPr>
        <w:t>22</w:t>
      </w:r>
      <w:r>
        <w:rPr>
          <w:rFonts w:eastAsia="仿宋_GB2312"/>
          <w:sz w:val="32"/>
          <w:szCs w:val="32"/>
        </w:rPr>
        <w:t>%</w:t>
      </w:r>
      <w:r>
        <w:rPr>
          <w:rFonts w:eastAsia="仿宋_GB2312"/>
          <w:sz w:val="32"/>
          <w:szCs w:val="32"/>
        </w:rPr>
        <w:t>。</w:t>
      </w:r>
    </w:p>
    <w:p w14:paraId="7FC1E9A6" w14:textId="77777777" w:rsidR="00000000" w:rsidRDefault="00763D17">
      <w:pPr>
        <w:ind w:firstLineChars="200" w:firstLine="643"/>
        <w:rPr>
          <w:rFonts w:eastAsia="仿宋_GB2312" w:hint="eastAsia"/>
          <w:sz w:val="32"/>
          <w:szCs w:val="32"/>
        </w:rPr>
      </w:pPr>
      <w:r>
        <w:rPr>
          <w:rFonts w:eastAsia="楷体_GB2312" w:hint="eastAsia"/>
          <w:b/>
          <w:sz w:val="32"/>
          <w:szCs w:val="32"/>
        </w:rPr>
        <w:t>3.</w:t>
      </w:r>
      <w:r>
        <w:rPr>
          <w:rFonts w:eastAsia="楷体_GB2312"/>
          <w:b/>
          <w:sz w:val="32"/>
          <w:szCs w:val="32"/>
        </w:rPr>
        <w:t>多举措狠抓招商引资。</w:t>
      </w:r>
      <w:r>
        <w:rPr>
          <w:rFonts w:eastAsia="仿宋_GB2312"/>
          <w:sz w:val="32"/>
          <w:szCs w:val="32"/>
        </w:rPr>
        <w:t>突出管理抓带动</w:t>
      </w:r>
      <w:r>
        <w:rPr>
          <w:rFonts w:eastAsia="仿宋_GB2312" w:hAnsi="仿宋_GB2312"/>
          <w:sz w:val="32"/>
          <w:szCs w:val="32"/>
        </w:rPr>
        <w:t>。师市成立</w:t>
      </w:r>
      <w:r>
        <w:rPr>
          <w:rFonts w:eastAsia="仿宋_GB2312"/>
          <w:sz w:val="32"/>
          <w:szCs w:val="32"/>
        </w:rPr>
        <w:t>14</w:t>
      </w:r>
      <w:r>
        <w:rPr>
          <w:rFonts w:eastAsia="仿宋_GB2312" w:hAnsi="仿宋_GB2312"/>
          <w:sz w:val="32"/>
          <w:szCs w:val="32"/>
        </w:rPr>
        <w:t>个招商引资小组，</w:t>
      </w:r>
      <w:r>
        <w:rPr>
          <w:rFonts w:eastAsia="仿宋_GB2312" w:hAnsi="仿宋_GB2312" w:hint="eastAsia"/>
          <w:sz w:val="32"/>
          <w:szCs w:val="32"/>
        </w:rPr>
        <w:t>全年</w:t>
      </w:r>
      <w:r>
        <w:rPr>
          <w:rFonts w:eastAsia="仿宋_GB2312" w:hAnsi="仿宋_GB2312"/>
          <w:color w:val="000000"/>
          <w:sz w:val="32"/>
          <w:szCs w:val="32"/>
        </w:rPr>
        <w:t>累计组团外出</w:t>
      </w:r>
      <w:r>
        <w:rPr>
          <w:rFonts w:eastAsia="仿宋_GB2312"/>
          <w:color w:val="000000"/>
          <w:sz w:val="32"/>
          <w:szCs w:val="32"/>
        </w:rPr>
        <w:t>140</w:t>
      </w:r>
      <w:r>
        <w:rPr>
          <w:rFonts w:eastAsia="仿宋_GB2312" w:hAnsi="仿宋_GB2312"/>
          <w:color w:val="000000"/>
          <w:sz w:val="32"/>
          <w:szCs w:val="32"/>
        </w:rPr>
        <w:t>批次，共签约项目</w:t>
      </w:r>
      <w:r>
        <w:rPr>
          <w:rFonts w:eastAsia="仿宋_GB2312"/>
          <w:color w:val="000000"/>
          <w:sz w:val="32"/>
          <w:szCs w:val="32"/>
        </w:rPr>
        <w:t>131</w:t>
      </w:r>
      <w:r>
        <w:rPr>
          <w:rFonts w:eastAsia="仿宋_GB2312" w:hAnsi="仿宋_GB2312"/>
          <w:color w:val="000000"/>
          <w:sz w:val="32"/>
          <w:szCs w:val="32"/>
        </w:rPr>
        <w:t>个，总签约金额</w:t>
      </w:r>
      <w:r>
        <w:rPr>
          <w:rFonts w:eastAsia="仿宋_GB2312"/>
          <w:color w:val="000000"/>
          <w:sz w:val="32"/>
          <w:szCs w:val="32"/>
        </w:rPr>
        <w:t>597.13</w:t>
      </w:r>
      <w:r>
        <w:rPr>
          <w:rFonts w:eastAsia="仿宋_GB2312" w:hAnsi="仿宋_GB2312"/>
          <w:color w:val="000000"/>
          <w:sz w:val="32"/>
          <w:szCs w:val="32"/>
        </w:rPr>
        <w:t>亿元。搭建平台抓拓展，在招商方式上下功夫。充分运用线上</w:t>
      </w:r>
      <w:r>
        <w:rPr>
          <w:rFonts w:eastAsia="仿宋_GB2312"/>
          <w:color w:val="000000"/>
          <w:sz w:val="32"/>
          <w:szCs w:val="32"/>
        </w:rPr>
        <w:t>“</w:t>
      </w:r>
      <w:r>
        <w:rPr>
          <w:rFonts w:eastAsia="仿宋_GB2312" w:hAnsi="仿宋_GB2312"/>
          <w:color w:val="000000"/>
          <w:sz w:val="32"/>
          <w:szCs w:val="32"/>
        </w:rPr>
        <w:t>数字化招商平台</w:t>
      </w:r>
      <w:r>
        <w:rPr>
          <w:rFonts w:eastAsia="仿宋_GB2312"/>
          <w:color w:val="000000"/>
          <w:sz w:val="32"/>
          <w:szCs w:val="32"/>
        </w:rPr>
        <w:t>”</w:t>
      </w:r>
      <w:r>
        <w:rPr>
          <w:rFonts w:eastAsia="仿宋_GB2312" w:hAnsi="仿宋_GB2312"/>
          <w:color w:val="000000"/>
          <w:sz w:val="32"/>
          <w:szCs w:val="32"/>
        </w:rPr>
        <w:t>，已成功签约项目</w:t>
      </w:r>
      <w:r>
        <w:rPr>
          <w:rFonts w:eastAsia="仿宋_GB2312"/>
          <w:color w:val="000000"/>
          <w:sz w:val="32"/>
          <w:szCs w:val="32"/>
        </w:rPr>
        <w:t>33</w:t>
      </w:r>
      <w:r>
        <w:rPr>
          <w:rFonts w:eastAsia="仿宋_GB2312" w:hAnsi="仿宋_GB2312"/>
          <w:color w:val="000000"/>
          <w:sz w:val="32"/>
          <w:szCs w:val="32"/>
        </w:rPr>
        <w:t>个；充分运用重点展会以及重大考察活动开展招商推介，通过招商推介形式签约项目</w:t>
      </w:r>
      <w:r>
        <w:rPr>
          <w:rFonts w:eastAsia="仿宋_GB2312"/>
          <w:color w:val="000000"/>
          <w:sz w:val="32"/>
          <w:szCs w:val="32"/>
        </w:rPr>
        <w:t>17</w:t>
      </w:r>
      <w:r>
        <w:rPr>
          <w:rFonts w:eastAsia="仿宋_GB2312" w:hAnsi="仿宋_GB2312"/>
          <w:color w:val="000000"/>
          <w:sz w:val="32"/>
          <w:szCs w:val="32"/>
        </w:rPr>
        <w:t>个，签约金额共计</w:t>
      </w:r>
      <w:r>
        <w:rPr>
          <w:rFonts w:eastAsia="仿宋_GB2312"/>
          <w:color w:val="000000"/>
          <w:sz w:val="32"/>
          <w:szCs w:val="32"/>
        </w:rPr>
        <w:t>46.9</w:t>
      </w:r>
      <w:r>
        <w:rPr>
          <w:rFonts w:eastAsia="仿宋_GB2312" w:hAnsi="仿宋_GB2312"/>
          <w:color w:val="000000"/>
          <w:sz w:val="32"/>
          <w:szCs w:val="32"/>
        </w:rPr>
        <w:t>亿元。强化服务抓</w:t>
      </w:r>
      <w:r>
        <w:rPr>
          <w:rFonts w:eastAsia="仿宋_GB2312" w:hAnsi="仿宋_GB2312"/>
          <w:color w:val="000000"/>
          <w:sz w:val="32"/>
          <w:szCs w:val="32"/>
        </w:rPr>
        <w:t>环境。建立动态联系包保制度，推动解决项目落地建设问题；修订完善《第九师白杨市招商引资项目前置会商机制》《第九师白杨市招商引资优惠政策（修订）》《第九师白杨市支持生产</w:t>
      </w:r>
      <w:r>
        <w:rPr>
          <w:rFonts w:eastAsia="仿宋_GB2312" w:hAnsi="仿宋_GB2312" w:hint="eastAsia"/>
          <w:color w:val="000000"/>
          <w:sz w:val="32"/>
          <w:szCs w:val="32"/>
        </w:rPr>
        <w:t>性</w:t>
      </w:r>
      <w:r>
        <w:rPr>
          <w:rFonts w:eastAsia="仿宋_GB2312" w:hAnsi="仿宋_GB2312"/>
          <w:color w:val="000000"/>
          <w:sz w:val="32"/>
          <w:szCs w:val="32"/>
        </w:rPr>
        <w:t>服务业发展相关扶持政策》等多项政策和制度，在招商引资和招才引智上打造政策洼地；按照程序为落地企业兑现</w:t>
      </w:r>
      <w:r>
        <w:rPr>
          <w:rFonts w:eastAsia="仿宋_GB2312"/>
          <w:color w:val="000000"/>
          <w:sz w:val="32"/>
          <w:szCs w:val="32"/>
        </w:rPr>
        <w:t>2022</w:t>
      </w:r>
      <w:r>
        <w:rPr>
          <w:rFonts w:eastAsia="仿宋_GB2312" w:hAnsi="仿宋_GB2312"/>
          <w:color w:val="000000"/>
          <w:sz w:val="32"/>
          <w:szCs w:val="32"/>
        </w:rPr>
        <w:t>年招商政策资金</w:t>
      </w:r>
      <w:r>
        <w:rPr>
          <w:rFonts w:eastAsia="仿宋_GB2312"/>
          <w:color w:val="000000"/>
          <w:sz w:val="32"/>
          <w:szCs w:val="32"/>
        </w:rPr>
        <w:t>1105.2</w:t>
      </w:r>
      <w:r>
        <w:rPr>
          <w:rFonts w:eastAsia="仿宋_GB2312" w:hAnsi="仿宋_GB2312"/>
          <w:color w:val="000000"/>
          <w:sz w:val="32"/>
          <w:szCs w:val="32"/>
        </w:rPr>
        <w:t>万元，为各团场兑现</w:t>
      </w:r>
      <w:r>
        <w:rPr>
          <w:rFonts w:eastAsia="仿宋_GB2312"/>
          <w:color w:val="000000"/>
          <w:sz w:val="32"/>
          <w:szCs w:val="32"/>
        </w:rPr>
        <w:t>2023</w:t>
      </w:r>
      <w:r>
        <w:rPr>
          <w:rFonts w:eastAsia="仿宋_GB2312" w:hAnsi="仿宋_GB2312"/>
          <w:color w:val="000000"/>
          <w:sz w:val="32"/>
          <w:szCs w:val="32"/>
        </w:rPr>
        <w:t>年季度招商考核激励资金</w:t>
      </w:r>
      <w:r>
        <w:rPr>
          <w:rFonts w:eastAsia="仿宋_GB2312"/>
          <w:color w:val="000000"/>
          <w:sz w:val="32"/>
          <w:szCs w:val="32"/>
        </w:rPr>
        <w:t>510</w:t>
      </w:r>
      <w:r>
        <w:rPr>
          <w:rFonts w:eastAsia="仿宋_GB2312" w:hAnsi="仿宋_GB2312"/>
          <w:color w:val="000000"/>
          <w:sz w:val="32"/>
          <w:szCs w:val="32"/>
        </w:rPr>
        <w:t>万元，进一步加强企业投资信心，提高团场招商积极性。</w:t>
      </w:r>
      <w:r>
        <w:rPr>
          <w:rFonts w:eastAsia="仿宋_GB2312"/>
          <w:sz w:val="32"/>
          <w:szCs w:val="32"/>
        </w:rPr>
        <w:t>2023</w:t>
      </w:r>
      <w:r>
        <w:rPr>
          <w:rFonts w:eastAsia="仿宋_GB2312" w:hAnsi="仿宋_GB2312"/>
          <w:sz w:val="32"/>
          <w:szCs w:val="32"/>
        </w:rPr>
        <w:t>年完成招商引资实物量</w:t>
      </w:r>
      <w:r>
        <w:rPr>
          <w:rFonts w:eastAsia="仿宋_GB2312"/>
          <w:sz w:val="32"/>
          <w:szCs w:val="32"/>
        </w:rPr>
        <w:t>2</w:t>
      </w:r>
      <w:r>
        <w:rPr>
          <w:rFonts w:eastAsia="仿宋_GB2312" w:hint="eastAsia"/>
          <w:sz w:val="32"/>
          <w:szCs w:val="32"/>
        </w:rPr>
        <w:t>2</w:t>
      </w:r>
      <w:r>
        <w:rPr>
          <w:rFonts w:eastAsia="仿宋_GB2312"/>
          <w:sz w:val="32"/>
          <w:szCs w:val="32"/>
        </w:rPr>
        <w:t>.</w:t>
      </w:r>
      <w:r>
        <w:rPr>
          <w:rFonts w:eastAsia="仿宋_GB2312" w:hint="eastAsia"/>
          <w:sz w:val="32"/>
          <w:szCs w:val="32"/>
        </w:rPr>
        <w:t>37</w:t>
      </w:r>
      <w:r>
        <w:rPr>
          <w:rFonts w:eastAsia="仿宋_GB2312" w:hAnsi="仿宋_GB2312"/>
          <w:sz w:val="32"/>
          <w:szCs w:val="32"/>
        </w:rPr>
        <w:t>亿元。</w:t>
      </w:r>
    </w:p>
    <w:p w14:paraId="4D2D74A6" w14:textId="77777777" w:rsidR="00000000" w:rsidRDefault="00763D17">
      <w:pPr>
        <w:ind w:firstLineChars="200" w:firstLine="643"/>
        <w:rPr>
          <w:rFonts w:eastAsia="仿宋_GB2312"/>
          <w:color w:val="000000"/>
          <w:sz w:val="32"/>
        </w:rPr>
      </w:pPr>
      <w:r>
        <w:rPr>
          <w:rFonts w:eastAsia="楷体_GB2312" w:hint="eastAsia"/>
          <w:b/>
          <w:sz w:val="32"/>
        </w:rPr>
        <w:t>4.</w:t>
      </w:r>
      <w:r>
        <w:rPr>
          <w:rFonts w:eastAsia="楷体_GB2312"/>
          <w:b/>
          <w:sz w:val="32"/>
        </w:rPr>
        <w:t>民生保障扎实有力。</w:t>
      </w:r>
      <w:r>
        <w:rPr>
          <w:rFonts w:eastAsia="仿宋_GB2312"/>
          <w:color w:val="000000"/>
          <w:sz w:val="32"/>
        </w:rPr>
        <w:t>统筹经济发展和民生保障，将师市</w:t>
      </w:r>
      <w:r>
        <w:rPr>
          <w:rFonts w:eastAsia="仿宋_GB2312" w:hint="eastAsia"/>
          <w:color w:val="000000"/>
          <w:sz w:val="32"/>
        </w:rPr>
        <w:t>一般</w:t>
      </w:r>
      <w:r>
        <w:rPr>
          <w:rFonts w:eastAsia="仿宋_GB2312"/>
          <w:color w:val="000000"/>
          <w:sz w:val="32"/>
        </w:rPr>
        <w:t>公共预</w:t>
      </w:r>
      <w:r>
        <w:rPr>
          <w:rFonts w:eastAsia="仿宋_GB2312"/>
          <w:color w:val="000000"/>
          <w:sz w:val="32"/>
        </w:rPr>
        <w:t>算支出的</w:t>
      </w:r>
      <w:r>
        <w:rPr>
          <w:rFonts w:eastAsia="仿宋_GB2312"/>
          <w:color w:val="000000"/>
          <w:sz w:val="32"/>
        </w:rPr>
        <w:t>8</w:t>
      </w:r>
      <w:r>
        <w:rPr>
          <w:rFonts w:eastAsia="仿宋_GB2312" w:hint="eastAsia"/>
          <w:color w:val="000000"/>
          <w:sz w:val="32"/>
        </w:rPr>
        <w:t>4.4</w:t>
      </w:r>
      <w:r>
        <w:rPr>
          <w:rFonts w:eastAsia="仿宋_GB2312"/>
          <w:color w:val="000000"/>
          <w:sz w:val="32"/>
        </w:rPr>
        <w:t>%</w:t>
      </w:r>
      <w:r>
        <w:rPr>
          <w:rFonts w:eastAsia="仿宋_GB2312"/>
          <w:color w:val="000000"/>
          <w:sz w:val="32"/>
        </w:rPr>
        <w:t>用于保障和改善民生。</w:t>
      </w:r>
      <w:r>
        <w:rPr>
          <w:rFonts w:eastAsia="仿宋_GB2312"/>
          <w:b/>
          <w:color w:val="000000"/>
          <w:sz w:val="32"/>
        </w:rPr>
        <w:t>坚持</w:t>
      </w:r>
      <w:r>
        <w:rPr>
          <w:rFonts w:eastAsia="仿宋_GB2312" w:hint="eastAsia"/>
          <w:b/>
          <w:color w:val="000000"/>
          <w:sz w:val="32"/>
        </w:rPr>
        <w:t>就业</w:t>
      </w:r>
      <w:r>
        <w:rPr>
          <w:rFonts w:eastAsia="仿宋_GB2312"/>
          <w:b/>
          <w:color w:val="000000"/>
          <w:sz w:val="32"/>
        </w:rPr>
        <w:t>优先战略。</w:t>
      </w:r>
      <w:r>
        <w:rPr>
          <w:rFonts w:eastAsia="仿宋_GB2312"/>
          <w:color w:val="000000"/>
          <w:sz w:val="32"/>
        </w:rPr>
        <w:t>全面落实各项就业惠民惠企政策，推动就业形势保持总体稳定。实现城镇新增就业</w:t>
      </w:r>
      <w:r>
        <w:rPr>
          <w:rFonts w:eastAsia="仿宋_GB2312"/>
          <w:color w:val="000000"/>
          <w:sz w:val="32"/>
        </w:rPr>
        <w:t>321</w:t>
      </w:r>
      <w:r>
        <w:rPr>
          <w:rFonts w:eastAsia="仿宋_GB2312" w:hint="eastAsia"/>
          <w:color w:val="000000"/>
          <w:sz w:val="32"/>
        </w:rPr>
        <w:t>6</w:t>
      </w:r>
      <w:r>
        <w:rPr>
          <w:rFonts w:eastAsia="仿宋_GB2312"/>
          <w:color w:val="000000"/>
          <w:sz w:val="32"/>
        </w:rPr>
        <w:t>人，完成兵团下达目标任务的</w:t>
      </w:r>
      <w:r>
        <w:rPr>
          <w:rFonts w:eastAsia="仿宋_GB2312"/>
          <w:color w:val="000000"/>
          <w:sz w:val="32"/>
        </w:rPr>
        <w:t>100.</w:t>
      </w:r>
      <w:r>
        <w:rPr>
          <w:rFonts w:eastAsia="仿宋_GB2312" w:hint="eastAsia"/>
          <w:color w:val="000000"/>
          <w:sz w:val="32"/>
        </w:rPr>
        <w:t>5</w:t>
      </w:r>
      <w:r>
        <w:rPr>
          <w:rFonts w:eastAsia="仿宋_GB2312"/>
          <w:color w:val="000000"/>
          <w:sz w:val="32"/>
        </w:rPr>
        <w:t>%</w:t>
      </w:r>
      <w:r>
        <w:rPr>
          <w:rFonts w:eastAsia="仿宋_GB2312"/>
          <w:color w:val="000000"/>
          <w:sz w:val="32"/>
        </w:rPr>
        <w:t>；帮助就业困难人员实现就业</w:t>
      </w:r>
      <w:r>
        <w:rPr>
          <w:rFonts w:eastAsia="仿宋_GB2312"/>
          <w:color w:val="000000"/>
          <w:sz w:val="32"/>
        </w:rPr>
        <w:t>400</w:t>
      </w:r>
      <w:r>
        <w:rPr>
          <w:rFonts w:eastAsia="仿宋_GB2312"/>
          <w:color w:val="000000"/>
          <w:sz w:val="32"/>
        </w:rPr>
        <w:t>人，完成兵团下达目标任务的</w:t>
      </w:r>
      <w:r>
        <w:rPr>
          <w:rFonts w:eastAsia="仿宋_GB2312"/>
          <w:color w:val="000000"/>
          <w:sz w:val="32"/>
        </w:rPr>
        <w:t>100%</w:t>
      </w:r>
      <w:r>
        <w:rPr>
          <w:rFonts w:eastAsia="仿宋_GB2312"/>
          <w:color w:val="000000"/>
          <w:sz w:val="32"/>
        </w:rPr>
        <w:t>；开展各类职业技能培训</w:t>
      </w:r>
      <w:r>
        <w:rPr>
          <w:rFonts w:eastAsia="仿宋_GB2312"/>
          <w:color w:val="000000"/>
          <w:sz w:val="32"/>
        </w:rPr>
        <w:t>4800</w:t>
      </w:r>
      <w:r>
        <w:rPr>
          <w:rFonts w:eastAsia="仿宋_GB2312"/>
          <w:color w:val="000000"/>
          <w:sz w:val="32"/>
        </w:rPr>
        <w:t>人次，完成兵团下达目标任务的</w:t>
      </w:r>
      <w:r>
        <w:rPr>
          <w:rFonts w:eastAsia="仿宋_GB2312"/>
          <w:color w:val="000000"/>
          <w:sz w:val="32"/>
        </w:rPr>
        <w:t>100%</w:t>
      </w:r>
      <w:r>
        <w:rPr>
          <w:rFonts w:eastAsia="仿宋_GB2312" w:hint="eastAsia"/>
          <w:color w:val="000000"/>
          <w:sz w:val="32"/>
        </w:rPr>
        <w:t>。</w:t>
      </w:r>
      <w:r>
        <w:rPr>
          <w:rFonts w:eastAsia="仿宋_GB2312"/>
          <w:color w:val="000000"/>
          <w:sz w:val="32"/>
        </w:rPr>
        <w:t>累计发放社会保险补贴</w:t>
      </w:r>
      <w:r>
        <w:rPr>
          <w:rFonts w:eastAsia="仿宋_GB2312" w:hint="eastAsia"/>
          <w:color w:val="000000"/>
          <w:sz w:val="32"/>
        </w:rPr>
        <w:t>、</w:t>
      </w:r>
      <w:r>
        <w:rPr>
          <w:rFonts w:eastAsia="仿宋_GB2312"/>
          <w:color w:val="000000"/>
          <w:sz w:val="32"/>
        </w:rPr>
        <w:t>公益性岗位补贴等各类就业创业</w:t>
      </w:r>
      <w:r>
        <w:rPr>
          <w:rFonts w:eastAsia="仿宋_GB2312" w:hint="eastAsia"/>
          <w:color w:val="000000"/>
          <w:sz w:val="32"/>
        </w:rPr>
        <w:t>补贴</w:t>
      </w:r>
      <w:r>
        <w:rPr>
          <w:rFonts w:eastAsia="仿宋_GB2312"/>
          <w:color w:val="000000"/>
          <w:sz w:val="32"/>
        </w:rPr>
        <w:t>资金</w:t>
      </w:r>
      <w:r>
        <w:rPr>
          <w:rFonts w:eastAsia="仿宋_GB2312" w:hint="eastAsia"/>
          <w:color w:val="000000"/>
          <w:sz w:val="32"/>
        </w:rPr>
        <w:t>4565.64</w:t>
      </w:r>
      <w:r>
        <w:rPr>
          <w:rFonts w:eastAsia="仿宋_GB2312"/>
          <w:color w:val="000000"/>
          <w:sz w:val="32"/>
        </w:rPr>
        <w:t>万元，惠及企业</w:t>
      </w:r>
      <w:r>
        <w:rPr>
          <w:rFonts w:eastAsia="仿宋_GB2312" w:hint="eastAsia"/>
          <w:color w:val="000000"/>
          <w:sz w:val="32"/>
        </w:rPr>
        <w:t>92</w:t>
      </w:r>
      <w:r>
        <w:rPr>
          <w:rFonts w:eastAsia="仿宋_GB2312"/>
          <w:color w:val="000000"/>
          <w:sz w:val="32"/>
        </w:rPr>
        <w:t>家、劳动者</w:t>
      </w:r>
      <w:r>
        <w:rPr>
          <w:rFonts w:eastAsia="仿宋_GB2312" w:hint="eastAsia"/>
          <w:color w:val="000000"/>
          <w:sz w:val="32"/>
        </w:rPr>
        <w:t>7571</w:t>
      </w:r>
      <w:r>
        <w:rPr>
          <w:rFonts w:eastAsia="仿宋_GB2312"/>
          <w:color w:val="000000"/>
          <w:sz w:val="32"/>
        </w:rPr>
        <w:t>名。</w:t>
      </w:r>
      <w:r>
        <w:rPr>
          <w:rFonts w:eastAsia="仿宋_GB2312"/>
          <w:b/>
          <w:color w:val="000000"/>
          <w:sz w:val="32"/>
        </w:rPr>
        <w:t>办好人民满意的教育。</w:t>
      </w:r>
      <w:r>
        <w:rPr>
          <w:rFonts w:eastAsia="仿宋_GB2312" w:hAnsi="仿宋_GB2312"/>
          <w:sz w:val="32"/>
          <w:szCs w:val="32"/>
        </w:rPr>
        <w:t>学前三年毛入园率达到</w:t>
      </w:r>
      <w:r>
        <w:rPr>
          <w:rFonts w:eastAsia="仿宋_GB2312"/>
          <w:sz w:val="32"/>
          <w:szCs w:val="32"/>
        </w:rPr>
        <w:t>110%</w:t>
      </w:r>
      <w:r>
        <w:rPr>
          <w:rFonts w:eastAsia="仿宋_GB2312" w:hAnsi="仿宋_GB2312"/>
          <w:sz w:val="32"/>
          <w:szCs w:val="32"/>
        </w:rPr>
        <w:t>，小学净入学率</w:t>
      </w:r>
      <w:r>
        <w:rPr>
          <w:rFonts w:eastAsia="仿宋_GB2312"/>
          <w:sz w:val="32"/>
          <w:szCs w:val="32"/>
        </w:rPr>
        <w:t>100%</w:t>
      </w:r>
      <w:r>
        <w:rPr>
          <w:rFonts w:eastAsia="仿宋_GB2312" w:hAnsi="仿宋_GB2312"/>
          <w:sz w:val="32"/>
          <w:szCs w:val="32"/>
        </w:rPr>
        <w:t>，义务教育巩固率达到</w:t>
      </w:r>
      <w:r>
        <w:rPr>
          <w:rFonts w:eastAsia="仿宋_GB2312"/>
          <w:sz w:val="32"/>
          <w:szCs w:val="32"/>
        </w:rPr>
        <w:t>1</w:t>
      </w:r>
      <w:r>
        <w:rPr>
          <w:rFonts w:eastAsia="仿宋_GB2312"/>
          <w:sz w:val="32"/>
          <w:szCs w:val="32"/>
        </w:rPr>
        <w:t>00%</w:t>
      </w:r>
      <w:r>
        <w:rPr>
          <w:rFonts w:eastAsia="仿宋_GB2312" w:hAnsi="仿宋_GB2312"/>
          <w:sz w:val="32"/>
          <w:szCs w:val="32"/>
        </w:rPr>
        <w:t>。强化科研兴教，实现</w:t>
      </w:r>
      <w:r>
        <w:rPr>
          <w:rFonts w:eastAsia="仿宋_GB2312"/>
          <w:sz w:val="32"/>
          <w:szCs w:val="32"/>
        </w:rPr>
        <w:t>“</w:t>
      </w:r>
      <w:r>
        <w:rPr>
          <w:rFonts w:eastAsia="仿宋_GB2312" w:hAnsi="仿宋_GB2312"/>
          <w:sz w:val="32"/>
          <w:szCs w:val="32"/>
        </w:rPr>
        <w:t>教、学、研</w:t>
      </w:r>
      <w:r>
        <w:rPr>
          <w:rFonts w:eastAsia="仿宋_GB2312"/>
          <w:sz w:val="32"/>
          <w:szCs w:val="32"/>
        </w:rPr>
        <w:t>”</w:t>
      </w:r>
      <w:r>
        <w:rPr>
          <w:rFonts w:eastAsia="仿宋_GB2312" w:hAnsi="仿宋_GB2312"/>
          <w:sz w:val="32"/>
          <w:szCs w:val="32"/>
        </w:rPr>
        <w:t>一体推进，成功申报</w:t>
      </w:r>
      <w:r>
        <w:rPr>
          <w:rFonts w:eastAsia="仿宋_GB2312"/>
          <w:sz w:val="32"/>
          <w:szCs w:val="32"/>
        </w:rPr>
        <w:t>2023</w:t>
      </w:r>
      <w:r>
        <w:rPr>
          <w:rFonts w:eastAsia="仿宋_GB2312" w:hAnsi="仿宋_GB2312"/>
          <w:sz w:val="32"/>
          <w:szCs w:val="32"/>
        </w:rPr>
        <w:t>年兵团级课题</w:t>
      </w:r>
      <w:r>
        <w:rPr>
          <w:rFonts w:eastAsia="仿宋_GB2312"/>
          <w:sz w:val="32"/>
          <w:szCs w:val="32"/>
        </w:rPr>
        <w:t>4</w:t>
      </w:r>
      <w:r>
        <w:rPr>
          <w:rFonts w:eastAsia="仿宋_GB2312" w:hAnsi="仿宋_GB2312"/>
          <w:sz w:val="32"/>
          <w:szCs w:val="32"/>
        </w:rPr>
        <w:t>个，</w:t>
      </w:r>
      <w:r>
        <w:rPr>
          <w:rFonts w:eastAsia="仿宋_GB2312"/>
          <w:sz w:val="32"/>
          <w:szCs w:val="32"/>
        </w:rPr>
        <w:t>2023</w:t>
      </w:r>
      <w:r>
        <w:rPr>
          <w:rFonts w:eastAsia="仿宋_GB2312" w:hAnsi="仿宋_GB2312"/>
          <w:sz w:val="32"/>
          <w:szCs w:val="32"/>
        </w:rPr>
        <w:t>年师级课题开题</w:t>
      </w:r>
      <w:r>
        <w:rPr>
          <w:rFonts w:eastAsia="仿宋_GB2312"/>
          <w:sz w:val="32"/>
          <w:szCs w:val="32"/>
        </w:rPr>
        <w:t>20</w:t>
      </w:r>
      <w:r>
        <w:rPr>
          <w:rFonts w:eastAsia="仿宋_GB2312" w:hAnsi="仿宋_GB2312"/>
          <w:sz w:val="32"/>
          <w:szCs w:val="32"/>
        </w:rPr>
        <w:t>个，</w:t>
      </w:r>
      <w:r>
        <w:rPr>
          <w:rFonts w:eastAsia="仿宋_GB2312" w:hAnsi="仿宋_GB2312"/>
          <w:color w:val="000000"/>
          <w:sz w:val="32"/>
          <w:szCs w:val="32"/>
        </w:rPr>
        <w:t>参与教师</w:t>
      </w:r>
      <w:r>
        <w:rPr>
          <w:rFonts w:eastAsia="仿宋_GB2312"/>
          <w:color w:val="000000"/>
          <w:sz w:val="32"/>
          <w:szCs w:val="32"/>
        </w:rPr>
        <w:t>168</w:t>
      </w:r>
      <w:r>
        <w:rPr>
          <w:rFonts w:eastAsia="仿宋_GB2312" w:hAnsi="仿宋_GB2312"/>
          <w:color w:val="000000"/>
          <w:sz w:val="32"/>
          <w:szCs w:val="32"/>
        </w:rPr>
        <w:t>人。彰显教育成效，</w:t>
      </w:r>
      <w:r>
        <w:rPr>
          <w:rFonts w:eastAsia="仿宋_GB2312"/>
          <w:color w:val="000000"/>
          <w:sz w:val="32"/>
          <w:szCs w:val="32"/>
        </w:rPr>
        <w:t>166</w:t>
      </w:r>
      <w:r>
        <w:rPr>
          <w:rFonts w:eastAsia="仿宋_GB2312" w:hAnsi="仿宋_GB2312"/>
          <w:color w:val="000000"/>
          <w:sz w:val="32"/>
          <w:szCs w:val="32"/>
        </w:rPr>
        <w:t>团中学朱军老师入选新时代中小学学科领军教师培养计划；职业技术学校伏玮丽老师入选</w:t>
      </w:r>
      <w:r>
        <w:rPr>
          <w:rFonts w:eastAsia="仿宋_GB2312"/>
          <w:color w:val="000000"/>
          <w:sz w:val="32"/>
          <w:szCs w:val="32"/>
        </w:rPr>
        <w:t>“</w:t>
      </w:r>
      <w:r>
        <w:rPr>
          <w:rFonts w:eastAsia="仿宋_GB2312" w:hAnsi="仿宋_GB2312"/>
          <w:color w:val="000000"/>
          <w:sz w:val="32"/>
          <w:szCs w:val="32"/>
        </w:rPr>
        <w:t>天山英才</w:t>
      </w:r>
      <w:r>
        <w:rPr>
          <w:rFonts w:eastAsia="仿宋_GB2312"/>
          <w:color w:val="000000"/>
          <w:sz w:val="32"/>
          <w:szCs w:val="32"/>
        </w:rPr>
        <w:t>”</w:t>
      </w:r>
      <w:r>
        <w:rPr>
          <w:rFonts w:eastAsia="仿宋_GB2312" w:hAnsi="仿宋_GB2312"/>
          <w:color w:val="000000"/>
          <w:sz w:val="32"/>
          <w:szCs w:val="32"/>
        </w:rPr>
        <w:t>教育领军人才培养计划；</w:t>
      </w:r>
      <w:r>
        <w:rPr>
          <w:rFonts w:eastAsia="仿宋_GB2312"/>
          <w:color w:val="000000"/>
          <w:sz w:val="32"/>
          <w:szCs w:val="32"/>
        </w:rPr>
        <w:t>163</w:t>
      </w:r>
      <w:r>
        <w:rPr>
          <w:rFonts w:eastAsia="仿宋_GB2312" w:hAnsi="仿宋_GB2312"/>
          <w:color w:val="000000"/>
          <w:sz w:val="32"/>
          <w:szCs w:val="32"/>
        </w:rPr>
        <w:t>团中学、</w:t>
      </w:r>
      <w:r>
        <w:rPr>
          <w:rFonts w:eastAsia="仿宋_GB2312"/>
          <w:color w:val="000000"/>
          <w:sz w:val="32"/>
          <w:szCs w:val="32"/>
        </w:rPr>
        <w:t>165</w:t>
      </w:r>
      <w:r>
        <w:rPr>
          <w:rFonts w:eastAsia="仿宋_GB2312" w:hAnsi="仿宋_GB2312"/>
          <w:color w:val="000000"/>
          <w:sz w:val="32"/>
          <w:szCs w:val="32"/>
        </w:rPr>
        <w:t>团中学分别获批全国</w:t>
      </w:r>
      <w:r>
        <w:rPr>
          <w:rFonts w:eastAsia="仿宋_GB2312"/>
          <w:color w:val="000000"/>
          <w:sz w:val="32"/>
          <w:szCs w:val="32"/>
        </w:rPr>
        <w:t>“</w:t>
      </w:r>
      <w:r>
        <w:rPr>
          <w:rFonts w:eastAsia="仿宋_GB2312" w:hAnsi="仿宋_GB2312"/>
          <w:color w:val="000000"/>
          <w:sz w:val="32"/>
          <w:szCs w:val="32"/>
        </w:rPr>
        <w:t>第三批、第四批乡村温馨校园建设典型案例学校</w:t>
      </w:r>
      <w:r>
        <w:rPr>
          <w:rFonts w:eastAsia="仿宋_GB2312"/>
          <w:color w:val="000000"/>
          <w:sz w:val="32"/>
          <w:szCs w:val="32"/>
        </w:rPr>
        <w:t>”</w:t>
      </w:r>
      <w:r>
        <w:rPr>
          <w:rFonts w:eastAsia="仿宋_GB2312" w:hAnsi="仿宋_GB2312"/>
          <w:color w:val="000000"/>
          <w:sz w:val="32"/>
          <w:szCs w:val="32"/>
        </w:rPr>
        <w:t>。</w:t>
      </w:r>
      <w:r>
        <w:rPr>
          <w:rFonts w:eastAsia="仿宋_GB2312"/>
          <w:b/>
          <w:color w:val="000000"/>
          <w:sz w:val="32"/>
        </w:rPr>
        <w:t>提升医疗服务水平。</w:t>
      </w:r>
      <w:r>
        <w:rPr>
          <w:rFonts w:eastAsia="仿宋_GB2312" w:hAnsi="仿宋_GB2312"/>
          <w:sz w:val="32"/>
          <w:szCs w:val="32"/>
        </w:rPr>
        <w:t>加强师医院重点专科建设，投入兵团疫情防控补助资金</w:t>
      </w:r>
      <w:r>
        <w:rPr>
          <w:rFonts w:eastAsia="仿宋_GB2312"/>
          <w:sz w:val="32"/>
          <w:szCs w:val="32"/>
        </w:rPr>
        <w:t>1500</w:t>
      </w:r>
      <w:r>
        <w:rPr>
          <w:rFonts w:eastAsia="仿宋_GB2312" w:hAnsi="仿宋_GB2312"/>
          <w:sz w:val="32"/>
          <w:szCs w:val="32"/>
        </w:rPr>
        <w:t>万元用于购置医疗设备，提升专科服务能力，新增</w:t>
      </w:r>
      <w:r>
        <w:rPr>
          <w:rFonts w:eastAsia="仿宋_GB2312"/>
          <w:sz w:val="32"/>
          <w:szCs w:val="32"/>
        </w:rPr>
        <w:t>6</w:t>
      </w:r>
      <w:r>
        <w:rPr>
          <w:rFonts w:eastAsia="仿宋_GB2312" w:hAnsi="仿宋_GB2312"/>
          <w:sz w:val="32"/>
          <w:szCs w:val="32"/>
        </w:rPr>
        <w:t>个师级重点专科。落实</w:t>
      </w:r>
      <w:r>
        <w:rPr>
          <w:rFonts w:eastAsia="仿宋_GB2312"/>
          <w:sz w:val="32"/>
          <w:szCs w:val="32"/>
        </w:rPr>
        <w:t>“</w:t>
      </w:r>
      <w:r>
        <w:rPr>
          <w:rFonts w:eastAsia="仿宋_GB2312" w:hAnsi="仿宋_GB2312"/>
          <w:sz w:val="32"/>
          <w:szCs w:val="32"/>
        </w:rPr>
        <w:t>十大民生实事</w:t>
      </w:r>
      <w:r>
        <w:rPr>
          <w:rFonts w:eastAsia="仿宋_GB2312"/>
          <w:sz w:val="32"/>
          <w:szCs w:val="32"/>
        </w:rPr>
        <w:t>”</w:t>
      </w:r>
      <w:r>
        <w:rPr>
          <w:rFonts w:eastAsia="仿宋_GB2312" w:hAnsi="仿宋_GB2312"/>
          <w:sz w:val="32"/>
          <w:szCs w:val="32"/>
        </w:rPr>
        <w:t>，常住</w:t>
      </w:r>
      <w:r>
        <w:rPr>
          <w:rFonts w:eastAsia="仿宋_GB2312" w:hAnsi="仿宋_GB2312"/>
          <w:sz w:val="32"/>
          <w:szCs w:val="32"/>
        </w:rPr>
        <w:t>居民免费健康体检</w:t>
      </w:r>
      <w:r>
        <w:rPr>
          <w:rFonts w:eastAsia="仿宋_GB2312"/>
          <w:sz w:val="32"/>
          <w:szCs w:val="32"/>
        </w:rPr>
        <w:t>4.62</w:t>
      </w:r>
      <w:r>
        <w:rPr>
          <w:rFonts w:eastAsia="仿宋_GB2312" w:hAnsi="仿宋_GB2312"/>
          <w:sz w:val="32"/>
          <w:szCs w:val="32"/>
        </w:rPr>
        <w:t>万人，其中</w:t>
      </w:r>
      <w:r>
        <w:rPr>
          <w:rFonts w:eastAsia="仿宋_GB2312"/>
          <w:sz w:val="32"/>
          <w:szCs w:val="32"/>
        </w:rPr>
        <w:t>65</w:t>
      </w:r>
      <w:r>
        <w:rPr>
          <w:rFonts w:eastAsia="仿宋_GB2312" w:hAnsi="仿宋_GB2312"/>
          <w:sz w:val="32"/>
          <w:szCs w:val="32"/>
        </w:rPr>
        <w:t>岁以上老年人体检</w:t>
      </w:r>
      <w:r>
        <w:rPr>
          <w:rFonts w:eastAsia="仿宋_GB2312"/>
          <w:sz w:val="32"/>
          <w:szCs w:val="32"/>
        </w:rPr>
        <w:t>0.91</w:t>
      </w:r>
      <w:r>
        <w:rPr>
          <w:rFonts w:eastAsia="仿宋_GB2312" w:hAnsi="仿宋_GB2312"/>
          <w:sz w:val="32"/>
          <w:szCs w:val="32"/>
        </w:rPr>
        <w:t>万人。</w:t>
      </w:r>
      <w:r>
        <w:rPr>
          <w:rFonts w:eastAsia="仿宋_GB2312"/>
          <w:b/>
          <w:color w:val="000000"/>
          <w:sz w:val="32"/>
        </w:rPr>
        <w:t>强化社会兜底保障。</w:t>
      </w:r>
      <w:r>
        <w:rPr>
          <w:rFonts w:eastAsia="仿宋_GB2312"/>
          <w:color w:val="000000"/>
          <w:sz w:val="32"/>
        </w:rPr>
        <w:t>织密扎牢社会救助安全网，累计发放各类补贴</w:t>
      </w:r>
      <w:r>
        <w:rPr>
          <w:rFonts w:eastAsia="仿宋_GB2312" w:hint="eastAsia"/>
          <w:color w:val="000000"/>
          <w:sz w:val="32"/>
        </w:rPr>
        <w:t>1335</w:t>
      </w:r>
      <w:r>
        <w:rPr>
          <w:rFonts w:eastAsia="仿宋_GB2312"/>
          <w:color w:val="000000"/>
          <w:sz w:val="32"/>
        </w:rPr>
        <w:t>万元。提升救助服务效能，为低保、特困、孤儿和事实无人抚养儿童发放一次性生活补贴</w:t>
      </w:r>
      <w:r>
        <w:rPr>
          <w:rFonts w:eastAsia="仿宋_GB2312"/>
          <w:color w:val="000000"/>
          <w:sz w:val="32"/>
        </w:rPr>
        <w:t>179.02</w:t>
      </w:r>
      <w:r>
        <w:rPr>
          <w:rFonts w:eastAsia="仿宋_GB2312"/>
          <w:color w:val="000000"/>
          <w:sz w:val="32"/>
        </w:rPr>
        <w:t>万元。养老、医疗、生育等保险参保人数均完成兵团下达目标任务，新增人口参保率</w:t>
      </w:r>
      <w:r>
        <w:rPr>
          <w:rFonts w:eastAsia="仿宋_GB2312"/>
          <w:color w:val="000000"/>
          <w:sz w:val="32"/>
        </w:rPr>
        <w:t>100%</w:t>
      </w:r>
      <w:r>
        <w:rPr>
          <w:rFonts w:eastAsia="仿宋_GB2312"/>
          <w:color w:val="000000"/>
          <w:sz w:val="32"/>
        </w:rPr>
        <w:t>。</w:t>
      </w:r>
    </w:p>
    <w:p w14:paraId="63E0DB25" w14:textId="77777777" w:rsidR="00000000" w:rsidRDefault="00763D17">
      <w:pPr>
        <w:ind w:firstLineChars="200" w:firstLine="643"/>
        <w:rPr>
          <w:rFonts w:eastAsia="仿宋_GB2312"/>
          <w:sz w:val="32"/>
          <w:szCs w:val="32"/>
        </w:rPr>
      </w:pPr>
      <w:r>
        <w:rPr>
          <w:rFonts w:eastAsia="楷体_GB2312" w:hint="eastAsia"/>
          <w:b/>
          <w:sz w:val="32"/>
          <w:szCs w:val="32"/>
        </w:rPr>
        <w:t>5.</w:t>
      </w:r>
      <w:r>
        <w:rPr>
          <w:rFonts w:eastAsia="楷体_GB2312"/>
          <w:b/>
          <w:sz w:val="32"/>
          <w:szCs w:val="32"/>
        </w:rPr>
        <w:t>持续深化重点领域改革。</w:t>
      </w:r>
      <w:r>
        <w:rPr>
          <w:rFonts w:eastAsia="仿宋_GB2312"/>
          <w:b/>
          <w:sz w:val="32"/>
          <w:szCs w:val="32"/>
        </w:rPr>
        <w:t>一是</w:t>
      </w:r>
      <w:r>
        <w:rPr>
          <w:rFonts w:eastAsia="仿宋_GB2312"/>
          <w:sz w:val="32"/>
          <w:szCs w:val="32"/>
        </w:rPr>
        <w:t>持续深化团场综合配套改革。完善《第</w:t>
      </w:r>
      <w:r>
        <w:rPr>
          <w:rFonts w:eastAsia="仿宋_GB2312"/>
          <w:sz w:val="32"/>
          <w:szCs w:val="32"/>
        </w:rPr>
        <w:lastRenderedPageBreak/>
        <w:t>九师连队职工管理实施细则》。做好</w:t>
      </w:r>
      <w:r>
        <w:rPr>
          <w:rFonts w:eastAsia="仿宋_GB2312"/>
          <w:sz w:val="32"/>
          <w:szCs w:val="32"/>
        </w:rPr>
        <w:t>143</w:t>
      </w:r>
      <w:r>
        <w:rPr>
          <w:rFonts w:eastAsia="仿宋_GB2312"/>
          <w:sz w:val="32"/>
          <w:szCs w:val="32"/>
        </w:rPr>
        <w:t>项行政权力事项的团场授权承接工作，提升政务服务效能。改造</w:t>
      </w:r>
      <w:r>
        <w:rPr>
          <w:rFonts w:eastAsia="仿宋_GB2312"/>
          <w:sz w:val="32"/>
          <w:szCs w:val="32"/>
        </w:rPr>
        <w:t>10</w:t>
      </w:r>
      <w:r>
        <w:rPr>
          <w:rFonts w:eastAsia="仿宋_GB2312"/>
          <w:sz w:val="32"/>
          <w:szCs w:val="32"/>
        </w:rPr>
        <w:t>个团场便民服务中心，提升工作人员业务水平</w:t>
      </w:r>
      <w:r>
        <w:rPr>
          <w:rFonts w:eastAsia="仿宋_GB2312"/>
          <w:sz w:val="32"/>
          <w:szCs w:val="32"/>
        </w:rPr>
        <w:t>，推进兵团一体化政务服务平台向团场延伸。健全完善团场国有资产管理体制，全面完成团场资产管理公司组建工作，盘活团场闲置资产</w:t>
      </w:r>
      <w:r>
        <w:rPr>
          <w:rFonts w:eastAsia="仿宋_GB2312"/>
          <w:sz w:val="32"/>
          <w:szCs w:val="32"/>
        </w:rPr>
        <w:t>5.34</w:t>
      </w:r>
      <w:r>
        <w:rPr>
          <w:rFonts w:eastAsia="仿宋_GB2312"/>
          <w:sz w:val="32"/>
          <w:szCs w:val="32"/>
        </w:rPr>
        <w:t>亿元。完善团场财税管理体制，制定《关于进一步推进师市以下财政体制改革的实施方案》。推动落实促进连队经济的各项政策举措，发展壮大连队经济。</w:t>
      </w:r>
      <w:r>
        <w:rPr>
          <w:rFonts w:eastAsia="仿宋_GB2312"/>
          <w:b/>
          <w:sz w:val="32"/>
          <w:szCs w:val="32"/>
        </w:rPr>
        <w:t>二是</w:t>
      </w:r>
      <w:r>
        <w:rPr>
          <w:rFonts w:eastAsia="仿宋_GB2312"/>
          <w:sz w:val="32"/>
          <w:szCs w:val="32"/>
        </w:rPr>
        <w:t>进一步深化国资国企改革。以深化巩固国企改革三年行动为抓手，制定师市国有企业振兴方案，推动国有资本和国有企业进一步做强做优做大。健全市场化经营机制，制定目标薪酬考核方案，明确年度经营目标，有效发挥薪酬考核</w:t>
      </w:r>
      <w:r>
        <w:rPr>
          <w:rFonts w:eastAsia="仿宋_GB2312"/>
          <w:sz w:val="32"/>
          <w:szCs w:val="32"/>
        </w:rPr>
        <w:t>“</w:t>
      </w:r>
      <w:r>
        <w:rPr>
          <w:rFonts w:eastAsia="仿宋_GB2312"/>
          <w:sz w:val="32"/>
          <w:szCs w:val="32"/>
        </w:rPr>
        <w:t>指挥棒</w:t>
      </w:r>
      <w:r>
        <w:rPr>
          <w:rFonts w:eastAsia="仿宋_GB2312"/>
          <w:sz w:val="32"/>
          <w:szCs w:val="32"/>
        </w:rPr>
        <w:t>”</w:t>
      </w:r>
      <w:r>
        <w:rPr>
          <w:rFonts w:eastAsia="仿宋_GB2312"/>
          <w:sz w:val="32"/>
          <w:szCs w:val="32"/>
        </w:rPr>
        <w:t>作用，提高企业负责人生产经营积极</w:t>
      </w:r>
      <w:r>
        <w:rPr>
          <w:rFonts w:eastAsia="仿宋_GB2312"/>
          <w:sz w:val="32"/>
          <w:szCs w:val="32"/>
        </w:rPr>
        <w:t>性。积极盘活师团闲置资产，起草了行政事业单位经营性资产盘活方案、师企带团企帮扶活动方案等文件，盘活存量资产，激发市场活力。</w:t>
      </w:r>
      <w:r>
        <w:rPr>
          <w:rFonts w:eastAsia="仿宋_GB2312"/>
          <w:b/>
          <w:sz w:val="32"/>
          <w:szCs w:val="32"/>
        </w:rPr>
        <w:t>三是</w:t>
      </w:r>
      <w:r>
        <w:rPr>
          <w:rFonts w:eastAsia="仿宋_GB2312"/>
          <w:sz w:val="32"/>
          <w:szCs w:val="32"/>
        </w:rPr>
        <w:t>有力推进开发区改革。制定印发《巴克图经济技术开发区绩效考核管理办法</w:t>
      </w:r>
      <w:r>
        <w:rPr>
          <w:rFonts w:eastAsia="仿宋_GB2312"/>
          <w:sz w:val="32"/>
          <w:szCs w:val="32"/>
        </w:rPr>
        <w:t>(</w:t>
      </w:r>
      <w:r>
        <w:rPr>
          <w:rFonts w:eastAsia="仿宋_GB2312"/>
          <w:sz w:val="32"/>
          <w:szCs w:val="32"/>
        </w:rPr>
        <w:t>试行</w:t>
      </w:r>
      <w:r>
        <w:rPr>
          <w:rFonts w:eastAsia="仿宋_GB2312"/>
          <w:sz w:val="32"/>
          <w:szCs w:val="32"/>
        </w:rPr>
        <w:t>)</w:t>
      </w:r>
      <w:r>
        <w:rPr>
          <w:rFonts w:eastAsia="仿宋_GB2312"/>
          <w:sz w:val="32"/>
          <w:szCs w:val="32"/>
        </w:rPr>
        <w:t>》《第九师巴克图经济技术开发区高质量发展三年行动方案（</w:t>
      </w:r>
      <w:r>
        <w:rPr>
          <w:rFonts w:eastAsia="仿宋_GB2312"/>
          <w:sz w:val="32"/>
          <w:szCs w:val="32"/>
        </w:rPr>
        <w:t>2023-2025</w:t>
      </w:r>
      <w:r>
        <w:rPr>
          <w:rFonts w:eastAsia="仿宋_GB2312"/>
          <w:sz w:val="32"/>
          <w:szCs w:val="32"/>
        </w:rPr>
        <w:t>年）》。巴克图投资开发运营有限公司完成公司</w:t>
      </w:r>
      <w:r>
        <w:rPr>
          <w:rFonts w:eastAsia="仿宋_GB2312" w:hint="eastAsia"/>
          <w:sz w:val="32"/>
          <w:szCs w:val="32"/>
        </w:rPr>
        <w:t>改革</w:t>
      </w:r>
      <w:r>
        <w:rPr>
          <w:rFonts w:eastAsia="仿宋_GB2312"/>
          <w:sz w:val="32"/>
          <w:szCs w:val="32"/>
        </w:rPr>
        <w:t>事项。</w:t>
      </w:r>
      <w:r>
        <w:rPr>
          <w:rFonts w:eastAsia="仿宋_GB2312"/>
          <w:b/>
          <w:sz w:val="32"/>
          <w:szCs w:val="32"/>
        </w:rPr>
        <w:t>四是</w:t>
      </w:r>
      <w:r>
        <w:rPr>
          <w:rFonts w:eastAsia="仿宋_GB2312"/>
          <w:sz w:val="32"/>
          <w:szCs w:val="32"/>
        </w:rPr>
        <w:t>统筹推进重点领城改革。根据兵团党委统一部署，有序推进教育、卫生、科技、文化领域以及电力体制等各项改革，并取得积极成效。</w:t>
      </w:r>
    </w:p>
    <w:p w14:paraId="44440849" w14:textId="77777777" w:rsidR="00000000" w:rsidRDefault="00763D17">
      <w:pPr>
        <w:numPr>
          <w:ilvl w:val="0"/>
          <w:numId w:val="2"/>
        </w:numPr>
        <w:ind w:firstLineChars="200" w:firstLine="643"/>
        <w:rPr>
          <w:rFonts w:ascii="楷体_GB2312" w:eastAsia="楷体_GB2312" w:hAnsi="仿宋" w:hint="eastAsia"/>
          <w:b/>
          <w:sz w:val="32"/>
          <w:szCs w:val="32"/>
        </w:rPr>
      </w:pPr>
      <w:r>
        <w:rPr>
          <w:rFonts w:ascii="楷体_GB2312" w:eastAsia="楷体_GB2312" w:hAnsi="仿宋" w:hint="eastAsia"/>
          <w:b/>
          <w:sz w:val="32"/>
          <w:szCs w:val="32"/>
        </w:rPr>
        <w:t>财政收支运行情况。</w:t>
      </w:r>
    </w:p>
    <w:p w14:paraId="00FEBD4D" w14:textId="77777777" w:rsidR="00000000" w:rsidRDefault="00763D17">
      <w:pPr>
        <w:ind w:firstLineChars="200" w:firstLine="640"/>
        <w:rPr>
          <w:rFonts w:eastAsia="仿宋_GB2312" w:hint="eastAsia"/>
          <w:sz w:val="32"/>
          <w:szCs w:val="32"/>
        </w:rPr>
      </w:pPr>
      <w:r>
        <w:rPr>
          <w:rFonts w:eastAsia="楷体_GB2312" w:hint="eastAsia"/>
          <w:sz w:val="32"/>
          <w:szCs w:val="32"/>
        </w:rPr>
        <w:t>1.</w:t>
      </w:r>
      <w:r>
        <w:rPr>
          <w:rFonts w:eastAsia="楷体_GB2312" w:hint="eastAsia"/>
          <w:sz w:val="32"/>
          <w:szCs w:val="32"/>
        </w:rPr>
        <w:t>一般公共预算执行情况</w:t>
      </w:r>
    </w:p>
    <w:p w14:paraId="47B0F236" w14:textId="77777777" w:rsidR="00000000" w:rsidRDefault="00763D17">
      <w:pPr>
        <w:ind w:firstLineChars="200" w:firstLine="640"/>
        <w:rPr>
          <w:rFonts w:eastAsia="仿宋_GB2312" w:hint="eastAsia"/>
          <w:sz w:val="32"/>
          <w:szCs w:val="32"/>
        </w:rPr>
      </w:pPr>
      <w:r>
        <w:rPr>
          <w:rFonts w:eastAsia="仿宋_GB2312" w:hint="eastAsia"/>
          <w:sz w:val="32"/>
          <w:szCs w:val="32"/>
          <w:lang w:val="zh-CN"/>
        </w:rPr>
        <w:t>20</w:t>
      </w:r>
      <w:r>
        <w:rPr>
          <w:rFonts w:eastAsia="仿宋_GB2312" w:hint="eastAsia"/>
          <w:sz w:val="32"/>
          <w:szCs w:val="32"/>
          <w:lang w:val="zh-CN"/>
        </w:rPr>
        <w:t>23</w:t>
      </w:r>
      <w:r>
        <w:rPr>
          <w:rFonts w:eastAsia="仿宋_GB2312" w:hint="eastAsia"/>
          <w:sz w:val="32"/>
          <w:szCs w:val="32"/>
          <w:lang w:val="zh-CN"/>
        </w:rPr>
        <w:t>年，九师</w:t>
      </w:r>
      <w:r>
        <w:rPr>
          <w:rFonts w:eastAsia="仿宋_GB2312" w:hint="eastAsia"/>
          <w:sz w:val="32"/>
          <w:szCs w:val="32"/>
        </w:rPr>
        <w:t>一</w:t>
      </w:r>
      <w:r>
        <w:rPr>
          <w:rFonts w:eastAsia="仿宋_GB2312" w:hint="eastAsia"/>
          <w:sz w:val="32"/>
          <w:szCs w:val="32"/>
        </w:rPr>
        <w:t>般</w:t>
      </w:r>
      <w:r>
        <w:rPr>
          <w:rFonts w:eastAsia="仿宋_GB2312" w:hint="eastAsia"/>
          <w:sz w:val="32"/>
          <w:szCs w:val="32"/>
          <w:lang w:val="zh-CN"/>
        </w:rPr>
        <w:t>公共预算收入</w:t>
      </w:r>
      <w:r>
        <w:rPr>
          <w:rFonts w:eastAsia="仿宋_GB2312" w:hint="eastAsia"/>
          <w:sz w:val="32"/>
          <w:szCs w:val="32"/>
        </w:rPr>
        <w:t>31211</w:t>
      </w:r>
      <w:r>
        <w:rPr>
          <w:rFonts w:eastAsia="仿宋_GB2312" w:hint="eastAsia"/>
          <w:sz w:val="32"/>
          <w:szCs w:val="32"/>
          <w:lang w:val="zh-CN"/>
        </w:rPr>
        <w:t>万元</w:t>
      </w:r>
      <w:r>
        <w:rPr>
          <w:rFonts w:eastAsia="仿宋_GB2312" w:hint="eastAsia"/>
          <w:sz w:val="32"/>
          <w:szCs w:val="32"/>
          <w:lang w:val="zh-CN"/>
        </w:rPr>
        <w:t>，完成预算的</w:t>
      </w:r>
      <w:r>
        <w:rPr>
          <w:rFonts w:eastAsia="仿宋_GB2312" w:hint="eastAsia"/>
          <w:sz w:val="32"/>
          <w:szCs w:val="32"/>
        </w:rPr>
        <w:t>189</w:t>
      </w:r>
      <w:r>
        <w:rPr>
          <w:rFonts w:eastAsia="仿宋_GB2312" w:hint="eastAsia"/>
          <w:sz w:val="32"/>
          <w:szCs w:val="32"/>
          <w:lang w:val="zh-CN"/>
        </w:rPr>
        <w:t>%</w:t>
      </w:r>
      <w:r>
        <w:rPr>
          <w:rFonts w:eastAsia="仿宋_GB2312" w:hint="eastAsia"/>
          <w:sz w:val="32"/>
          <w:szCs w:val="32"/>
          <w:lang w:val="zh-CN"/>
        </w:rPr>
        <w:t>，同比增长</w:t>
      </w:r>
      <w:r>
        <w:rPr>
          <w:rFonts w:eastAsia="仿宋_GB2312" w:hint="eastAsia"/>
          <w:sz w:val="32"/>
          <w:szCs w:val="32"/>
        </w:rPr>
        <w:t>28.7</w:t>
      </w:r>
      <w:r>
        <w:rPr>
          <w:rFonts w:eastAsia="仿宋_GB2312" w:hint="eastAsia"/>
          <w:sz w:val="32"/>
          <w:szCs w:val="32"/>
          <w:lang w:val="zh-CN"/>
        </w:rPr>
        <w:t>%</w:t>
      </w:r>
      <w:r>
        <w:rPr>
          <w:rFonts w:eastAsia="仿宋_GB2312" w:hint="eastAsia"/>
          <w:sz w:val="32"/>
          <w:szCs w:val="32"/>
          <w:lang w:val="zh-CN"/>
        </w:rPr>
        <w:t>。</w:t>
      </w:r>
      <w:r>
        <w:rPr>
          <w:rFonts w:eastAsia="仿宋_GB2312" w:hint="eastAsia"/>
          <w:sz w:val="32"/>
          <w:szCs w:val="32"/>
        </w:rPr>
        <w:t>其中：</w:t>
      </w:r>
      <w:r>
        <w:rPr>
          <w:rFonts w:eastAsia="仿宋_GB2312"/>
          <w:sz w:val="32"/>
          <w:szCs w:val="32"/>
        </w:rPr>
        <w:t>税收收入</w:t>
      </w:r>
      <w:r>
        <w:rPr>
          <w:rFonts w:eastAsia="仿宋_GB2312" w:hint="eastAsia"/>
          <w:sz w:val="32"/>
          <w:szCs w:val="32"/>
        </w:rPr>
        <w:t>14354</w:t>
      </w:r>
      <w:r>
        <w:rPr>
          <w:rFonts w:eastAsia="仿宋_GB2312"/>
          <w:sz w:val="32"/>
          <w:szCs w:val="32"/>
        </w:rPr>
        <w:t>万元，</w:t>
      </w:r>
      <w:r>
        <w:rPr>
          <w:rFonts w:eastAsia="仿宋_GB2312" w:hint="eastAsia"/>
          <w:sz w:val="32"/>
          <w:szCs w:val="32"/>
        </w:rPr>
        <w:t>同比增长</w:t>
      </w:r>
      <w:r>
        <w:rPr>
          <w:rFonts w:eastAsia="仿宋_GB2312" w:hint="eastAsia"/>
          <w:sz w:val="32"/>
          <w:szCs w:val="32"/>
        </w:rPr>
        <w:t>81.2</w:t>
      </w:r>
      <w:r>
        <w:rPr>
          <w:rFonts w:eastAsia="仿宋_GB2312"/>
          <w:sz w:val="32"/>
          <w:szCs w:val="32"/>
        </w:rPr>
        <w:t>%</w:t>
      </w:r>
      <w:r>
        <w:rPr>
          <w:rFonts w:eastAsia="仿宋_GB2312"/>
          <w:sz w:val="32"/>
          <w:szCs w:val="32"/>
        </w:rPr>
        <w:t>；非税收入</w:t>
      </w:r>
      <w:r>
        <w:rPr>
          <w:rFonts w:eastAsia="仿宋_GB2312" w:hint="eastAsia"/>
          <w:sz w:val="32"/>
          <w:szCs w:val="32"/>
        </w:rPr>
        <w:t>16857</w:t>
      </w:r>
      <w:r>
        <w:rPr>
          <w:rFonts w:eastAsia="仿宋_GB2312"/>
          <w:sz w:val="32"/>
          <w:szCs w:val="32"/>
        </w:rPr>
        <w:t>万元，</w:t>
      </w:r>
      <w:r>
        <w:rPr>
          <w:rFonts w:eastAsia="仿宋_GB2312" w:hint="eastAsia"/>
          <w:sz w:val="32"/>
          <w:szCs w:val="32"/>
        </w:rPr>
        <w:t>同比</w:t>
      </w:r>
      <w:r>
        <w:rPr>
          <w:rFonts w:eastAsia="仿宋_GB2312"/>
          <w:sz w:val="32"/>
          <w:szCs w:val="32"/>
        </w:rPr>
        <w:t>增长</w:t>
      </w:r>
      <w:r>
        <w:rPr>
          <w:rFonts w:eastAsia="仿宋_GB2312" w:hint="eastAsia"/>
          <w:sz w:val="32"/>
          <w:szCs w:val="32"/>
        </w:rPr>
        <w:t>3.3</w:t>
      </w:r>
      <w:r>
        <w:rPr>
          <w:rFonts w:eastAsia="仿宋_GB2312"/>
          <w:sz w:val="32"/>
          <w:szCs w:val="32"/>
        </w:rPr>
        <w:t>%</w:t>
      </w:r>
      <w:r>
        <w:rPr>
          <w:rFonts w:eastAsia="仿宋_GB2312" w:hint="eastAsia"/>
          <w:sz w:val="32"/>
          <w:szCs w:val="32"/>
        </w:rPr>
        <w:t>。</w:t>
      </w:r>
      <w:r>
        <w:rPr>
          <w:rFonts w:eastAsia="仿宋_GB2312"/>
          <w:sz w:val="32"/>
          <w:szCs w:val="32"/>
        </w:rPr>
        <w:t>上级补助收入</w:t>
      </w:r>
      <w:r>
        <w:rPr>
          <w:rFonts w:eastAsia="仿宋_GB2312" w:hint="eastAsia"/>
          <w:sz w:val="32"/>
          <w:szCs w:val="32"/>
        </w:rPr>
        <w:t>341850</w:t>
      </w:r>
      <w:r>
        <w:rPr>
          <w:rFonts w:eastAsia="仿宋_GB2312"/>
          <w:sz w:val="32"/>
          <w:szCs w:val="32"/>
        </w:rPr>
        <w:t>万元，一般债券收入</w:t>
      </w:r>
      <w:r>
        <w:rPr>
          <w:rFonts w:eastAsia="仿宋_GB2312" w:hint="eastAsia"/>
          <w:sz w:val="32"/>
          <w:szCs w:val="32"/>
        </w:rPr>
        <w:t>32930</w:t>
      </w:r>
      <w:r>
        <w:rPr>
          <w:rFonts w:eastAsia="仿宋_GB2312"/>
          <w:sz w:val="32"/>
          <w:szCs w:val="32"/>
        </w:rPr>
        <w:t>万元，</w:t>
      </w:r>
      <w:r>
        <w:rPr>
          <w:rFonts w:eastAsia="仿宋_GB2312" w:hint="eastAsia"/>
          <w:sz w:val="32"/>
          <w:szCs w:val="32"/>
        </w:rPr>
        <w:t>动用</w:t>
      </w:r>
      <w:r>
        <w:rPr>
          <w:rFonts w:eastAsia="仿宋_GB2312"/>
          <w:sz w:val="32"/>
          <w:szCs w:val="32"/>
        </w:rPr>
        <w:t>预算稳定调节基金</w:t>
      </w:r>
      <w:r>
        <w:rPr>
          <w:rFonts w:eastAsia="仿宋_GB2312" w:hint="eastAsia"/>
          <w:sz w:val="32"/>
          <w:szCs w:val="32"/>
        </w:rPr>
        <w:t>15243</w:t>
      </w:r>
      <w:r>
        <w:rPr>
          <w:rFonts w:eastAsia="仿宋_GB2312"/>
          <w:sz w:val="32"/>
          <w:szCs w:val="32"/>
        </w:rPr>
        <w:t>万元，调</w:t>
      </w:r>
      <w:r>
        <w:rPr>
          <w:rFonts w:eastAsia="仿宋_GB2312"/>
          <w:sz w:val="32"/>
          <w:szCs w:val="32"/>
        </w:rPr>
        <w:t>入资金</w:t>
      </w:r>
      <w:r>
        <w:rPr>
          <w:rFonts w:eastAsia="仿宋_GB2312" w:hint="eastAsia"/>
          <w:sz w:val="32"/>
          <w:szCs w:val="32"/>
        </w:rPr>
        <w:t>4245</w:t>
      </w:r>
      <w:r>
        <w:rPr>
          <w:rFonts w:eastAsia="仿宋_GB2312"/>
          <w:sz w:val="32"/>
          <w:szCs w:val="32"/>
        </w:rPr>
        <w:t>万元，上年</w:t>
      </w:r>
      <w:r>
        <w:rPr>
          <w:rFonts w:eastAsia="仿宋_GB2312" w:hint="eastAsia"/>
          <w:sz w:val="32"/>
          <w:szCs w:val="32"/>
        </w:rPr>
        <w:t>结转</w:t>
      </w:r>
      <w:r>
        <w:rPr>
          <w:rFonts w:eastAsia="仿宋_GB2312" w:hint="eastAsia"/>
          <w:sz w:val="32"/>
          <w:szCs w:val="32"/>
        </w:rPr>
        <w:t>54977</w:t>
      </w:r>
      <w:r>
        <w:rPr>
          <w:rFonts w:eastAsia="仿宋_GB2312"/>
          <w:sz w:val="32"/>
          <w:szCs w:val="32"/>
        </w:rPr>
        <w:t>万元</w:t>
      </w:r>
      <w:r>
        <w:rPr>
          <w:rFonts w:eastAsia="仿宋_GB2312" w:hint="eastAsia"/>
          <w:sz w:val="32"/>
          <w:szCs w:val="32"/>
        </w:rPr>
        <w:t>，收入总计</w:t>
      </w:r>
      <w:r>
        <w:rPr>
          <w:rFonts w:eastAsia="仿宋_GB2312" w:hint="eastAsia"/>
          <w:sz w:val="32"/>
          <w:szCs w:val="32"/>
        </w:rPr>
        <w:t>479866</w:t>
      </w:r>
      <w:r>
        <w:rPr>
          <w:rFonts w:eastAsia="仿宋_GB2312" w:hint="eastAsia"/>
          <w:sz w:val="32"/>
          <w:szCs w:val="32"/>
        </w:rPr>
        <w:t>万元。九</w:t>
      </w:r>
      <w:r>
        <w:rPr>
          <w:rFonts w:eastAsia="仿宋_GB2312" w:hint="eastAsia"/>
          <w:sz w:val="32"/>
          <w:szCs w:val="32"/>
        </w:rPr>
        <w:t>师</w:t>
      </w:r>
      <w:r>
        <w:rPr>
          <w:rFonts w:eastAsia="仿宋_GB2312"/>
          <w:sz w:val="32"/>
          <w:szCs w:val="32"/>
          <w:lang w:val="zh-CN"/>
        </w:rPr>
        <w:t>一般公共预算支出</w:t>
      </w:r>
      <w:r>
        <w:rPr>
          <w:rFonts w:eastAsia="仿宋_GB2312" w:hint="eastAsia"/>
          <w:sz w:val="32"/>
          <w:szCs w:val="32"/>
        </w:rPr>
        <w:t>377267</w:t>
      </w:r>
      <w:r>
        <w:rPr>
          <w:rFonts w:eastAsia="仿宋_GB2312"/>
          <w:sz w:val="32"/>
          <w:szCs w:val="32"/>
        </w:rPr>
        <w:t>万元，</w:t>
      </w:r>
      <w:r>
        <w:rPr>
          <w:rFonts w:eastAsia="仿宋_GB2312" w:hint="eastAsia"/>
          <w:sz w:val="32"/>
          <w:szCs w:val="32"/>
          <w:lang w:val="zh-CN"/>
        </w:rPr>
        <w:t>同比下降</w:t>
      </w:r>
      <w:r>
        <w:rPr>
          <w:rFonts w:eastAsia="仿宋_GB2312" w:hint="eastAsia"/>
          <w:sz w:val="32"/>
          <w:szCs w:val="32"/>
        </w:rPr>
        <w:t>5.1%</w:t>
      </w:r>
      <w:r>
        <w:rPr>
          <w:rFonts w:eastAsia="仿宋_GB2312" w:hint="eastAsia"/>
          <w:sz w:val="32"/>
          <w:szCs w:val="32"/>
        </w:rPr>
        <w:t>。</w:t>
      </w:r>
      <w:r>
        <w:rPr>
          <w:rFonts w:eastAsia="仿宋_GB2312" w:hint="eastAsia"/>
          <w:sz w:val="32"/>
          <w:szCs w:val="32"/>
        </w:rPr>
        <w:t>加上上解支出</w:t>
      </w:r>
      <w:r>
        <w:rPr>
          <w:rFonts w:eastAsia="仿宋_GB2312" w:hint="eastAsia"/>
          <w:sz w:val="32"/>
          <w:szCs w:val="32"/>
        </w:rPr>
        <w:t>11791</w:t>
      </w:r>
      <w:r>
        <w:rPr>
          <w:rFonts w:eastAsia="仿宋_GB2312" w:hint="eastAsia"/>
          <w:sz w:val="32"/>
          <w:szCs w:val="32"/>
        </w:rPr>
        <w:t>万元，</w:t>
      </w:r>
      <w:r>
        <w:rPr>
          <w:rFonts w:eastAsia="仿宋_GB2312"/>
          <w:sz w:val="32"/>
          <w:szCs w:val="32"/>
          <w:lang w:val="zh-CN"/>
        </w:rPr>
        <w:t>安排预算稳定调节基金</w:t>
      </w:r>
      <w:r>
        <w:rPr>
          <w:rFonts w:eastAsia="仿宋_GB2312" w:hint="eastAsia"/>
          <w:sz w:val="32"/>
          <w:szCs w:val="32"/>
        </w:rPr>
        <w:t>14682</w:t>
      </w:r>
      <w:r>
        <w:rPr>
          <w:rFonts w:eastAsia="仿宋_GB2312"/>
          <w:sz w:val="32"/>
          <w:szCs w:val="32"/>
          <w:lang w:val="zh-CN"/>
        </w:rPr>
        <w:t>万元。</w:t>
      </w:r>
      <w:r>
        <w:rPr>
          <w:rFonts w:eastAsia="仿宋_GB2312" w:hint="eastAsia"/>
          <w:sz w:val="32"/>
          <w:szCs w:val="32"/>
        </w:rPr>
        <w:t>支出总计</w:t>
      </w:r>
      <w:r>
        <w:rPr>
          <w:rFonts w:eastAsia="仿宋_GB2312" w:hint="eastAsia"/>
          <w:sz w:val="32"/>
          <w:szCs w:val="32"/>
        </w:rPr>
        <w:t>403740</w:t>
      </w:r>
      <w:r>
        <w:rPr>
          <w:rFonts w:eastAsia="仿宋_GB2312"/>
          <w:sz w:val="32"/>
          <w:szCs w:val="32"/>
        </w:rPr>
        <w:t>万元</w:t>
      </w:r>
      <w:r>
        <w:rPr>
          <w:rFonts w:eastAsia="仿宋_GB2312" w:hint="eastAsia"/>
          <w:sz w:val="32"/>
          <w:szCs w:val="32"/>
          <w:lang w:val="zh-CN"/>
        </w:rPr>
        <w:t>。收支相抵，年终结余</w:t>
      </w:r>
      <w:r>
        <w:rPr>
          <w:rFonts w:eastAsia="仿宋_GB2312" w:hint="eastAsia"/>
          <w:sz w:val="32"/>
          <w:szCs w:val="32"/>
        </w:rPr>
        <w:t>76126</w:t>
      </w:r>
      <w:r>
        <w:rPr>
          <w:rFonts w:eastAsia="仿宋_GB2312" w:hint="eastAsia"/>
          <w:sz w:val="32"/>
          <w:szCs w:val="32"/>
        </w:rPr>
        <w:t>万元，</w:t>
      </w:r>
      <w:r>
        <w:rPr>
          <w:rFonts w:eastAsia="仿宋_GB2312" w:hint="eastAsia"/>
          <w:sz w:val="32"/>
          <w:szCs w:val="32"/>
          <w:lang w:val="zh-CN"/>
        </w:rPr>
        <w:t>全部</w:t>
      </w:r>
      <w:r>
        <w:rPr>
          <w:rFonts w:eastAsia="仿宋_GB2312" w:hint="eastAsia"/>
          <w:sz w:val="32"/>
          <w:szCs w:val="32"/>
          <w:lang w:val="zh-CN"/>
        </w:rPr>
        <w:t>为结转下年支出，</w:t>
      </w:r>
      <w:r>
        <w:rPr>
          <w:rFonts w:eastAsia="仿宋_GB2312" w:hint="eastAsia"/>
          <w:sz w:val="32"/>
          <w:szCs w:val="32"/>
        </w:rPr>
        <w:t>当年收支平衡。</w:t>
      </w:r>
    </w:p>
    <w:p w14:paraId="6A48E725" w14:textId="77777777" w:rsidR="00000000" w:rsidRDefault="00763D17">
      <w:pPr>
        <w:ind w:firstLineChars="200" w:firstLine="640"/>
        <w:rPr>
          <w:rFonts w:eastAsia="仿宋_GB2312" w:hint="eastAsia"/>
          <w:sz w:val="32"/>
          <w:szCs w:val="32"/>
          <w:lang w:val="zh-CN"/>
        </w:rPr>
      </w:pPr>
      <w:r>
        <w:rPr>
          <w:rFonts w:eastAsia="楷体_GB2312" w:hint="eastAsia"/>
          <w:kern w:val="0"/>
          <w:sz w:val="32"/>
          <w:szCs w:val="32"/>
          <w:lang w:bidi="ar"/>
        </w:rPr>
        <w:t>2.</w:t>
      </w:r>
      <w:r>
        <w:rPr>
          <w:rFonts w:eastAsia="楷体_GB2312" w:hint="eastAsia"/>
          <w:kern w:val="0"/>
          <w:sz w:val="32"/>
          <w:szCs w:val="32"/>
          <w:lang w:bidi="ar"/>
        </w:rPr>
        <w:t>政府性基金收支完成情况</w:t>
      </w:r>
    </w:p>
    <w:p w14:paraId="09D86078" w14:textId="77777777" w:rsidR="00000000" w:rsidRDefault="00763D17">
      <w:pPr>
        <w:ind w:firstLineChars="200" w:firstLine="640"/>
        <w:rPr>
          <w:rFonts w:eastAsia="仿宋_GB2312" w:hint="eastAsia"/>
          <w:sz w:val="32"/>
          <w:szCs w:val="32"/>
          <w:lang w:val="zh-CN"/>
        </w:rPr>
      </w:pPr>
      <w:r>
        <w:rPr>
          <w:rFonts w:eastAsia="仿宋_GB2312" w:hint="eastAsia"/>
          <w:sz w:val="32"/>
          <w:szCs w:val="32"/>
          <w:lang w:val="zh-CN"/>
        </w:rPr>
        <w:t>20</w:t>
      </w:r>
      <w:r>
        <w:rPr>
          <w:rFonts w:eastAsia="仿宋_GB2312" w:hint="eastAsia"/>
          <w:sz w:val="32"/>
          <w:szCs w:val="32"/>
        </w:rPr>
        <w:t>23</w:t>
      </w:r>
      <w:r>
        <w:rPr>
          <w:rFonts w:eastAsia="仿宋_GB2312" w:hint="eastAsia"/>
          <w:sz w:val="32"/>
          <w:szCs w:val="32"/>
          <w:lang w:val="zh-CN"/>
        </w:rPr>
        <w:t>年，九师政府性基金收入</w:t>
      </w:r>
      <w:r>
        <w:rPr>
          <w:rFonts w:eastAsia="仿宋_GB2312" w:hint="eastAsia"/>
          <w:sz w:val="32"/>
          <w:szCs w:val="32"/>
        </w:rPr>
        <w:t>85159</w:t>
      </w:r>
      <w:r>
        <w:rPr>
          <w:rFonts w:eastAsia="仿宋_GB2312" w:hint="eastAsia"/>
          <w:sz w:val="32"/>
          <w:szCs w:val="32"/>
          <w:lang w:val="zh-CN"/>
        </w:rPr>
        <w:t>万元（含上级补助收入</w:t>
      </w:r>
      <w:r>
        <w:rPr>
          <w:rFonts w:eastAsia="仿宋_GB2312" w:hint="eastAsia"/>
          <w:sz w:val="32"/>
          <w:szCs w:val="32"/>
        </w:rPr>
        <w:t>16106</w:t>
      </w:r>
      <w:r>
        <w:rPr>
          <w:rFonts w:eastAsia="仿宋_GB2312" w:hint="eastAsia"/>
          <w:sz w:val="32"/>
          <w:szCs w:val="32"/>
          <w:lang w:val="zh-CN"/>
        </w:rPr>
        <w:t>万元，本级收入</w:t>
      </w:r>
      <w:r>
        <w:rPr>
          <w:rFonts w:eastAsia="仿宋_GB2312" w:hint="eastAsia"/>
          <w:sz w:val="32"/>
          <w:szCs w:val="32"/>
        </w:rPr>
        <w:t>7053</w:t>
      </w:r>
      <w:r>
        <w:rPr>
          <w:rFonts w:eastAsia="仿宋_GB2312" w:hint="eastAsia"/>
          <w:sz w:val="32"/>
          <w:szCs w:val="32"/>
        </w:rPr>
        <w:t>万元，</w:t>
      </w:r>
      <w:r>
        <w:rPr>
          <w:rFonts w:eastAsia="仿宋_GB2312" w:hint="eastAsia"/>
          <w:sz w:val="32"/>
          <w:szCs w:val="32"/>
          <w:lang w:val="zh-CN"/>
        </w:rPr>
        <w:t>债转贷收入</w:t>
      </w:r>
      <w:r>
        <w:rPr>
          <w:rFonts w:eastAsia="仿宋_GB2312" w:hint="eastAsia"/>
          <w:sz w:val="32"/>
          <w:szCs w:val="32"/>
        </w:rPr>
        <w:t>62000</w:t>
      </w:r>
      <w:r>
        <w:rPr>
          <w:rFonts w:eastAsia="仿宋_GB2312" w:hint="eastAsia"/>
          <w:sz w:val="32"/>
          <w:szCs w:val="32"/>
          <w:lang w:val="zh-CN"/>
        </w:rPr>
        <w:t>万元），比上年增加</w:t>
      </w:r>
      <w:r>
        <w:rPr>
          <w:rFonts w:eastAsia="仿宋_GB2312" w:hint="eastAsia"/>
          <w:sz w:val="32"/>
          <w:szCs w:val="32"/>
        </w:rPr>
        <w:t>12803</w:t>
      </w:r>
      <w:r>
        <w:rPr>
          <w:rFonts w:eastAsia="仿宋_GB2312" w:hint="eastAsia"/>
          <w:sz w:val="32"/>
          <w:szCs w:val="32"/>
          <w:lang w:val="zh-CN"/>
        </w:rPr>
        <w:t>万元，同比降低</w:t>
      </w:r>
      <w:r>
        <w:rPr>
          <w:rFonts w:eastAsia="仿宋_GB2312" w:hint="eastAsia"/>
          <w:sz w:val="32"/>
          <w:szCs w:val="32"/>
        </w:rPr>
        <w:t>17.69</w:t>
      </w:r>
      <w:r>
        <w:rPr>
          <w:rFonts w:eastAsia="仿宋_GB2312" w:hint="eastAsia"/>
          <w:sz w:val="32"/>
          <w:szCs w:val="32"/>
          <w:lang w:val="zh-CN"/>
        </w:rPr>
        <w:t>%</w:t>
      </w:r>
      <w:r>
        <w:rPr>
          <w:rFonts w:eastAsia="仿宋_GB2312" w:hint="eastAsia"/>
          <w:sz w:val="32"/>
          <w:szCs w:val="32"/>
          <w:lang w:val="zh-CN"/>
        </w:rPr>
        <w:t>。政府性基金支出</w:t>
      </w:r>
      <w:r>
        <w:rPr>
          <w:rFonts w:eastAsia="仿宋_GB2312" w:hint="eastAsia"/>
          <w:sz w:val="32"/>
          <w:szCs w:val="32"/>
        </w:rPr>
        <w:t>63836</w:t>
      </w:r>
      <w:r>
        <w:rPr>
          <w:rFonts w:eastAsia="仿宋_GB2312" w:hint="eastAsia"/>
          <w:sz w:val="32"/>
          <w:szCs w:val="32"/>
          <w:lang w:val="zh-CN"/>
        </w:rPr>
        <w:t>万元，比上年减少</w:t>
      </w:r>
      <w:r>
        <w:rPr>
          <w:rFonts w:eastAsia="仿宋_GB2312" w:hint="eastAsia"/>
          <w:sz w:val="32"/>
          <w:szCs w:val="32"/>
        </w:rPr>
        <w:t>1642</w:t>
      </w:r>
      <w:r>
        <w:rPr>
          <w:rFonts w:eastAsia="仿宋_GB2312" w:hint="eastAsia"/>
          <w:sz w:val="32"/>
          <w:szCs w:val="32"/>
          <w:lang w:val="zh-CN"/>
        </w:rPr>
        <w:t>元，同比降低</w:t>
      </w:r>
      <w:r>
        <w:rPr>
          <w:rFonts w:eastAsia="仿宋_GB2312" w:hint="eastAsia"/>
          <w:sz w:val="32"/>
          <w:szCs w:val="32"/>
        </w:rPr>
        <w:t>2.51%</w:t>
      </w:r>
      <w:r>
        <w:rPr>
          <w:rFonts w:eastAsia="仿宋_GB2312" w:hint="eastAsia"/>
          <w:sz w:val="32"/>
          <w:szCs w:val="32"/>
          <w:lang w:val="zh-CN"/>
        </w:rPr>
        <w:t>。加上年结余</w:t>
      </w:r>
      <w:r>
        <w:rPr>
          <w:rFonts w:eastAsia="仿宋_GB2312" w:hint="eastAsia"/>
          <w:sz w:val="32"/>
          <w:szCs w:val="32"/>
        </w:rPr>
        <w:t>8602</w:t>
      </w:r>
      <w:r>
        <w:rPr>
          <w:rFonts w:eastAsia="仿宋_GB2312" w:hint="eastAsia"/>
          <w:sz w:val="32"/>
          <w:szCs w:val="32"/>
          <w:lang w:val="zh-CN"/>
        </w:rPr>
        <w:t>万元，年终滚存结余</w:t>
      </w:r>
      <w:r>
        <w:rPr>
          <w:rFonts w:eastAsia="仿宋_GB2312" w:hint="eastAsia"/>
          <w:sz w:val="32"/>
          <w:szCs w:val="32"/>
        </w:rPr>
        <w:t>14006</w:t>
      </w:r>
      <w:r>
        <w:rPr>
          <w:rFonts w:eastAsia="仿宋_GB2312" w:hint="eastAsia"/>
          <w:sz w:val="32"/>
          <w:szCs w:val="32"/>
          <w:lang w:val="zh-CN"/>
        </w:rPr>
        <w:t>万元，扣除结转下年支出</w:t>
      </w:r>
      <w:r>
        <w:rPr>
          <w:rFonts w:eastAsia="仿宋_GB2312" w:hint="eastAsia"/>
          <w:sz w:val="32"/>
          <w:szCs w:val="32"/>
        </w:rPr>
        <w:t>6535</w:t>
      </w:r>
      <w:r>
        <w:rPr>
          <w:rFonts w:eastAsia="仿宋_GB2312" w:hint="eastAsia"/>
          <w:sz w:val="32"/>
          <w:szCs w:val="32"/>
          <w:lang w:val="zh-CN"/>
        </w:rPr>
        <w:t>万元，年末滚存净结余</w:t>
      </w:r>
      <w:r>
        <w:rPr>
          <w:rFonts w:eastAsia="仿宋_GB2312" w:hint="eastAsia"/>
          <w:sz w:val="32"/>
          <w:szCs w:val="32"/>
        </w:rPr>
        <w:t>7471</w:t>
      </w:r>
      <w:r>
        <w:rPr>
          <w:rFonts w:eastAsia="仿宋_GB2312" w:hint="eastAsia"/>
          <w:sz w:val="32"/>
          <w:szCs w:val="32"/>
          <w:lang w:val="zh-CN"/>
        </w:rPr>
        <w:t>万元。</w:t>
      </w:r>
    </w:p>
    <w:p w14:paraId="4CF98FE5" w14:textId="77777777" w:rsidR="00000000" w:rsidRDefault="00763D17">
      <w:pPr>
        <w:ind w:firstLineChars="200" w:firstLine="640"/>
        <w:rPr>
          <w:rFonts w:eastAsia="仿宋_GB2312" w:hint="eastAsia"/>
          <w:sz w:val="32"/>
          <w:szCs w:val="32"/>
        </w:rPr>
      </w:pPr>
      <w:r>
        <w:rPr>
          <w:rFonts w:eastAsia="楷体_GB2312" w:hint="eastAsia"/>
          <w:kern w:val="0"/>
          <w:sz w:val="32"/>
          <w:szCs w:val="32"/>
          <w:lang w:bidi="ar"/>
        </w:rPr>
        <w:t>3.</w:t>
      </w:r>
      <w:r>
        <w:rPr>
          <w:rFonts w:eastAsia="楷体_GB2312" w:hint="eastAsia"/>
          <w:kern w:val="0"/>
          <w:sz w:val="32"/>
          <w:szCs w:val="32"/>
          <w:lang w:val="zh-CN" w:bidi="ar"/>
        </w:rPr>
        <w:t>国有资本经营预算收支完成情况</w:t>
      </w:r>
      <w:r>
        <w:rPr>
          <w:rFonts w:eastAsia="仿宋_GB2312" w:hint="eastAsia"/>
          <w:sz w:val="32"/>
          <w:szCs w:val="32"/>
          <w:lang w:val="zh-CN"/>
        </w:rPr>
        <w:t>20</w:t>
      </w:r>
      <w:r>
        <w:rPr>
          <w:rFonts w:eastAsia="仿宋_GB2312" w:hint="eastAsia"/>
          <w:sz w:val="32"/>
          <w:szCs w:val="32"/>
        </w:rPr>
        <w:t>23</w:t>
      </w:r>
      <w:r>
        <w:rPr>
          <w:rFonts w:eastAsia="仿宋_GB2312" w:hint="eastAsia"/>
          <w:sz w:val="32"/>
          <w:szCs w:val="32"/>
          <w:lang w:val="zh-CN"/>
        </w:rPr>
        <w:t>年，国有资本经营预算收入</w:t>
      </w:r>
      <w:r>
        <w:rPr>
          <w:rFonts w:eastAsia="仿宋_GB2312" w:hint="eastAsia"/>
          <w:sz w:val="32"/>
          <w:szCs w:val="32"/>
        </w:rPr>
        <w:t>17279</w:t>
      </w:r>
      <w:r>
        <w:rPr>
          <w:rFonts w:eastAsia="仿宋_GB2312" w:hint="eastAsia"/>
          <w:sz w:val="32"/>
          <w:szCs w:val="32"/>
          <w:lang w:val="zh-CN"/>
        </w:rPr>
        <w:t>万元，比上年增长</w:t>
      </w:r>
      <w:r>
        <w:rPr>
          <w:rFonts w:eastAsia="仿宋_GB2312" w:hint="eastAsia"/>
          <w:sz w:val="32"/>
          <w:szCs w:val="32"/>
        </w:rPr>
        <w:t>18</w:t>
      </w:r>
      <w:r>
        <w:rPr>
          <w:rFonts w:eastAsia="仿宋_GB2312" w:hint="eastAsia"/>
          <w:sz w:val="32"/>
          <w:szCs w:val="32"/>
        </w:rPr>
        <w:t>3.12%</w:t>
      </w:r>
      <w:r>
        <w:rPr>
          <w:rFonts w:eastAsia="仿宋_GB2312" w:hint="eastAsia"/>
          <w:sz w:val="32"/>
          <w:szCs w:val="32"/>
          <w:lang w:val="zh-CN"/>
        </w:rPr>
        <w:t>。国有资本经营预算支出</w:t>
      </w:r>
      <w:r>
        <w:rPr>
          <w:rFonts w:eastAsia="仿宋_GB2312" w:hint="eastAsia"/>
          <w:sz w:val="32"/>
          <w:szCs w:val="32"/>
        </w:rPr>
        <w:t>15009</w:t>
      </w:r>
      <w:r>
        <w:rPr>
          <w:rFonts w:eastAsia="仿宋_GB2312" w:hint="eastAsia"/>
          <w:sz w:val="32"/>
          <w:szCs w:val="32"/>
          <w:lang w:val="zh-CN"/>
        </w:rPr>
        <w:t>万元，主要为解决历史遗留问题改革资金</w:t>
      </w:r>
      <w:r>
        <w:rPr>
          <w:rFonts w:eastAsia="仿宋_GB2312" w:hint="eastAsia"/>
          <w:sz w:val="32"/>
          <w:szCs w:val="32"/>
        </w:rPr>
        <w:t>772</w:t>
      </w:r>
      <w:r>
        <w:rPr>
          <w:rFonts w:eastAsia="仿宋_GB2312" w:hint="eastAsia"/>
          <w:sz w:val="32"/>
          <w:szCs w:val="32"/>
        </w:rPr>
        <w:t>万元。团场国有企业注册资本</w:t>
      </w:r>
      <w:r>
        <w:rPr>
          <w:rFonts w:eastAsia="仿宋_GB2312" w:hint="eastAsia"/>
          <w:sz w:val="32"/>
          <w:szCs w:val="32"/>
        </w:rPr>
        <w:t>13770</w:t>
      </w:r>
      <w:r>
        <w:rPr>
          <w:rFonts w:eastAsia="仿宋_GB2312" w:hint="eastAsia"/>
          <w:sz w:val="32"/>
          <w:szCs w:val="32"/>
        </w:rPr>
        <w:t>万元。</w:t>
      </w:r>
    </w:p>
    <w:p w14:paraId="1D1215CA" w14:textId="77777777" w:rsidR="00000000" w:rsidRDefault="00763D17">
      <w:pPr>
        <w:snapToGrid w:val="0"/>
        <w:spacing w:line="580" w:lineRule="exact"/>
        <w:ind w:firstLineChars="200" w:firstLine="640"/>
        <w:rPr>
          <w:rFonts w:ascii="黑体" w:eastAsia="黑体" w:hAnsi="黑体" w:hint="eastAsia"/>
          <w:sz w:val="32"/>
          <w:szCs w:val="32"/>
        </w:rPr>
      </w:pPr>
      <w:bookmarkStart w:id="2" w:name="YS060302"/>
      <w:r>
        <w:rPr>
          <w:rFonts w:ascii="黑体" w:eastAsia="黑体" w:hAnsi="黑体" w:hint="eastAsia"/>
          <w:sz w:val="32"/>
          <w:szCs w:val="32"/>
        </w:rPr>
        <w:t>二、部门收支余情况分析及预算绩效情况</w:t>
      </w:r>
    </w:p>
    <w:bookmarkEnd w:id="2"/>
    <w:p w14:paraId="59DAB8CD"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（一）部门收入、支出及结转结余情况。</w:t>
      </w:r>
    </w:p>
    <w:p w14:paraId="36F0892F" w14:textId="77777777" w:rsidR="00000000" w:rsidRDefault="00763D17">
      <w:pPr>
        <w:widowControl/>
        <w:pBdr>
          <w:bottom w:val="single" w:sz="4" w:space="31" w:color="FFFFFF"/>
        </w:pBdr>
        <w:tabs>
          <w:tab w:val="left" w:pos="1440"/>
        </w:tabs>
        <w:ind w:firstLineChars="200" w:firstLine="640"/>
        <w:jc w:val="left"/>
        <w:rPr>
          <w:rFonts w:ascii="仿宋_GB2312" w:eastAsia="仿宋_GB2312" w:hint="eastAsia"/>
          <w:sz w:val="32"/>
          <w:szCs w:val="32"/>
        </w:rPr>
      </w:pPr>
      <w:r>
        <w:rPr>
          <w:rFonts w:ascii="仿宋_GB2312" w:eastAsia="仿宋_GB2312" w:hint="eastAsia"/>
          <w:sz w:val="32"/>
          <w:szCs w:val="32"/>
        </w:rPr>
        <w:t>202</w:t>
      </w:r>
      <w:r>
        <w:rPr>
          <w:rFonts w:ascii="仿宋_GB2312" w:eastAsia="仿宋_GB2312" w:hint="eastAsia"/>
          <w:sz w:val="32"/>
          <w:szCs w:val="32"/>
        </w:rPr>
        <w:t>3</w:t>
      </w:r>
      <w:r>
        <w:rPr>
          <w:rFonts w:ascii="仿宋_GB2312" w:eastAsia="仿宋_GB2312" w:hint="eastAsia"/>
          <w:sz w:val="32"/>
          <w:szCs w:val="32"/>
        </w:rPr>
        <w:t>年，本年收入</w:t>
      </w:r>
      <w:r>
        <w:rPr>
          <w:rFonts w:ascii="仿宋_GB2312" w:eastAsia="仿宋_GB2312" w:hint="eastAsia"/>
          <w:sz w:val="32"/>
          <w:szCs w:val="32"/>
        </w:rPr>
        <w:t>458961.07</w:t>
      </w:r>
      <w:r>
        <w:rPr>
          <w:rFonts w:ascii="仿宋_GB2312" w:eastAsia="仿宋_GB2312" w:hint="eastAsia"/>
          <w:sz w:val="32"/>
          <w:szCs w:val="32"/>
        </w:rPr>
        <w:t>万元，较上年</w:t>
      </w:r>
      <w:r>
        <w:rPr>
          <w:rFonts w:ascii="仿宋_GB2312" w:eastAsia="仿宋_GB2312" w:hint="eastAsia"/>
          <w:sz w:val="32"/>
          <w:szCs w:val="32"/>
        </w:rPr>
        <w:t>491795.99</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19064.93</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3.88</w:t>
      </w:r>
      <w:r>
        <w:rPr>
          <w:rFonts w:ascii="仿宋_GB2312" w:eastAsia="仿宋_GB2312" w:hint="eastAsia"/>
          <w:sz w:val="32"/>
          <w:szCs w:val="32"/>
        </w:rPr>
        <w:t>%</w:t>
      </w:r>
      <w:r>
        <w:rPr>
          <w:rFonts w:ascii="仿宋_GB2312" w:eastAsia="仿宋_GB2312" w:hint="eastAsia"/>
          <w:sz w:val="32"/>
          <w:szCs w:val="32"/>
        </w:rPr>
        <w:t>。本年支出</w:t>
      </w:r>
      <w:r>
        <w:rPr>
          <w:rFonts w:ascii="仿宋_GB2312" w:eastAsia="仿宋_GB2312" w:hint="eastAsia"/>
          <w:sz w:val="32"/>
          <w:szCs w:val="32"/>
        </w:rPr>
        <w:t>456772.12</w:t>
      </w:r>
      <w:r>
        <w:rPr>
          <w:rFonts w:ascii="仿宋_GB2312" w:eastAsia="仿宋_GB2312" w:hint="eastAsia"/>
          <w:sz w:val="32"/>
          <w:szCs w:val="32"/>
        </w:rPr>
        <w:t>万元，较上年</w:t>
      </w:r>
      <w:r>
        <w:rPr>
          <w:rFonts w:ascii="仿宋_GB2312" w:eastAsia="仿宋_GB2312" w:hint="eastAsia"/>
          <w:sz w:val="32"/>
          <w:szCs w:val="32"/>
        </w:rPr>
        <w:lastRenderedPageBreak/>
        <w:t>493874.7</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23332.58</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4.72</w:t>
      </w:r>
      <w:r>
        <w:rPr>
          <w:rFonts w:ascii="仿宋_GB2312" w:eastAsia="仿宋_GB2312" w:hint="eastAsia"/>
          <w:sz w:val="32"/>
          <w:szCs w:val="32"/>
        </w:rPr>
        <w:t>%</w:t>
      </w:r>
      <w:r>
        <w:rPr>
          <w:rFonts w:ascii="仿宋_GB2312" w:eastAsia="仿宋_GB2312" w:hint="eastAsia"/>
          <w:sz w:val="32"/>
          <w:szCs w:val="32"/>
        </w:rPr>
        <w:t>。本年结转</w:t>
      </w:r>
      <w:r>
        <w:rPr>
          <w:rFonts w:ascii="仿宋_GB2312" w:eastAsia="仿宋_GB2312" w:hint="eastAsia"/>
          <w:sz w:val="32"/>
          <w:szCs w:val="32"/>
        </w:rPr>
        <w:t>3810.7</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较上年</w:t>
      </w:r>
      <w:r>
        <w:rPr>
          <w:rFonts w:ascii="仿宋_GB2312" w:eastAsia="仿宋_GB2312" w:hint="eastAsia"/>
          <w:sz w:val="32"/>
          <w:szCs w:val="32"/>
        </w:rPr>
        <w:t>1621.75</w:t>
      </w:r>
      <w:r>
        <w:rPr>
          <w:rFonts w:ascii="仿宋_GB2312" w:eastAsia="仿宋_GB2312" w:hint="eastAsia"/>
          <w:sz w:val="32"/>
          <w:szCs w:val="32"/>
        </w:rPr>
        <w:t>万元，增加</w:t>
      </w:r>
      <w:r>
        <w:rPr>
          <w:rFonts w:ascii="仿宋_GB2312" w:eastAsia="仿宋_GB2312" w:hint="eastAsia"/>
          <w:sz w:val="32"/>
          <w:szCs w:val="32"/>
        </w:rPr>
        <w:t>2188.95</w:t>
      </w:r>
      <w:r>
        <w:rPr>
          <w:rFonts w:ascii="仿宋_GB2312" w:eastAsia="仿宋_GB2312" w:hint="eastAsia"/>
          <w:sz w:val="32"/>
          <w:szCs w:val="32"/>
        </w:rPr>
        <w:t>万元，增长</w:t>
      </w:r>
      <w:r>
        <w:rPr>
          <w:rFonts w:ascii="仿宋_GB2312" w:eastAsia="仿宋_GB2312" w:hint="eastAsia"/>
          <w:sz w:val="32"/>
          <w:szCs w:val="32"/>
        </w:rPr>
        <w:t>135.7</w:t>
      </w:r>
      <w:r>
        <w:rPr>
          <w:rFonts w:ascii="仿宋_GB2312" w:eastAsia="仿宋_GB2312" w:hint="eastAsia"/>
          <w:sz w:val="32"/>
          <w:szCs w:val="32"/>
        </w:rPr>
        <w:t>4%</w:t>
      </w:r>
      <w:r>
        <w:rPr>
          <w:rFonts w:ascii="仿宋_GB2312" w:eastAsia="仿宋_GB2312" w:hint="eastAsia"/>
          <w:sz w:val="32"/>
          <w:szCs w:val="32"/>
        </w:rPr>
        <w:t>。</w:t>
      </w:r>
    </w:p>
    <w:p w14:paraId="44CB9B74" w14:textId="6E0A875F" w:rsidR="00000000" w:rsidRDefault="00B852E1">
      <w:pPr>
        <w:widowControl/>
        <w:pBdr>
          <w:bottom w:val="single" w:sz="4" w:space="31" w:color="FFFFFF"/>
        </w:pBdr>
        <w:tabs>
          <w:tab w:val="left" w:pos="1440"/>
        </w:tabs>
        <w:jc w:val="left"/>
        <w:rPr>
          <w:rFonts w:ascii="仿宋_GB2312" w:eastAsia="仿宋_GB2312" w:hAnsi="仿宋" w:hint="eastAsia"/>
          <w:sz w:val="32"/>
          <w:szCs w:val="32"/>
        </w:rPr>
      </w:pPr>
      <w:r>
        <w:rPr>
          <w:noProof/>
        </w:rPr>
        <w:drawing>
          <wp:inline distT="0" distB="0" distL="0" distR="0" wp14:anchorId="2700CB2F" wp14:editId="213E4C86">
            <wp:extent cx="6445885" cy="3873500"/>
            <wp:effectExtent l="0" t="0" r="0" b="0"/>
            <wp:docPr id="1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1780A4" w14:textId="77777777" w:rsidR="00000000" w:rsidRDefault="00763D17">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Ansi="仿宋" w:hint="eastAsia"/>
          <w:sz w:val="32"/>
          <w:szCs w:val="32"/>
        </w:rPr>
        <w:t>本年收入减少原因：</w:t>
      </w:r>
      <w:r>
        <w:rPr>
          <w:rFonts w:ascii="仿宋_GB2312" w:eastAsia="仿宋_GB2312" w:hint="eastAsia"/>
          <w:sz w:val="32"/>
          <w:szCs w:val="32"/>
        </w:rPr>
        <w:t>主要是第九师边防基础设施建设项目—</w:t>
      </w:r>
      <w:r>
        <w:rPr>
          <w:rFonts w:ascii="仿宋_GB2312" w:eastAsia="仿宋_GB2312" w:hint="eastAsia"/>
          <w:sz w:val="32"/>
          <w:szCs w:val="32"/>
        </w:rPr>
        <w:t>2021</w:t>
      </w:r>
      <w:r>
        <w:rPr>
          <w:rFonts w:ascii="仿宋_GB2312" w:eastAsia="仿宋_GB2312" w:hint="eastAsia"/>
          <w:sz w:val="32"/>
          <w:szCs w:val="32"/>
        </w:rPr>
        <w:t>年中央基建投资、</w:t>
      </w:r>
      <w:r>
        <w:rPr>
          <w:rFonts w:ascii="仿宋_GB2312" w:eastAsia="仿宋_GB2312" w:hint="eastAsia"/>
          <w:sz w:val="32"/>
          <w:szCs w:val="32"/>
        </w:rPr>
        <w:t>2022</w:t>
      </w:r>
      <w:r>
        <w:rPr>
          <w:rFonts w:ascii="仿宋_GB2312" w:eastAsia="仿宋_GB2312" w:hint="eastAsia"/>
          <w:sz w:val="32"/>
          <w:szCs w:val="32"/>
        </w:rPr>
        <w:t>年边境地区转移支付专项基础设施建设资金、中共第九师白杨市党委党校（行政学院）基础设施建设项目、</w:t>
      </w:r>
      <w:r>
        <w:rPr>
          <w:rFonts w:ascii="仿宋_GB2312" w:eastAsia="仿宋_GB2312" w:hint="eastAsia"/>
          <w:sz w:val="32"/>
          <w:szCs w:val="32"/>
        </w:rPr>
        <w:t>2022</w:t>
      </w:r>
      <w:r>
        <w:rPr>
          <w:rFonts w:ascii="仿宋_GB2312" w:eastAsia="仿宋_GB2312" w:hint="eastAsia"/>
          <w:sz w:val="32"/>
          <w:szCs w:val="32"/>
        </w:rPr>
        <w:t>年车辆购置税收入补助地方第九师白杨市</w:t>
      </w:r>
      <w:r>
        <w:rPr>
          <w:rFonts w:ascii="仿宋_GB2312" w:eastAsia="仿宋_GB2312" w:hint="eastAsia"/>
          <w:sz w:val="32"/>
          <w:szCs w:val="32"/>
        </w:rPr>
        <w:t>-</w:t>
      </w:r>
      <w:r>
        <w:rPr>
          <w:rFonts w:ascii="仿宋_GB2312" w:eastAsia="仿宋_GB2312" w:hint="eastAsia"/>
          <w:sz w:val="32"/>
          <w:szCs w:val="32"/>
        </w:rPr>
        <w:t>乌拉斯公路建设项目、第九师国土绿化试点示范项目</w:t>
      </w:r>
      <w:r>
        <w:rPr>
          <w:rFonts w:ascii="仿宋_GB2312" w:eastAsia="仿宋_GB2312" w:hint="eastAsia"/>
          <w:sz w:val="32"/>
          <w:szCs w:val="32"/>
        </w:rPr>
        <w:t>-</w:t>
      </w:r>
      <w:r>
        <w:rPr>
          <w:rFonts w:ascii="仿宋_GB2312" w:eastAsia="仿宋_GB2312" w:hint="eastAsia"/>
          <w:sz w:val="32"/>
          <w:szCs w:val="32"/>
        </w:rPr>
        <w:t>中央财政补助等重大项目、第九师</w:t>
      </w:r>
      <w:r>
        <w:rPr>
          <w:rFonts w:ascii="仿宋_GB2312" w:eastAsia="仿宋_GB2312" w:hint="eastAsia"/>
          <w:sz w:val="32"/>
          <w:szCs w:val="32"/>
        </w:rPr>
        <w:t>161</w:t>
      </w:r>
      <w:r>
        <w:rPr>
          <w:rFonts w:ascii="仿宋_GB2312" w:eastAsia="仿宋_GB2312" w:hint="eastAsia"/>
          <w:sz w:val="32"/>
          <w:szCs w:val="32"/>
        </w:rPr>
        <w:t>团辖区边境巡逻路提升改造项目</w:t>
      </w:r>
      <w:r>
        <w:rPr>
          <w:rFonts w:ascii="仿宋_GB2312" w:eastAsia="仿宋_GB2312" w:hint="eastAsia"/>
          <w:sz w:val="32"/>
          <w:szCs w:val="32"/>
        </w:rPr>
        <w:t>-2022</w:t>
      </w:r>
      <w:r>
        <w:rPr>
          <w:rFonts w:ascii="仿宋_GB2312" w:eastAsia="仿宋_GB2312" w:hint="eastAsia"/>
          <w:sz w:val="32"/>
          <w:szCs w:val="32"/>
        </w:rPr>
        <w:t>年中央基建投资、兵团第九师草原畜牧业转型升级项目</w:t>
      </w:r>
      <w:r>
        <w:rPr>
          <w:rFonts w:ascii="仿宋_GB2312" w:eastAsia="仿宋_GB2312" w:hint="eastAsia"/>
          <w:sz w:val="32"/>
          <w:szCs w:val="32"/>
        </w:rPr>
        <w:t>-2022</w:t>
      </w:r>
      <w:r>
        <w:rPr>
          <w:rFonts w:ascii="仿宋_GB2312" w:eastAsia="仿宋_GB2312" w:hint="eastAsia"/>
          <w:sz w:val="32"/>
          <w:szCs w:val="32"/>
        </w:rPr>
        <w:t>年中央基建投资、</w:t>
      </w:r>
      <w:r>
        <w:rPr>
          <w:rFonts w:ascii="仿宋_GB2312" w:eastAsia="仿宋_GB2312" w:hint="eastAsia"/>
          <w:sz w:val="32"/>
          <w:szCs w:val="32"/>
        </w:rPr>
        <w:t>2022</w:t>
      </w:r>
      <w:r>
        <w:rPr>
          <w:rFonts w:ascii="仿宋_GB2312" w:eastAsia="仿宋_GB2312" w:hint="eastAsia"/>
          <w:sz w:val="32"/>
          <w:szCs w:val="32"/>
        </w:rPr>
        <w:t>年车辆购置税收入补助地方</w:t>
      </w:r>
      <w:r>
        <w:rPr>
          <w:rFonts w:ascii="仿宋_GB2312" w:eastAsia="仿宋_GB2312" w:hint="eastAsia"/>
          <w:sz w:val="32"/>
          <w:szCs w:val="32"/>
        </w:rPr>
        <w:t>-</w:t>
      </w:r>
      <w:r>
        <w:rPr>
          <w:rFonts w:ascii="仿宋_GB2312" w:eastAsia="仿宋_GB2312" w:hint="eastAsia"/>
          <w:sz w:val="32"/>
          <w:szCs w:val="32"/>
        </w:rPr>
        <w:t>农业农村公路提升改造工程项目等重大项目减少，本</w:t>
      </w:r>
      <w:r>
        <w:rPr>
          <w:rFonts w:ascii="仿宋_GB2312" w:eastAsia="仿宋_GB2312" w:hint="eastAsia"/>
          <w:sz w:val="32"/>
          <w:szCs w:val="32"/>
        </w:rPr>
        <w:t>年主要是白杨市重大项目前期费，</w:t>
      </w:r>
      <w:r>
        <w:rPr>
          <w:rFonts w:ascii="仿宋_GB2312" w:eastAsia="仿宋_GB2312" w:hint="eastAsia"/>
          <w:sz w:val="32"/>
          <w:szCs w:val="32"/>
        </w:rPr>
        <w:t>新建项目减少，本年减少团场成立国资公司注册资本金减少。</w:t>
      </w:r>
    </w:p>
    <w:p w14:paraId="6AAEE2B3" w14:textId="77777777" w:rsidR="00000000" w:rsidRDefault="00763D17">
      <w:pPr>
        <w:widowControl/>
        <w:pBdr>
          <w:bottom w:val="single" w:sz="4" w:space="31" w:color="FFFFFF"/>
        </w:pBdr>
        <w:tabs>
          <w:tab w:val="left" w:pos="1440"/>
        </w:tabs>
        <w:ind w:firstLineChars="200" w:firstLine="640"/>
        <w:jc w:val="left"/>
        <w:rPr>
          <w:rFonts w:ascii="仿宋_GB2312" w:eastAsia="仿宋_GB2312" w:hAnsi="仿宋" w:hint="eastAsia"/>
          <w:sz w:val="32"/>
          <w:szCs w:val="32"/>
        </w:rPr>
      </w:pPr>
    </w:p>
    <w:p w14:paraId="523BE609" w14:textId="77777777" w:rsidR="00000000" w:rsidRDefault="00763D17">
      <w:pPr>
        <w:widowControl/>
        <w:numPr>
          <w:ilvl w:val="0"/>
          <w:numId w:val="3"/>
        </w:numPr>
        <w:pBdr>
          <w:bottom w:val="single" w:sz="4" w:space="31" w:color="FFFFFF"/>
        </w:pBdr>
        <w:tabs>
          <w:tab w:val="left" w:pos="1440"/>
        </w:tabs>
        <w:ind w:firstLineChars="200" w:firstLine="640"/>
        <w:jc w:val="left"/>
        <w:rPr>
          <w:rFonts w:ascii="仿宋_GB2312" w:eastAsia="仿宋_GB2312" w:hAnsi="仿宋" w:hint="eastAsia"/>
          <w:b/>
          <w:bCs/>
          <w:sz w:val="32"/>
          <w:szCs w:val="32"/>
        </w:rPr>
      </w:pPr>
      <w:r>
        <w:rPr>
          <w:rFonts w:ascii="仿宋_GB2312" w:eastAsia="仿宋_GB2312" w:hAnsi="仿宋" w:hint="eastAsia"/>
          <w:b/>
          <w:bCs/>
          <w:sz w:val="32"/>
          <w:szCs w:val="32"/>
        </w:rPr>
        <w:t>收入、支出和结转结余</w:t>
      </w:r>
      <w:r>
        <w:rPr>
          <w:rFonts w:ascii="仿宋_GB2312" w:eastAsia="仿宋_GB2312" w:hAnsi="仿宋" w:hint="eastAsia"/>
          <w:b/>
          <w:bCs/>
          <w:sz w:val="32"/>
          <w:szCs w:val="32"/>
        </w:rPr>
        <w:t>分资金来源和资金性质分析</w:t>
      </w:r>
    </w:p>
    <w:p w14:paraId="5EF4CE85" w14:textId="77777777" w:rsidR="00000000" w:rsidRDefault="00763D17">
      <w:pPr>
        <w:widowControl/>
        <w:numPr>
          <w:ilvl w:val="0"/>
          <w:numId w:val="4"/>
        </w:numPr>
        <w:pBdr>
          <w:bottom w:val="single" w:sz="4" w:space="31" w:color="FFFFFF"/>
        </w:pBdr>
        <w:tabs>
          <w:tab w:val="left" w:pos="1440"/>
        </w:tabs>
        <w:ind w:firstLineChars="100" w:firstLine="320"/>
        <w:jc w:val="left"/>
        <w:rPr>
          <w:rFonts w:ascii="仿宋_GB2312" w:eastAsia="仿宋_GB2312" w:hAnsi="仿宋" w:hint="eastAsia"/>
          <w:b/>
          <w:bCs/>
          <w:sz w:val="32"/>
          <w:szCs w:val="32"/>
        </w:rPr>
      </w:pPr>
      <w:r>
        <w:rPr>
          <w:rFonts w:ascii="仿宋_GB2312" w:eastAsia="仿宋_GB2312" w:hAnsi="仿宋" w:hint="eastAsia"/>
          <w:b/>
          <w:bCs/>
          <w:sz w:val="32"/>
          <w:szCs w:val="32"/>
        </w:rPr>
        <w:t>按</w:t>
      </w:r>
      <w:r>
        <w:rPr>
          <w:rFonts w:ascii="仿宋_GB2312" w:eastAsia="仿宋_GB2312" w:hAnsi="仿宋" w:hint="eastAsia"/>
          <w:b/>
          <w:bCs/>
          <w:sz w:val="32"/>
          <w:szCs w:val="32"/>
        </w:rPr>
        <w:t>资金来源分析</w:t>
      </w:r>
    </w:p>
    <w:p w14:paraId="70A3A9B1" w14:textId="1E5AC591" w:rsidR="00000000" w:rsidRDefault="00763D17">
      <w:pPr>
        <w:widowControl/>
        <w:pBdr>
          <w:bottom w:val="single" w:sz="4" w:space="31" w:color="FFFFFF"/>
        </w:pBdr>
        <w:tabs>
          <w:tab w:val="left" w:pos="1440"/>
        </w:tabs>
        <w:ind w:firstLineChars="200" w:firstLine="640"/>
        <w:jc w:val="left"/>
        <w:rPr>
          <w:rFonts w:ascii="仿宋_GB2312" w:eastAsia="仿宋_GB2312" w:hint="eastAsia"/>
          <w:sz w:val="32"/>
          <w:szCs w:val="32"/>
        </w:rPr>
      </w:pPr>
      <w:r>
        <w:rPr>
          <w:rFonts w:ascii="仿宋_GB2312" w:eastAsia="仿宋_GB2312" w:hAnsi="仿宋_GB2312" w:cs="仿宋_GB2312" w:hint="eastAsia"/>
          <w:sz w:val="32"/>
          <w:szCs w:val="32"/>
        </w:rPr>
        <w:t>本年收入</w:t>
      </w:r>
      <w:r>
        <w:rPr>
          <w:rFonts w:ascii="仿宋_GB2312" w:eastAsia="仿宋_GB2312" w:hint="eastAsia"/>
          <w:sz w:val="32"/>
          <w:szCs w:val="32"/>
        </w:rPr>
        <w:t>458961.07</w:t>
      </w:r>
      <w:r>
        <w:rPr>
          <w:rFonts w:ascii="仿宋_GB2312" w:eastAsia="仿宋_GB2312" w:hint="eastAsia"/>
          <w:sz w:val="32"/>
          <w:szCs w:val="32"/>
        </w:rPr>
        <w:t>万元，其中：财政拨款收入</w:t>
      </w:r>
      <w:r>
        <w:rPr>
          <w:rFonts w:ascii="仿宋_GB2312" w:eastAsia="仿宋_GB2312" w:hint="eastAsia"/>
          <w:sz w:val="32"/>
          <w:szCs w:val="32"/>
        </w:rPr>
        <w:t>416729.65</w:t>
      </w:r>
      <w:r>
        <w:rPr>
          <w:rFonts w:ascii="仿宋_GB2312" w:eastAsia="仿宋_GB2312" w:hint="eastAsia"/>
          <w:sz w:val="32"/>
          <w:szCs w:val="32"/>
        </w:rPr>
        <w:t>万元，较上年</w:t>
      </w:r>
      <w:r>
        <w:rPr>
          <w:rFonts w:ascii="仿宋_GB2312" w:eastAsia="仿宋_GB2312" w:hint="eastAsia"/>
          <w:sz w:val="32"/>
          <w:szCs w:val="32"/>
        </w:rPr>
        <w:t>465914.35</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49184.7</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10.56</w:t>
      </w:r>
      <w:r>
        <w:rPr>
          <w:rFonts w:ascii="仿宋_GB2312" w:eastAsia="仿宋_GB2312" w:hint="eastAsia"/>
          <w:sz w:val="32"/>
          <w:szCs w:val="32"/>
        </w:rPr>
        <w:t>%</w:t>
      </w:r>
      <w:r>
        <w:rPr>
          <w:rFonts w:ascii="仿宋_GB2312" w:eastAsia="仿宋_GB2312" w:hint="eastAsia"/>
          <w:sz w:val="32"/>
          <w:szCs w:val="32"/>
        </w:rPr>
        <w:t>；事业收入</w:t>
      </w:r>
      <w:r>
        <w:rPr>
          <w:rFonts w:ascii="仿宋_GB2312" w:eastAsia="仿宋_GB2312" w:hint="eastAsia"/>
          <w:sz w:val="32"/>
          <w:szCs w:val="32"/>
        </w:rPr>
        <w:t>22941.38</w:t>
      </w:r>
      <w:r>
        <w:rPr>
          <w:rFonts w:ascii="仿宋_GB2312" w:eastAsia="仿宋_GB2312" w:hint="eastAsia"/>
          <w:sz w:val="32"/>
          <w:szCs w:val="32"/>
        </w:rPr>
        <w:t>万元，较上年</w:t>
      </w:r>
      <w:r>
        <w:rPr>
          <w:rFonts w:ascii="仿宋_GB2312" w:eastAsia="仿宋_GB2312" w:hint="eastAsia"/>
          <w:sz w:val="32"/>
          <w:szCs w:val="32"/>
        </w:rPr>
        <w:t>19035.53</w:t>
      </w:r>
      <w:r>
        <w:rPr>
          <w:rFonts w:ascii="仿宋_GB2312" w:eastAsia="仿宋_GB2312"/>
          <w:sz w:val="32"/>
          <w:szCs w:val="32"/>
        </w:rPr>
        <w:t>万元</w:t>
      </w:r>
      <w:r>
        <w:rPr>
          <w:rFonts w:ascii="仿宋_GB2312" w:eastAsia="仿宋_GB2312" w:hint="eastAsia"/>
          <w:sz w:val="32"/>
          <w:szCs w:val="32"/>
        </w:rPr>
        <w:t>，</w:t>
      </w:r>
      <w:r>
        <w:rPr>
          <w:rFonts w:ascii="仿宋_GB2312" w:eastAsia="仿宋_GB2312" w:hint="eastAsia"/>
          <w:sz w:val="32"/>
          <w:szCs w:val="32"/>
        </w:rPr>
        <w:t>增加</w:t>
      </w:r>
      <w:r>
        <w:rPr>
          <w:rFonts w:ascii="仿宋_GB2312" w:eastAsia="仿宋_GB2312" w:hint="eastAsia"/>
          <w:sz w:val="32"/>
          <w:szCs w:val="32"/>
        </w:rPr>
        <w:t>3905.85</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20.52</w:t>
      </w:r>
      <w:r>
        <w:rPr>
          <w:rFonts w:ascii="仿宋_GB2312" w:eastAsia="仿宋_GB2312" w:hint="eastAsia"/>
          <w:sz w:val="32"/>
          <w:szCs w:val="32"/>
        </w:rPr>
        <w:t>%</w:t>
      </w:r>
      <w:r>
        <w:rPr>
          <w:rFonts w:ascii="仿宋_GB2312" w:eastAsia="仿宋_GB2312" w:hint="eastAsia"/>
          <w:sz w:val="32"/>
          <w:szCs w:val="32"/>
        </w:rPr>
        <w:t>；其他收入</w:t>
      </w:r>
      <w:r>
        <w:rPr>
          <w:rFonts w:ascii="仿宋_GB2312" w:eastAsia="仿宋_GB2312" w:hint="eastAsia"/>
          <w:sz w:val="32"/>
          <w:szCs w:val="32"/>
        </w:rPr>
        <w:t>19290.04</w:t>
      </w:r>
      <w:r>
        <w:rPr>
          <w:rFonts w:ascii="仿宋_GB2312" w:eastAsia="仿宋_GB2312" w:hint="eastAsia"/>
          <w:sz w:val="32"/>
          <w:szCs w:val="32"/>
        </w:rPr>
        <w:t>万元，较上年</w:t>
      </w:r>
      <w:r>
        <w:rPr>
          <w:rFonts w:ascii="仿宋_GB2312" w:eastAsia="仿宋_GB2312" w:hint="eastAsia"/>
          <w:sz w:val="32"/>
          <w:szCs w:val="32"/>
        </w:rPr>
        <w:t>6846.11</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12443.93</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181.77</w:t>
      </w:r>
      <w:r>
        <w:rPr>
          <w:rFonts w:ascii="仿宋_GB2312" w:eastAsia="仿宋_GB2312" w:hint="eastAsia"/>
          <w:sz w:val="32"/>
          <w:szCs w:val="32"/>
        </w:rPr>
        <w:t>%</w:t>
      </w:r>
      <w:r>
        <w:rPr>
          <w:rFonts w:ascii="仿宋_GB2312" w:eastAsia="仿宋_GB2312" w:hint="eastAsia"/>
          <w:sz w:val="32"/>
          <w:szCs w:val="32"/>
        </w:rPr>
        <w:t>。</w:t>
      </w:r>
      <w:r w:rsidR="00B852E1">
        <w:rPr>
          <w:noProof/>
        </w:rPr>
        <w:drawing>
          <wp:inline distT="0" distB="0" distL="0" distR="0" wp14:anchorId="647F99A5" wp14:editId="233AB5BC">
            <wp:extent cx="6499225" cy="4227830"/>
            <wp:effectExtent l="0" t="0" r="0" b="0"/>
            <wp:docPr id="2" name="图片 1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B1E249" w14:textId="77777777" w:rsidR="00000000" w:rsidRDefault="00763D17">
      <w:pPr>
        <w:widowControl/>
        <w:pBdr>
          <w:bottom w:val="single" w:sz="4" w:space="31" w:color="FFFFFF"/>
        </w:pBdr>
        <w:tabs>
          <w:tab w:val="left" w:pos="1440"/>
        </w:tabs>
        <w:ind w:firstLineChars="200" w:firstLine="640"/>
        <w:jc w:val="left"/>
        <w:rPr>
          <w:rFonts w:ascii="仿宋_GB2312" w:eastAsia="仿宋_GB2312" w:hint="eastAsia"/>
          <w:sz w:val="32"/>
          <w:szCs w:val="32"/>
        </w:rPr>
      </w:pPr>
      <w:r>
        <w:rPr>
          <w:rFonts w:ascii="仿宋_GB2312" w:eastAsia="仿宋_GB2312" w:hint="eastAsia"/>
          <w:sz w:val="32"/>
          <w:szCs w:val="32"/>
        </w:rPr>
        <w:lastRenderedPageBreak/>
        <w:t>本年支出</w:t>
      </w:r>
      <w:r>
        <w:rPr>
          <w:rFonts w:ascii="仿宋_GB2312" w:eastAsia="仿宋_GB2312" w:hint="eastAsia"/>
          <w:sz w:val="32"/>
          <w:szCs w:val="32"/>
        </w:rPr>
        <w:t>4</w:t>
      </w:r>
      <w:r>
        <w:rPr>
          <w:rFonts w:ascii="仿宋_GB2312" w:eastAsia="仿宋_GB2312" w:hint="eastAsia"/>
          <w:sz w:val="32"/>
          <w:szCs w:val="32"/>
        </w:rPr>
        <w:t>58961.07</w:t>
      </w:r>
      <w:r>
        <w:rPr>
          <w:rFonts w:ascii="仿宋_GB2312" w:eastAsia="仿宋_GB2312" w:hint="eastAsia"/>
          <w:sz w:val="32"/>
          <w:szCs w:val="32"/>
        </w:rPr>
        <w:t>万元，其中：财政拨款支出</w:t>
      </w:r>
      <w:r>
        <w:rPr>
          <w:rFonts w:ascii="仿宋_GB2312" w:eastAsia="仿宋_GB2312" w:hint="eastAsia"/>
          <w:sz w:val="32"/>
          <w:szCs w:val="32"/>
        </w:rPr>
        <w:t>416729.65</w:t>
      </w:r>
      <w:r>
        <w:rPr>
          <w:rFonts w:ascii="仿宋_GB2312" w:eastAsia="仿宋_GB2312" w:hint="eastAsia"/>
          <w:sz w:val="32"/>
          <w:szCs w:val="32"/>
        </w:rPr>
        <w:t>万元，较上年</w:t>
      </w:r>
      <w:r>
        <w:rPr>
          <w:rFonts w:ascii="仿宋_GB2312" w:eastAsia="仿宋_GB2312" w:hint="eastAsia"/>
          <w:sz w:val="32"/>
          <w:szCs w:val="32"/>
        </w:rPr>
        <w:t>42231.42</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374498.23</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9.20</w:t>
      </w:r>
      <w:r>
        <w:rPr>
          <w:rFonts w:ascii="仿宋_GB2312" w:eastAsia="仿宋_GB2312" w:hint="eastAsia"/>
          <w:sz w:val="32"/>
          <w:szCs w:val="32"/>
        </w:rPr>
        <w:t>%</w:t>
      </w:r>
      <w:r>
        <w:rPr>
          <w:rFonts w:ascii="仿宋_GB2312" w:eastAsia="仿宋_GB2312" w:hint="eastAsia"/>
          <w:sz w:val="32"/>
          <w:szCs w:val="32"/>
        </w:rPr>
        <w:t>；非财政拨款支出</w:t>
      </w:r>
      <w:r>
        <w:rPr>
          <w:rFonts w:ascii="仿宋_GB2312" w:eastAsia="仿宋_GB2312" w:hint="eastAsia"/>
          <w:sz w:val="32"/>
          <w:szCs w:val="32"/>
        </w:rPr>
        <w:t>42231.42</w:t>
      </w:r>
      <w:r>
        <w:rPr>
          <w:rFonts w:ascii="仿宋_GB2312" w:eastAsia="仿宋_GB2312" w:hint="eastAsia"/>
          <w:sz w:val="32"/>
          <w:szCs w:val="32"/>
        </w:rPr>
        <w:t>万元，较上年</w:t>
      </w:r>
      <w:r>
        <w:rPr>
          <w:rFonts w:ascii="仿宋_GB2312" w:eastAsia="仿宋_GB2312" w:hint="eastAsia"/>
          <w:sz w:val="32"/>
          <w:szCs w:val="32"/>
        </w:rPr>
        <w:t>27842.1</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14389.32</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51.68</w:t>
      </w:r>
      <w:r>
        <w:rPr>
          <w:rFonts w:ascii="仿宋_GB2312" w:eastAsia="仿宋_GB2312" w:hint="eastAsia"/>
          <w:sz w:val="32"/>
          <w:szCs w:val="32"/>
        </w:rPr>
        <w:t>%</w:t>
      </w:r>
      <w:r>
        <w:rPr>
          <w:rFonts w:ascii="仿宋_GB2312" w:eastAsia="仿宋_GB2312" w:hint="eastAsia"/>
          <w:sz w:val="32"/>
          <w:szCs w:val="32"/>
        </w:rPr>
        <w:t>。</w:t>
      </w:r>
    </w:p>
    <w:p w14:paraId="3042F572" w14:textId="72F17E17" w:rsidR="00000000" w:rsidRDefault="00763D17">
      <w:pPr>
        <w:widowControl/>
        <w:pBdr>
          <w:bottom w:val="single" w:sz="4" w:space="31" w:color="FFFFFF"/>
        </w:pBdr>
        <w:tabs>
          <w:tab w:val="left" w:pos="1440"/>
        </w:tabs>
        <w:ind w:firstLineChars="200" w:firstLine="640"/>
        <w:jc w:val="left"/>
      </w:pPr>
      <w:r>
        <w:rPr>
          <w:rFonts w:ascii="仿宋_GB2312" w:eastAsia="仿宋_GB2312" w:hint="eastAsia"/>
          <w:sz w:val="32"/>
          <w:szCs w:val="32"/>
        </w:rPr>
        <w:t>本年支出减少的原因：主要是第九师边防基础设施建设项目—</w:t>
      </w:r>
      <w:r>
        <w:rPr>
          <w:rFonts w:ascii="仿宋_GB2312" w:eastAsia="仿宋_GB2312" w:hint="eastAsia"/>
          <w:sz w:val="32"/>
          <w:szCs w:val="32"/>
        </w:rPr>
        <w:t>2021</w:t>
      </w:r>
      <w:r>
        <w:rPr>
          <w:rFonts w:ascii="仿宋_GB2312" w:eastAsia="仿宋_GB2312" w:hint="eastAsia"/>
          <w:sz w:val="32"/>
          <w:szCs w:val="32"/>
        </w:rPr>
        <w:t>年中央基建投资、</w:t>
      </w:r>
      <w:r>
        <w:rPr>
          <w:rFonts w:ascii="仿宋_GB2312" w:eastAsia="仿宋_GB2312" w:hint="eastAsia"/>
          <w:sz w:val="32"/>
          <w:szCs w:val="32"/>
        </w:rPr>
        <w:t>2022</w:t>
      </w:r>
      <w:r>
        <w:rPr>
          <w:rFonts w:ascii="仿宋_GB2312" w:eastAsia="仿宋_GB2312" w:hint="eastAsia"/>
          <w:sz w:val="32"/>
          <w:szCs w:val="32"/>
        </w:rPr>
        <w:t>年边境地区转移支付专项基础设施建设资金、中共第九师白杨市党委党校（行政学院）基础设施建设项目、</w:t>
      </w:r>
      <w:r>
        <w:rPr>
          <w:rFonts w:ascii="仿宋_GB2312" w:eastAsia="仿宋_GB2312" w:hint="eastAsia"/>
          <w:sz w:val="32"/>
          <w:szCs w:val="32"/>
        </w:rPr>
        <w:t>2022</w:t>
      </w:r>
      <w:r>
        <w:rPr>
          <w:rFonts w:ascii="仿宋_GB2312" w:eastAsia="仿宋_GB2312" w:hint="eastAsia"/>
          <w:sz w:val="32"/>
          <w:szCs w:val="32"/>
        </w:rPr>
        <w:t>年车辆购置税收入补助地方第九师白杨市</w:t>
      </w:r>
      <w:r>
        <w:rPr>
          <w:rFonts w:ascii="仿宋_GB2312" w:eastAsia="仿宋_GB2312" w:hint="eastAsia"/>
          <w:sz w:val="32"/>
          <w:szCs w:val="32"/>
        </w:rPr>
        <w:t>-</w:t>
      </w:r>
      <w:r>
        <w:rPr>
          <w:rFonts w:ascii="仿宋_GB2312" w:eastAsia="仿宋_GB2312" w:hint="eastAsia"/>
          <w:sz w:val="32"/>
          <w:szCs w:val="32"/>
        </w:rPr>
        <w:t>乌拉斯公路建设项目、第九师国土绿化试点示范</w:t>
      </w:r>
      <w:r>
        <w:rPr>
          <w:rFonts w:ascii="仿宋_GB2312" w:eastAsia="仿宋_GB2312" w:hint="eastAsia"/>
          <w:sz w:val="32"/>
          <w:szCs w:val="32"/>
        </w:rPr>
        <w:t>项目</w:t>
      </w:r>
      <w:r>
        <w:rPr>
          <w:rFonts w:ascii="仿宋_GB2312" w:eastAsia="仿宋_GB2312" w:hint="eastAsia"/>
          <w:sz w:val="32"/>
          <w:szCs w:val="32"/>
        </w:rPr>
        <w:t>-</w:t>
      </w:r>
      <w:r>
        <w:rPr>
          <w:rFonts w:ascii="仿宋_GB2312" w:eastAsia="仿宋_GB2312" w:hint="eastAsia"/>
          <w:sz w:val="32"/>
          <w:szCs w:val="32"/>
        </w:rPr>
        <w:t>中央财政补助等重大项目、第九师</w:t>
      </w:r>
      <w:r>
        <w:rPr>
          <w:rFonts w:ascii="仿宋_GB2312" w:eastAsia="仿宋_GB2312" w:hint="eastAsia"/>
          <w:sz w:val="32"/>
          <w:szCs w:val="32"/>
        </w:rPr>
        <w:t>161</w:t>
      </w:r>
      <w:r>
        <w:rPr>
          <w:rFonts w:ascii="仿宋_GB2312" w:eastAsia="仿宋_GB2312" w:hint="eastAsia"/>
          <w:sz w:val="32"/>
          <w:szCs w:val="32"/>
        </w:rPr>
        <w:t>团辖区边境巡逻路提升改造项目</w:t>
      </w:r>
      <w:r>
        <w:rPr>
          <w:rFonts w:ascii="仿宋_GB2312" w:eastAsia="仿宋_GB2312" w:hint="eastAsia"/>
          <w:sz w:val="32"/>
          <w:szCs w:val="32"/>
        </w:rPr>
        <w:t>-2022</w:t>
      </w:r>
      <w:r>
        <w:rPr>
          <w:rFonts w:ascii="仿宋_GB2312" w:eastAsia="仿宋_GB2312" w:hint="eastAsia"/>
          <w:sz w:val="32"/>
          <w:szCs w:val="32"/>
        </w:rPr>
        <w:t>年中央基建投资、兵团第九师草原畜牧业转型升级项目</w:t>
      </w:r>
      <w:r>
        <w:rPr>
          <w:rFonts w:ascii="仿宋_GB2312" w:eastAsia="仿宋_GB2312" w:hint="eastAsia"/>
          <w:sz w:val="32"/>
          <w:szCs w:val="32"/>
        </w:rPr>
        <w:t>-2022</w:t>
      </w:r>
      <w:r>
        <w:rPr>
          <w:rFonts w:ascii="仿宋_GB2312" w:eastAsia="仿宋_GB2312" w:hint="eastAsia"/>
          <w:sz w:val="32"/>
          <w:szCs w:val="32"/>
        </w:rPr>
        <w:t>年中央基建投资、</w:t>
      </w:r>
      <w:r>
        <w:rPr>
          <w:rFonts w:ascii="仿宋_GB2312" w:eastAsia="仿宋_GB2312" w:hint="eastAsia"/>
          <w:sz w:val="32"/>
          <w:szCs w:val="32"/>
        </w:rPr>
        <w:t>2022</w:t>
      </w:r>
      <w:r>
        <w:rPr>
          <w:rFonts w:ascii="仿宋_GB2312" w:eastAsia="仿宋_GB2312" w:hint="eastAsia"/>
          <w:sz w:val="32"/>
          <w:szCs w:val="32"/>
        </w:rPr>
        <w:t>年车辆购置税收入补助地方</w:t>
      </w:r>
      <w:r>
        <w:rPr>
          <w:rFonts w:ascii="仿宋_GB2312" w:eastAsia="仿宋_GB2312" w:hint="eastAsia"/>
          <w:sz w:val="32"/>
          <w:szCs w:val="32"/>
        </w:rPr>
        <w:t>-</w:t>
      </w:r>
      <w:r>
        <w:rPr>
          <w:rFonts w:ascii="仿宋_GB2312" w:eastAsia="仿宋_GB2312" w:hint="eastAsia"/>
          <w:sz w:val="32"/>
          <w:szCs w:val="32"/>
        </w:rPr>
        <w:t>农业农村公路提升改造工程项目等重大项目减少，本年主要是白杨市重大项目前期</w:t>
      </w:r>
      <w:r>
        <w:rPr>
          <w:rFonts w:ascii="仿宋_GB2312" w:eastAsia="仿宋_GB2312" w:hint="eastAsia"/>
          <w:sz w:val="32"/>
          <w:szCs w:val="32"/>
        </w:rPr>
        <w:t>费，新建项目减少，本年减少团窗成立国资公司注册资本金减少。</w:t>
      </w:r>
      <w:r w:rsidR="00B852E1">
        <w:rPr>
          <w:noProof/>
        </w:rPr>
        <w:drawing>
          <wp:inline distT="0" distB="0" distL="0" distR="0" wp14:anchorId="0E364B67" wp14:editId="0A803157">
            <wp:extent cx="6127750" cy="3479800"/>
            <wp:effectExtent l="0" t="0" r="0" b="0"/>
            <wp:docPr id="3" name="图片 1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CED19C" w14:textId="77777777" w:rsidR="00000000" w:rsidRDefault="00763D17">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本年结转</w:t>
      </w:r>
      <w:r>
        <w:rPr>
          <w:rFonts w:ascii="仿宋_GB2312" w:eastAsia="仿宋_GB2312" w:hint="eastAsia"/>
          <w:sz w:val="32"/>
          <w:szCs w:val="32"/>
        </w:rPr>
        <w:t>3810.7</w:t>
      </w:r>
      <w:r>
        <w:rPr>
          <w:rFonts w:ascii="仿宋_GB2312" w:eastAsia="仿宋_GB2312" w:hint="eastAsia"/>
          <w:sz w:val="32"/>
          <w:szCs w:val="32"/>
        </w:rPr>
        <w:t>万元，其中：财政拨款结转</w:t>
      </w:r>
      <w:r>
        <w:rPr>
          <w:rFonts w:ascii="仿宋_GB2312" w:eastAsia="仿宋_GB2312" w:hint="eastAsia"/>
          <w:sz w:val="32"/>
          <w:szCs w:val="32"/>
        </w:rPr>
        <w:t>0</w:t>
      </w:r>
      <w:r>
        <w:rPr>
          <w:rFonts w:ascii="仿宋_GB2312" w:eastAsia="仿宋_GB2312" w:hint="eastAsia"/>
          <w:sz w:val="32"/>
          <w:szCs w:val="32"/>
        </w:rPr>
        <w:t>万元，较上年</w:t>
      </w:r>
      <w:r>
        <w:rPr>
          <w:rFonts w:ascii="仿宋_GB2312" w:eastAsia="仿宋_GB2312" w:hint="eastAsia"/>
          <w:sz w:val="32"/>
          <w:szCs w:val="32"/>
        </w:rPr>
        <w:t>0</w:t>
      </w:r>
      <w:r>
        <w:rPr>
          <w:rFonts w:ascii="仿宋_GB2312" w:eastAsia="仿宋_GB2312" w:hint="eastAsia"/>
          <w:sz w:val="32"/>
          <w:szCs w:val="32"/>
        </w:rPr>
        <w:t>万元，</w:t>
      </w:r>
      <w:r>
        <w:rPr>
          <w:rFonts w:ascii="仿宋_GB2312" w:eastAsia="仿宋_GB2312" w:hint="eastAsia"/>
          <w:sz w:val="32"/>
          <w:szCs w:val="32"/>
        </w:rPr>
        <w:t>无增减变动</w:t>
      </w:r>
      <w:r>
        <w:rPr>
          <w:rFonts w:ascii="仿宋_GB2312" w:eastAsia="仿宋_GB2312" w:hint="eastAsia"/>
          <w:sz w:val="32"/>
          <w:szCs w:val="32"/>
        </w:rPr>
        <w:t>；非财政拨款结转</w:t>
      </w:r>
      <w:r>
        <w:rPr>
          <w:rFonts w:ascii="仿宋_GB2312" w:eastAsia="仿宋_GB2312" w:hint="eastAsia"/>
          <w:sz w:val="32"/>
          <w:szCs w:val="32"/>
        </w:rPr>
        <w:t>3810.7</w:t>
      </w:r>
      <w:r>
        <w:rPr>
          <w:rFonts w:ascii="仿宋_GB2312" w:eastAsia="仿宋_GB2312" w:hint="eastAsia"/>
          <w:sz w:val="32"/>
          <w:szCs w:val="32"/>
        </w:rPr>
        <w:t>万元，较上年</w:t>
      </w:r>
      <w:r>
        <w:rPr>
          <w:rFonts w:ascii="仿宋_GB2312" w:eastAsia="仿宋_GB2312" w:hint="eastAsia"/>
          <w:sz w:val="32"/>
          <w:szCs w:val="32"/>
        </w:rPr>
        <w:t>1621.75</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2188.95</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增长</w:t>
      </w:r>
      <w:r>
        <w:rPr>
          <w:rFonts w:ascii="仿宋_GB2312" w:eastAsia="仿宋_GB2312" w:hint="eastAsia"/>
          <w:sz w:val="32"/>
          <w:szCs w:val="32"/>
        </w:rPr>
        <w:t>134.97</w:t>
      </w:r>
      <w:r>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本年结转资</w:t>
      </w:r>
      <w:r>
        <w:rPr>
          <w:rFonts w:ascii="仿宋_GB2312" w:eastAsia="仿宋_GB2312" w:hint="eastAsia"/>
          <w:sz w:val="32"/>
          <w:szCs w:val="32"/>
        </w:rPr>
        <w:t>金增加的主要原因：医院的医疗收入、学校的课后托管服务费、水利局的水费等。</w:t>
      </w:r>
    </w:p>
    <w:p w14:paraId="004C142F" w14:textId="18919DAA" w:rsidR="00000000" w:rsidRDefault="00B852E1">
      <w:pPr>
        <w:widowControl/>
        <w:pBdr>
          <w:bottom w:val="single" w:sz="4" w:space="31" w:color="FFFFFF"/>
        </w:pBdr>
        <w:tabs>
          <w:tab w:val="left" w:pos="1440"/>
        </w:tabs>
        <w:ind w:firstLineChars="200" w:firstLine="420"/>
        <w:jc w:val="left"/>
      </w:pPr>
      <w:r>
        <w:rPr>
          <w:noProof/>
        </w:rPr>
        <w:lastRenderedPageBreak/>
        <w:drawing>
          <wp:inline distT="0" distB="0" distL="0" distR="0" wp14:anchorId="53F75694" wp14:editId="6E38EAB9">
            <wp:extent cx="5786755" cy="2664460"/>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AEFFA2" w14:textId="77777777" w:rsidR="00000000" w:rsidRDefault="00763D17">
      <w:pPr>
        <w:pStyle w:val="2"/>
        <w:ind w:firstLine="552"/>
        <w:rPr>
          <w:rFonts w:hint="eastAsia"/>
        </w:rPr>
      </w:pPr>
    </w:p>
    <w:p w14:paraId="319191F1" w14:textId="77777777" w:rsidR="00000000" w:rsidRDefault="00763D17">
      <w:pPr>
        <w:snapToGrid w:val="0"/>
        <w:spacing w:line="560" w:lineRule="exact"/>
        <w:ind w:firstLineChars="200" w:firstLine="640"/>
      </w:pPr>
      <w:r>
        <w:rPr>
          <w:rFonts w:ascii="仿宋_GB2312" w:eastAsia="仿宋_GB2312" w:hAnsi="仿宋" w:hint="eastAsia"/>
          <w:b/>
          <w:bCs/>
          <w:sz w:val="32"/>
          <w:szCs w:val="32"/>
        </w:rPr>
        <w:t>（</w:t>
      </w:r>
      <w:r>
        <w:rPr>
          <w:rFonts w:ascii="仿宋_GB2312" w:eastAsia="仿宋_GB2312" w:hAnsi="仿宋" w:hint="eastAsia"/>
          <w:b/>
          <w:bCs/>
          <w:sz w:val="32"/>
          <w:szCs w:val="32"/>
        </w:rPr>
        <w:t>2</w:t>
      </w:r>
      <w:r>
        <w:rPr>
          <w:rFonts w:ascii="仿宋_GB2312" w:eastAsia="仿宋_GB2312" w:hAnsi="仿宋" w:hint="eastAsia"/>
          <w:b/>
          <w:bCs/>
          <w:sz w:val="32"/>
          <w:szCs w:val="32"/>
        </w:rPr>
        <w:t>）</w:t>
      </w:r>
      <w:r>
        <w:rPr>
          <w:rFonts w:ascii="仿宋_GB2312" w:eastAsia="仿宋_GB2312" w:hAnsi="仿宋" w:hint="eastAsia"/>
          <w:b/>
          <w:bCs/>
          <w:sz w:val="32"/>
          <w:szCs w:val="32"/>
        </w:rPr>
        <w:t>按</w:t>
      </w:r>
      <w:r>
        <w:rPr>
          <w:rFonts w:ascii="仿宋_GB2312" w:eastAsia="仿宋_GB2312" w:hAnsi="仿宋" w:hint="eastAsia"/>
          <w:b/>
          <w:bCs/>
          <w:sz w:val="32"/>
          <w:szCs w:val="32"/>
        </w:rPr>
        <w:t>资金性质分析</w:t>
      </w:r>
      <w:r>
        <w:rPr>
          <w:rFonts w:ascii="仿宋_GB2312" w:eastAsia="仿宋_GB2312" w:hAnsi="仿宋" w:hint="eastAsia"/>
          <w:sz w:val="32"/>
          <w:szCs w:val="32"/>
        </w:rPr>
        <w:t>：</w:t>
      </w:r>
      <w:r>
        <w:rPr>
          <w:rFonts w:ascii="仿宋_GB2312" w:eastAsia="仿宋_GB2312" w:hint="eastAsia"/>
          <w:sz w:val="32"/>
          <w:szCs w:val="32"/>
        </w:rPr>
        <w:t>本年支出</w:t>
      </w:r>
      <w:r>
        <w:rPr>
          <w:rFonts w:ascii="仿宋_GB2312" w:eastAsia="仿宋_GB2312" w:hint="eastAsia"/>
          <w:sz w:val="32"/>
          <w:szCs w:val="32"/>
        </w:rPr>
        <w:t>456772.12</w:t>
      </w:r>
      <w:r>
        <w:rPr>
          <w:rFonts w:ascii="仿宋_GB2312" w:eastAsia="仿宋_GB2312" w:hint="eastAsia"/>
          <w:sz w:val="32"/>
          <w:szCs w:val="32"/>
        </w:rPr>
        <w:t>万元，其中：基本支出</w:t>
      </w:r>
      <w:r>
        <w:rPr>
          <w:rFonts w:ascii="仿宋_GB2312" w:eastAsia="仿宋_GB2312" w:hint="eastAsia"/>
          <w:sz w:val="32"/>
          <w:szCs w:val="32"/>
        </w:rPr>
        <w:t>111844.63</w:t>
      </w:r>
      <w:r>
        <w:rPr>
          <w:rFonts w:ascii="仿宋_GB2312" w:eastAsia="仿宋_GB2312" w:hint="eastAsia"/>
          <w:sz w:val="32"/>
          <w:szCs w:val="32"/>
        </w:rPr>
        <w:t>万元，较上年</w:t>
      </w:r>
      <w:r>
        <w:rPr>
          <w:rFonts w:ascii="仿宋_GB2312" w:eastAsia="仿宋_GB2312" w:hint="eastAsia"/>
          <w:sz w:val="32"/>
          <w:szCs w:val="32"/>
        </w:rPr>
        <w:t>106102.32</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5742.31</w:t>
      </w:r>
      <w:r>
        <w:rPr>
          <w:rFonts w:ascii="仿宋_GB2312" w:eastAsia="仿宋_GB2312" w:hint="eastAsia"/>
          <w:sz w:val="32"/>
          <w:szCs w:val="32"/>
        </w:rPr>
        <w:t>万元，增长</w:t>
      </w:r>
      <w:r>
        <w:rPr>
          <w:rFonts w:ascii="仿宋_GB2312" w:eastAsia="仿宋_GB2312" w:hint="eastAsia"/>
          <w:sz w:val="32"/>
          <w:szCs w:val="32"/>
        </w:rPr>
        <w:t>5</w:t>
      </w:r>
      <w:r>
        <w:rPr>
          <w:rFonts w:ascii="仿宋_GB2312" w:eastAsia="仿宋_GB2312" w:hint="eastAsia"/>
          <w:sz w:val="32"/>
          <w:szCs w:val="32"/>
        </w:rPr>
        <w:t>%</w:t>
      </w:r>
      <w:r>
        <w:rPr>
          <w:rFonts w:ascii="仿宋_GB2312" w:eastAsia="仿宋_GB2312" w:hint="eastAsia"/>
          <w:sz w:val="32"/>
          <w:szCs w:val="32"/>
        </w:rPr>
        <w:t>；项目支出</w:t>
      </w:r>
      <w:r>
        <w:rPr>
          <w:rFonts w:ascii="仿宋_GB2312" w:eastAsia="仿宋_GB2312" w:hint="eastAsia"/>
          <w:sz w:val="32"/>
          <w:szCs w:val="32"/>
        </w:rPr>
        <w:t>340403.74</w:t>
      </w:r>
      <w:r>
        <w:rPr>
          <w:rFonts w:ascii="仿宋_GB2312" w:eastAsia="仿宋_GB2312" w:hint="eastAsia"/>
          <w:sz w:val="32"/>
          <w:szCs w:val="32"/>
        </w:rPr>
        <w:t>万元，较上年</w:t>
      </w:r>
      <w:r>
        <w:rPr>
          <w:rFonts w:ascii="仿宋_GB2312" w:eastAsia="仿宋_GB2312" w:hint="eastAsia"/>
          <w:sz w:val="32"/>
          <w:szCs w:val="32"/>
        </w:rPr>
        <w:t>385912.65</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45508.91</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13.37</w:t>
      </w:r>
      <w:r>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经营支出</w:t>
      </w:r>
      <w:r>
        <w:rPr>
          <w:rFonts w:ascii="仿宋_GB2312" w:eastAsia="仿宋_GB2312" w:hint="eastAsia"/>
          <w:sz w:val="32"/>
          <w:szCs w:val="32"/>
        </w:rPr>
        <w:t>4523.74</w:t>
      </w:r>
      <w:r>
        <w:rPr>
          <w:rFonts w:ascii="仿宋_GB2312" w:eastAsia="仿宋_GB2312" w:hint="eastAsia"/>
          <w:sz w:val="32"/>
          <w:szCs w:val="32"/>
        </w:rPr>
        <w:t>万元，较上年</w:t>
      </w:r>
      <w:r>
        <w:rPr>
          <w:rFonts w:ascii="仿宋_GB2312" w:eastAsia="仿宋_GB2312" w:hint="eastAsia"/>
          <w:sz w:val="32"/>
          <w:szCs w:val="32"/>
        </w:rPr>
        <w:t>1859.72</w:t>
      </w:r>
      <w:r>
        <w:rPr>
          <w:rFonts w:ascii="仿宋_GB2312" w:eastAsia="仿宋_GB2312" w:hint="eastAsia"/>
          <w:sz w:val="32"/>
          <w:szCs w:val="32"/>
        </w:rPr>
        <w:t>万元，增加</w:t>
      </w:r>
      <w:r>
        <w:rPr>
          <w:rFonts w:ascii="仿宋_GB2312" w:eastAsia="仿宋_GB2312" w:hint="eastAsia"/>
          <w:sz w:val="32"/>
          <w:szCs w:val="32"/>
        </w:rPr>
        <w:t>2664.02</w:t>
      </w:r>
      <w:r>
        <w:rPr>
          <w:rFonts w:ascii="仿宋_GB2312" w:eastAsia="仿宋_GB2312" w:hint="eastAsia"/>
          <w:sz w:val="32"/>
          <w:szCs w:val="32"/>
        </w:rPr>
        <w:t>万元，增长</w:t>
      </w:r>
      <w:r>
        <w:rPr>
          <w:rFonts w:ascii="仿宋_GB2312" w:eastAsia="仿宋_GB2312" w:hint="eastAsia"/>
          <w:sz w:val="32"/>
          <w:szCs w:val="32"/>
        </w:rPr>
        <w:t>14.3%</w:t>
      </w:r>
      <w:r>
        <w:rPr>
          <w:rFonts w:ascii="仿宋_GB2312" w:eastAsia="仿宋_GB2312" w:hint="eastAsia"/>
          <w:sz w:val="32"/>
          <w:szCs w:val="32"/>
        </w:rPr>
        <w:t>。</w:t>
      </w:r>
    </w:p>
    <w:p w14:paraId="38989338" w14:textId="3EC9B4B9" w:rsidR="00000000" w:rsidRDefault="00B852E1">
      <w:pPr>
        <w:pStyle w:val="a4"/>
      </w:pPr>
      <w:r>
        <w:rPr>
          <w:noProof/>
        </w:rPr>
        <w:drawing>
          <wp:inline distT="0" distB="0" distL="0" distR="0" wp14:anchorId="52C15364" wp14:editId="0F154A22">
            <wp:extent cx="6319520" cy="2505710"/>
            <wp:effectExtent l="0" t="0" r="0" b="0"/>
            <wp:docPr id="5"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54ACA3" w14:textId="77777777" w:rsidR="00000000" w:rsidRDefault="00763D17">
      <w:pPr>
        <w:snapToGrid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本年结转</w:t>
      </w:r>
      <w:r>
        <w:rPr>
          <w:rFonts w:ascii="仿宋_GB2312" w:eastAsia="仿宋_GB2312" w:hint="eastAsia"/>
          <w:sz w:val="32"/>
          <w:szCs w:val="32"/>
        </w:rPr>
        <w:t>3810.7</w:t>
      </w:r>
      <w:r>
        <w:rPr>
          <w:rFonts w:ascii="仿宋_GB2312" w:eastAsia="仿宋_GB2312" w:hint="eastAsia"/>
          <w:sz w:val="32"/>
          <w:szCs w:val="32"/>
        </w:rPr>
        <w:t>万元其中：基本支出结转</w:t>
      </w:r>
      <w:r>
        <w:rPr>
          <w:rFonts w:ascii="仿宋_GB2312" w:eastAsia="仿宋_GB2312" w:hint="eastAsia"/>
          <w:sz w:val="32"/>
          <w:szCs w:val="32"/>
        </w:rPr>
        <w:t>3695.2</w:t>
      </w:r>
      <w:r>
        <w:rPr>
          <w:rFonts w:ascii="仿宋_GB2312" w:eastAsia="仿宋_GB2312" w:hint="eastAsia"/>
          <w:sz w:val="32"/>
          <w:szCs w:val="32"/>
        </w:rPr>
        <w:t>万元，较上年</w:t>
      </w:r>
      <w:r>
        <w:rPr>
          <w:rFonts w:ascii="仿宋_GB2312" w:eastAsia="仿宋_GB2312" w:hint="eastAsia"/>
          <w:sz w:val="32"/>
          <w:szCs w:val="32"/>
        </w:rPr>
        <w:t>15</w:t>
      </w:r>
      <w:r>
        <w:rPr>
          <w:rFonts w:ascii="仿宋_GB2312" w:eastAsia="仿宋_GB2312" w:hint="eastAsia"/>
          <w:sz w:val="32"/>
          <w:szCs w:val="32"/>
        </w:rPr>
        <w:t>25.32</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2169.88</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142</w:t>
      </w:r>
      <w:r>
        <w:rPr>
          <w:rFonts w:ascii="仿宋_GB2312" w:eastAsia="仿宋_GB2312" w:hint="eastAsia"/>
          <w:sz w:val="32"/>
          <w:szCs w:val="32"/>
        </w:rPr>
        <w:t>%</w:t>
      </w:r>
      <w:r>
        <w:rPr>
          <w:rFonts w:ascii="仿宋_GB2312" w:eastAsia="仿宋_GB2312" w:hint="eastAsia"/>
          <w:sz w:val="32"/>
          <w:szCs w:val="32"/>
        </w:rPr>
        <w:t>；项目支出结转</w:t>
      </w:r>
      <w:r>
        <w:rPr>
          <w:rFonts w:ascii="仿宋_GB2312" w:eastAsia="仿宋_GB2312" w:hint="eastAsia"/>
          <w:sz w:val="32"/>
          <w:szCs w:val="32"/>
        </w:rPr>
        <w:t>115.5</w:t>
      </w:r>
      <w:r>
        <w:rPr>
          <w:rFonts w:ascii="仿宋_GB2312" w:eastAsia="仿宋_GB2312" w:hint="eastAsia"/>
          <w:sz w:val="32"/>
          <w:szCs w:val="32"/>
        </w:rPr>
        <w:t>万元，较上年</w:t>
      </w:r>
      <w:r>
        <w:rPr>
          <w:rFonts w:ascii="仿宋_GB2312" w:eastAsia="仿宋_GB2312" w:hint="eastAsia"/>
          <w:sz w:val="32"/>
          <w:szCs w:val="32"/>
        </w:rPr>
        <w:t>96.43</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19.07</w:t>
      </w:r>
      <w:r>
        <w:rPr>
          <w:rFonts w:ascii="仿宋_GB2312" w:eastAsia="仿宋_GB2312"/>
          <w:sz w:val="32"/>
          <w:szCs w:val="32"/>
        </w:rPr>
        <w:t xml:space="preserve"> </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20</w:t>
      </w:r>
      <w:r>
        <w:rPr>
          <w:rFonts w:ascii="仿宋_GB2312" w:eastAsia="仿宋_GB2312" w:hint="eastAsia"/>
          <w:sz w:val="32"/>
          <w:szCs w:val="32"/>
        </w:rPr>
        <w:t>%</w:t>
      </w:r>
      <w:r>
        <w:rPr>
          <w:rFonts w:ascii="仿宋_GB2312" w:eastAsia="仿宋_GB2312" w:hint="eastAsia"/>
          <w:sz w:val="32"/>
          <w:szCs w:val="32"/>
        </w:rPr>
        <w:t>。</w:t>
      </w:r>
    </w:p>
    <w:p w14:paraId="5B6FD0EA" w14:textId="77777777" w:rsidR="00000000" w:rsidRDefault="00763D17">
      <w:pPr>
        <w:adjustRightInd w:val="0"/>
        <w:snapToGrid w:val="0"/>
        <w:spacing w:line="580" w:lineRule="exact"/>
        <w:ind w:firstLineChars="200" w:firstLine="640"/>
        <w:rPr>
          <w:rFonts w:ascii="楷体_GB2312" w:eastAsia="楷体_GB2312" w:hAnsi="楷体_GB2312" w:cs="楷体_GB2312"/>
          <w:b/>
          <w:bCs/>
          <w:sz w:val="32"/>
          <w:szCs w:val="32"/>
        </w:rPr>
      </w:pPr>
      <w:r>
        <w:rPr>
          <w:rFonts w:ascii="仿宋_GB2312" w:eastAsia="仿宋_GB2312" w:hint="eastAsia"/>
          <w:sz w:val="32"/>
          <w:szCs w:val="32"/>
        </w:rPr>
        <w:t>项目支出结转增长主要原因是：</w:t>
      </w:r>
      <w:r>
        <w:rPr>
          <w:rFonts w:ascii="仿宋_GB2312" w:eastAsia="仿宋_GB2312" w:hint="eastAsia"/>
          <w:sz w:val="32"/>
          <w:szCs w:val="32"/>
        </w:rPr>
        <w:t>医院的医疗收入、学校的课后托管服务费、水利局的水费等。</w:t>
      </w:r>
    </w:p>
    <w:p w14:paraId="6BAE89D5" w14:textId="09D4397C" w:rsidR="00000000" w:rsidRDefault="00B852E1">
      <w:pPr>
        <w:pStyle w:val="2"/>
        <w:ind w:leftChars="0" w:left="0" w:firstLineChars="0" w:firstLine="0"/>
        <w:rPr>
          <w:rFonts w:ascii="楷体_GB2312" w:eastAsia="楷体_GB2312" w:hAnsi="楷体_GB2312" w:cs="楷体_GB2312"/>
          <w:sz w:val="32"/>
          <w:szCs w:val="32"/>
        </w:rPr>
      </w:pPr>
      <w:r>
        <w:rPr>
          <w:noProof/>
        </w:rPr>
        <w:drawing>
          <wp:inline distT="0" distB="0" distL="0" distR="0" wp14:anchorId="5DA9052F" wp14:editId="0D54D0A0">
            <wp:extent cx="6200140" cy="3594735"/>
            <wp:effectExtent l="0" t="0" r="0" b="0"/>
            <wp:docPr id="6"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EA8EA4" w14:textId="77777777" w:rsidR="00000000" w:rsidRDefault="00763D17">
      <w:pPr>
        <w:snapToGrid w:val="0"/>
        <w:spacing w:line="560" w:lineRule="exact"/>
        <w:ind w:firstLineChars="200" w:firstLine="640"/>
      </w:pPr>
      <w:r>
        <w:rPr>
          <w:rFonts w:ascii="仿宋_GB2312" w:eastAsia="仿宋_GB2312" w:hAnsi="仿宋" w:hint="eastAsia"/>
          <w:b/>
          <w:bCs/>
          <w:sz w:val="32"/>
          <w:szCs w:val="32"/>
        </w:rPr>
        <w:t>2.</w:t>
      </w:r>
      <w:r>
        <w:rPr>
          <w:rFonts w:ascii="仿宋_GB2312" w:eastAsia="仿宋_GB2312" w:hAnsi="仿宋" w:hint="eastAsia"/>
          <w:b/>
          <w:bCs/>
          <w:sz w:val="32"/>
          <w:szCs w:val="32"/>
        </w:rPr>
        <w:t>收入、支出和结转结余分预算管理级次分析</w:t>
      </w:r>
      <w:r>
        <w:rPr>
          <w:rFonts w:ascii="仿宋_GB2312" w:eastAsia="仿宋_GB2312" w:hAnsi="仿宋" w:hint="eastAsia"/>
          <w:sz w:val="32"/>
          <w:szCs w:val="32"/>
        </w:rPr>
        <w:t>。</w:t>
      </w:r>
      <w:r>
        <w:rPr>
          <w:rFonts w:ascii="仿宋_GB2312" w:eastAsia="仿宋_GB2312" w:hAnsi="仿宋_GB2312" w:cs="仿宋_GB2312" w:hint="eastAsia"/>
          <w:sz w:val="32"/>
          <w:szCs w:val="32"/>
        </w:rPr>
        <w:t>本年收入</w:t>
      </w:r>
      <w:r>
        <w:rPr>
          <w:rFonts w:ascii="仿宋_GB2312" w:eastAsia="仿宋_GB2312" w:hint="eastAsia"/>
          <w:sz w:val="32"/>
          <w:szCs w:val="32"/>
        </w:rPr>
        <w:t>458961.07</w:t>
      </w:r>
      <w:r>
        <w:rPr>
          <w:rFonts w:ascii="仿宋_GB2312" w:eastAsia="仿宋_GB2312" w:hint="eastAsia"/>
          <w:sz w:val="32"/>
          <w:szCs w:val="32"/>
        </w:rPr>
        <w:t>万元，其中：师本级</w:t>
      </w:r>
      <w:r>
        <w:rPr>
          <w:rFonts w:ascii="仿宋_GB2312" w:eastAsia="仿宋_GB2312" w:hint="eastAsia"/>
          <w:sz w:val="32"/>
          <w:szCs w:val="32"/>
        </w:rPr>
        <w:t>297816.31</w:t>
      </w:r>
      <w:r>
        <w:rPr>
          <w:rFonts w:ascii="仿宋_GB2312" w:eastAsia="仿宋_GB2312" w:hint="eastAsia"/>
          <w:sz w:val="32"/>
          <w:szCs w:val="32"/>
        </w:rPr>
        <w:t>万元，较上年</w:t>
      </w:r>
      <w:r>
        <w:rPr>
          <w:rFonts w:ascii="仿宋_GB2312" w:eastAsia="仿宋_GB2312" w:hint="eastAsia"/>
          <w:sz w:val="32"/>
          <w:szCs w:val="32"/>
        </w:rPr>
        <w:t>290972.78</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6843.53</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2.36</w:t>
      </w:r>
      <w:r>
        <w:rPr>
          <w:rFonts w:ascii="仿宋_GB2312" w:eastAsia="仿宋_GB2312" w:hint="eastAsia"/>
          <w:sz w:val="32"/>
          <w:szCs w:val="32"/>
        </w:rPr>
        <w:t>%</w:t>
      </w:r>
      <w:r>
        <w:rPr>
          <w:rFonts w:ascii="仿宋_GB2312" w:eastAsia="仿宋_GB2312" w:hint="eastAsia"/>
          <w:sz w:val="32"/>
          <w:szCs w:val="32"/>
        </w:rPr>
        <w:t>；团场</w:t>
      </w:r>
      <w:r>
        <w:rPr>
          <w:rFonts w:ascii="仿宋_GB2312" w:eastAsia="仿宋_GB2312" w:hint="eastAsia"/>
          <w:sz w:val="32"/>
          <w:szCs w:val="32"/>
        </w:rPr>
        <w:t>161444.76</w:t>
      </w:r>
      <w:r>
        <w:rPr>
          <w:rFonts w:ascii="仿宋_GB2312" w:eastAsia="仿宋_GB2312" w:hint="eastAsia"/>
          <w:sz w:val="32"/>
          <w:szCs w:val="32"/>
        </w:rPr>
        <w:t>万元，较上年</w:t>
      </w:r>
      <w:r>
        <w:rPr>
          <w:rFonts w:ascii="仿宋_GB2312" w:eastAsia="仿宋_GB2312" w:hint="eastAsia"/>
          <w:sz w:val="32"/>
          <w:szCs w:val="32"/>
        </w:rPr>
        <w:t>200823.2</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39378.44</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20</w:t>
      </w:r>
      <w:r>
        <w:rPr>
          <w:rFonts w:ascii="仿宋_GB2312" w:eastAsia="仿宋_GB2312" w:hint="eastAsia"/>
          <w:sz w:val="32"/>
          <w:szCs w:val="32"/>
        </w:rPr>
        <w:t>%</w:t>
      </w:r>
      <w:r>
        <w:rPr>
          <w:rFonts w:ascii="仿宋_GB2312" w:eastAsia="仿宋_GB2312" w:hint="eastAsia"/>
          <w:sz w:val="32"/>
          <w:szCs w:val="32"/>
        </w:rPr>
        <w:t>。</w:t>
      </w:r>
    </w:p>
    <w:p w14:paraId="3E6EF089" w14:textId="113A61CA" w:rsidR="00000000" w:rsidRDefault="00763D17">
      <w:pPr>
        <w:snapToGrid w:val="0"/>
      </w:pPr>
      <w:r>
        <w:rPr>
          <w:rFonts w:hint="eastAsia"/>
        </w:rPr>
        <w:t xml:space="preserve">   </w:t>
      </w:r>
      <w:r>
        <w:rPr>
          <w:rFonts w:hint="eastAsia"/>
        </w:rPr>
        <w:t xml:space="preserve"> </w:t>
      </w:r>
      <w:r w:rsidR="00B852E1">
        <w:rPr>
          <w:noProof/>
        </w:rPr>
        <w:lastRenderedPageBreak/>
        <w:drawing>
          <wp:inline distT="0" distB="0" distL="0" distR="0" wp14:anchorId="3838BE75" wp14:editId="64A7B793">
            <wp:extent cx="6234430" cy="3514725"/>
            <wp:effectExtent l="0" t="0" r="0" b="0"/>
            <wp:docPr id="7" name="图片 1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hint="eastAsia"/>
        </w:rPr>
        <w:t xml:space="preserve">  </w:t>
      </w:r>
      <w:r w:rsidR="00B852E1">
        <w:rPr>
          <w:noProof/>
        </w:rPr>
        <w:drawing>
          <wp:inline distT="0" distB="0" distL="0" distR="0" wp14:anchorId="73EF54EF" wp14:editId="05E99011">
            <wp:extent cx="6242050" cy="3489325"/>
            <wp:effectExtent l="0" t="0" r="0" b="0"/>
            <wp:docPr id="8"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0E9222" w14:textId="77777777" w:rsidR="00000000" w:rsidRDefault="00763D17">
      <w:pPr>
        <w:pStyle w:val="5"/>
        <w:numPr>
          <w:ilvl w:val="0"/>
          <w:numId w:val="0"/>
        </w:numPr>
        <w:tabs>
          <w:tab w:val="left" w:pos="2040"/>
        </w:tabs>
      </w:pPr>
    </w:p>
    <w:p w14:paraId="6708FE70" w14:textId="77777777" w:rsidR="00000000" w:rsidRDefault="00763D17">
      <w:pPr>
        <w:snapToGrid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本年支出</w:t>
      </w:r>
      <w:r>
        <w:rPr>
          <w:rFonts w:ascii="仿宋_GB2312" w:eastAsia="仿宋_GB2312" w:hint="eastAsia"/>
          <w:sz w:val="32"/>
          <w:szCs w:val="32"/>
        </w:rPr>
        <w:t>456772.12</w:t>
      </w:r>
      <w:r>
        <w:rPr>
          <w:rFonts w:ascii="仿宋_GB2312" w:eastAsia="仿宋_GB2312" w:hint="eastAsia"/>
          <w:sz w:val="32"/>
          <w:szCs w:val="32"/>
        </w:rPr>
        <w:t>万元，其中：师本级</w:t>
      </w:r>
      <w:r>
        <w:rPr>
          <w:rFonts w:ascii="仿宋_GB2312" w:eastAsia="仿宋_GB2312" w:hint="eastAsia"/>
          <w:sz w:val="32"/>
          <w:szCs w:val="32"/>
        </w:rPr>
        <w:t>295580.94</w:t>
      </w:r>
      <w:r>
        <w:rPr>
          <w:rFonts w:ascii="仿宋_GB2312" w:eastAsia="仿宋_GB2312" w:hint="eastAsia"/>
          <w:sz w:val="32"/>
          <w:szCs w:val="32"/>
        </w:rPr>
        <w:t>万元，较上年</w:t>
      </w:r>
      <w:r>
        <w:rPr>
          <w:rFonts w:ascii="仿宋_GB2312" w:eastAsia="仿宋_GB2312" w:hint="eastAsia"/>
          <w:sz w:val="32"/>
          <w:szCs w:val="32"/>
        </w:rPr>
        <w:t>292966.57</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2614.37</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0.89</w:t>
      </w:r>
      <w:r>
        <w:rPr>
          <w:rFonts w:ascii="仿宋_GB2312" w:eastAsia="仿宋_GB2312" w:hint="eastAsia"/>
          <w:sz w:val="32"/>
          <w:szCs w:val="32"/>
        </w:rPr>
        <w:t>%</w:t>
      </w:r>
      <w:r>
        <w:rPr>
          <w:rFonts w:ascii="仿宋_GB2312" w:eastAsia="仿宋_GB2312" w:hint="eastAsia"/>
          <w:sz w:val="32"/>
          <w:szCs w:val="32"/>
        </w:rPr>
        <w:t>；团场</w:t>
      </w:r>
      <w:r>
        <w:rPr>
          <w:rFonts w:ascii="仿宋_GB2312" w:eastAsia="仿宋_GB2312" w:hint="eastAsia"/>
          <w:sz w:val="32"/>
          <w:szCs w:val="32"/>
        </w:rPr>
        <w:t>161191.18</w:t>
      </w:r>
      <w:r>
        <w:rPr>
          <w:rFonts w:ascii="仿宋_GB2312" w:eastAsia="仿宋_GB2312" w:hint="eastAsia"/>
          <w:sz w:val="32"/>
          <w:szCs w:val="32"/>
        </w:rPr>
        <w:t>万元，较上年</w:t>
      </w:r>
      <w:r>
        <w:rPr>
          <w:rFonts w:ascii="仿宋_GB2312" w:eastAsia="仿宋_GB2312" w:hint="eastAsia"/>
          <w:sz w:val="32"/>
          <w:szCs w:val="32"/>
        </w:rPr>
        <w:t>200908.13</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39716.95</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19.77</w:t>
      </w:r>
      <w:r>
        <w:rPr>
          <w:rFonts w:ascii="仿宋_GB2312" w:eastAsia="仿宋_GB2312" w:hint="eastAsia"/>
          <w:sz w:val="32"/>
          <w:szCs w:val="32"/>
        </w:rPr>
        <w:t>%</w:t>
      </w:r>
      <w:r>
        <w:rPr>
          <w:rFonts w:ascii="仿宋_GB2312" w:eastAsia="仿宋_GB2312" w:hint="eastAsia"/>
          <w:sz w:val="32"/>
          <w:szCs w:val="32"/>
        </w:rPr>
        <w:t>。</w:t>
      </w:r>
    </w:p>
    <w:p w14:paraId="5F15F197" w14:textId="3A376435" w:rsidR="00000000" w:rsidRDefault="00B852E1">
      <w:pPr>
        <w:snapToGrid w:val="0"/>
        <w:rPr>
          <w:rFonts w:ascii="仿宋_GB2312" w:eastAsia="仿宋_GB2312" w:hint="eastAsia"/>
          <w:sz w:val="32"/>
          <w:szCs w:val="32"/>
        </w:rPr>
      </w:pPr>
      <w:r>
        <w:rPr>
          <w:noProof/>
        </w:rPr>
        <w:drawing>
          <wp:inline distT="0" distB="0" distL="0" distR="0" wp14:anchorId="3F9A4B23" wp14:editId="4B0281B9">
            <wp:extent cx="6380480" cy="4017645"/>
            <wp:effectExtent l="0" t="0" r="0" b="0"/>
            <wp:docPr id="9"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D41505D" wp14:editId="07120A28">
            <wp:extent cx="6369685" cy="3721735"/>
            <wp:effectExtent l="0" t="0" r="0" b="0"/>
            <wp:docPr id="10"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E22510" w14:textId="77777777" w:rsidR="00000000" w:rsidRDefault="00763D17">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本年结转</w:t>
      </w:r>
      <w:r>
        <w:rPr>
          <w:rFonts w:ascii="仿宋_GB2312" w:eastAsia="仿宋_GB2312" w:hint="eastAsia"/>
          <w:sz w:val="32"/>
          <w:szCs w:val="32"/>
        </w:rPr>
        <w:t>3810.7</w:t>
      </w:r>
      <w:r>
        <w:rPr>
          <w:rFonts w:ascii="仿宋_GB2312" w:eastAsia="仿宋_GB2312" w:hint="eastAsia"/>
          <w:sz w:val="32"/>
          <w:szCs w:val="32"/>
        </w:rPr>
        <w:t>万元，其中：师本级</w:t>
      </w:r>
      <w:r>
        <w:rPr>
          <w:rFonts w:ascii="仿宋_GB2312" w:eastAsia="仿宋_GB2312" w:hint="eastAsia"/>
          <w:sz w:val="32"/>
          <w:szCs w:val="32"/>
        </w:rPr>
        <w:t>3810.7</w:t>
      </w:r>
      <w:r>
        <w:rPr>
          <w:rFonts w:ascii="仿宋_GB2312" w:eastAsia="仿宋_GB2312" w:hint="eastAsia"/>
          <w:sz w:val="32"/>
          <w:szCs w:val="32"/>
        </w:rPr>
        <w:t>万元，较上年</w:t>
      </w:r>
      <w:r>
        <w:rPr>
          <w:rFonts w:ascii="仿宋_GB2312" w:eastAsia="仿宋_GB2312" w:hint="eastAsia"/>
          <w:sz w:val="32"/>
          <w:szCs w:val="32"/>
        </w:rPr>
        <w:t>1575.32</w:t>
      </w:r>
      <w:r>
        <w:rPr>
          <w:rFonts w:ascii="仿宋_GB2312" w:eastAsia="仿宋_GB2312" w:hint="eastAsia"/>
          <w:sz w:val="32"/>
          <w:szCs w:val="32"/>
        </w:rPr>
        <w:lastRenderedPageBreak/>
        <w:t>万元，</w:t>
      </w:r>
      <w:r>
        <w:rPr>
          <w:rFonts w:ascii="仿宋_GB2312" w:eastAsia="仿宋_GB2312" w:hint="eastAsia"/>
          <w:sz w:val="32"/>
          <w:szCs w:val="32"/>
        </w:rPr>
        <w:t>增加</w:t>
      </w:r>
      <w:r>
        <w:rPr>
          <w:rFonts w:ascii="仿宋_GB2312" w:eastAsia="仿宋_GB2312" w:hint="eastAsia"/>
          <w:sz w:val="32"/>
          <w:szCs w:val="32"/>
        </w:rPr>
        <w:t>2235.38</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142</w:t>
      </w:r>
      <w:r>
        <w:rPr>
          <w:rFonts w:ascii="仿宋_GB2312" w:eastAsia="仿宋_GB2312" w:hint="eastAsia"/>
          <w:sz w:val="32"/>
          <w:szCs w:val="32"/>
        </w:rPr>
        <w:t>%</w:t>
      </w:r>
      <w:r>
        <w:rPr>
          <w:rFonts w:ascii="仿宋_GB2312" w:eastAsia="仿宋_GB2312" w:hint="eastAsia"/>
          <w:sz w:val="32"/>
          <w:szCs w:val="32"/>
        </w:rPr>
        <w:t>；团场</w:t>
      </w:r>
      <w:r>
        <w:rPr>
          <w:rFonts w:ascii="仿宋_GB2312" w:eastAsia="仿宋_GB2312" w:hint="eastAsia"/>
          <w:sz w:val="32"/>
          <w:szCs w:val="32"/>
        </w:rPr>
        <w:t>0</w:t>
      </w:r>
      <w:r>
        <w:rPr>
          <w:rFonts w:ascii="仿宋_GB2312" w:eastAsia="仿宋_GB2312" w:hint="eastAsia"/>
          <w:sz w:val="32"/>
          <w:szCs w:val="32"/>
        </w:rPr>
        <w:t>万元，较上年</w:t>
      </w:r>
      <w:r>
        <w:rPr>
          <w:rFonts w:ascii="仿宋_GB2312" w:eastAsia="仿宋_GB2312" w:hint="eastAsia"/>
          <w:sz w:val="32"/>
          <w:szCs w:val="32"/>
        </w:rPr>
        <w:t>46.43</w:t>
      </w:r>
      <w:r>
        <w:rPr>
          <w:rFonts w:ascii="仿宋_GB2312" w:eastAsia="仿宋_GB2312" w:hint="eastAsia"/>
          <w:sz w:val="32"/>
          <w:szCs w:val="32"/>
        </w:rPr>
        <w:t>万元，减少</w:t>
      </w:r>
      <w:r>
        <w:rPr>
          <w:rFonts w:ascii="仿宋_GB2312" w:eastAsia="仿宋_GB2312" w:hint="eastAsia"/>
          <w:sz w:val="32"/>
          <w:szCs w:val="32"/>
        </w:rPr>
        <w:t>46.43</w:t>
      </w:r>
      <w:r>
        <w:rPr>
          <w:rFonts w:ascii="仿宋_GB2312" w:eastAsia="仿宋_GB2312" w:hint="eastAsia"/>
          <w:sz w:val="32"/>
          <w:szCs w:val="32"/>
        </w:rPr>
        <w:t>万元，下降</w:t>
      </w:r>
      <w:r>
        <w:rPr>
          <w:rFonts w:ascii="仿宋_GB2312" w:eastAsia="仿宋_GB2312" w:hint="eastAsia"/>
          <w:sz w:val="32"/>
          <w:szCs w:val="32"/>
        </w:rPr>
        <w:t>100</w:t>
      </w:r>
      <w:r>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医院的医疗收入、学校的课后托管服务费、水利局的水费等。</w:t>
      </w:r>
    </w:p>
    <w:p w14:paraId="69B4D6A3" w14:textId="77777777" w:rsidR="00000000" w:rsidRDefault="00763D17">
      <w:pPr>
        <w:snapToGrid w:val="0"/>
        <w:spacing w:line="560" w:lineRule="exact"/>
        <w:ind w:firstLineChars="200" w:firstLine="640"/>
        <w:rPr>
          <w:rFonts w:ascii="仿宋_GB2312" w:eastAsia="仿宋_GB2312"/>
          <w:sz w:val="32"/>
          <w:szCs w:val="32"/>
          <w:highlight w:val="yellow"/>
        </w:rPr>
      </w:pPr>
    </w:p>
    <w:p w14:paraId="599B26C5" w14:textId="496E08B9" w:rsidR="00000000" w:rsidRDefault="00B852E1">
      <w:pPr>
        <w:snapToGrid w:val="0"/>
        <w:rPr>
          <w:rFonts w:ascii="仿宋_GB2312" w:eastAsia="仿宋_GB2312"/>
          <w:sz w:val="32"/>
          <w:szCs w:val="32"/>
        </w:rPr>
      </w:pPr>
      <w:r>
        <w:rPr>
          <w:noProof/>
        </w:rPr>
        <w:drawing>
          <wp:inline distT="0" distB="0" distL="0" distR="0" wp14:anchorId="6DB4C0AC" wp14:editId="07CFC966">
            <wp:extent cx="5903595" cy="2410460"/>
            <wp:effectExtent l="0" t="0" r="0" b="0"/>
            <wp:docPr id="11"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2B4190" w14:textId="77777777" w:rsidR="00000000" w:rsidRDefault="00763D17">
      <w:pPr>
        <w:snapToGrid w:val="0"/>
        <w:spacing w:line="580" w:lineRule="exact"/>
        <w:ind w:firstLineChars="200" w:firstLine="640"/>
        <w:rPr>
          <w:rFonts w:ascii="仿宋_GB2312" w:eastAsia="仿宋_GB2312" w:hAnsi="仿宋" w:hint="eastAsia"/>
          <w:b/>
          <w:bCs/>
          <w:sz w:val="32"/>
          <w:szCs w:val="32"/>
        </w:rPr>
      </w:pPr>
      <w:r>
        <w:rPr>
          <w:rFonts w:ascii="仿宋_GB2312" w:eastAsia="仿宋_GB2312" w:hAnsi="仿宋" w:hint="eastAsia"/>
          <w:b/>
          <w:bCs/>
          <w:sz w:val="32"/>
          <w:szCs w:val="32"/>
        </w:rPr>
        <w:t>3</w:t>
      </w:r>
      <w:r>
        <w:rPr>
          <w:rFonts w:ascii="仿宋_GB2312" w:eastAsia="仿宋_GB2312" w:hAnsi="仿宋" w:hint="eastAsia"/>
          <w:b/>
          <w:bCs/>
          <w:sz w:val="32"/>
          <w:szCs w:val="32"/>
        </w:rPr>
        <w:t>．收入、支出和结转结余分功能分类科目及经济分类科目分析。</w:t>
      </w:r>
    </w:p>
    <w:p w14:paraId="067EFDAB" w14:textId="77777777" w:rsidR="00000000" w:rsidRDefault="00763D17">
      <w:pPr>
        <w:snapToGrid w:val="0"/>
        <w:spacing w:line="580" w:lineRule="exact"/>
        <w:ind w:firstLineChars="200" w:firstLine="640"/>
        <w:rPr>
          <w:rFonts w:ascii="仿宋_GB2312" w:eastAsia="仿宋_GB2312" w:hAnsi="仿宋" w:hint="eastAsia"/>
          <w:b/>
          <w:bCs/>
          <w:sz w:val="32"/>
          <w:szCs w:val="32"/>
        </w:rPr>
      </w:pPr>
      <w:r>
        <w:rPr>
          <w:rFonts w:ascii="仿宋_GB2312" w:eastAsia="仿宋_GB2312" w:hAnsi="仿宋" w:hint="eastAsia"/>
          <w:b/>
          <w:bCs/>
          <w:sz w:val="32"/>
          <w:szCs w:val="32"/>
        </w:rPr>
        <w:t>（</w:t>
      </w:r>
      <w:r>
        <w:rPr>
          <w:rFonts w:ascii="仿宋_GB2312" w:eastAsia="仿宋_GB2312" w:hAnsi="仿宋" w:hint="eastAsia"/>
          <w:b/>
          <w:bCs/>
          <w:sz w:val="32"/>
          <w:szCs w:val="32"/>
        </w:rPr>
        <w:t>1</w:t>
      </w:r>
      <w:r>
        <w:rPr>
          <w:rFonts w:ascii="仿宋_GB2312" w:eastAsia="仿宋_GB2312" w:hAnsi="仿宋" w:hint="eastAsia"/>
          <w:b/>
          <w:bCs/>
          <w:sz w:val="32"/>
          <w:szCs w:val="32"/>
        </w:rPr>
        <w:t>）按功能分类科目</w:t>
      </w:r>
      <w:r>
        <w:rPr>
          <w:rFonts w:ascii="仿宋_GB2312" w:eastAsia="仿宋_GB2312" w:hAnsi="仿宋" w:hint="eastAsia"/>
          <w:b/>
          <w:bCs/>
          <w:sz w:val="32"/>
          <w:szCs w:val="32"/>
        </w:rPr>
        <w:t>分析</w:t>
      </w:r>
    </w:p>
    <w:p w14:paraId="50D6401E" w14:textId="77777777" w:rsidR="00000000" w:rsidRDefault="00763D17">
      <w:pPr>
        <w:snapToGrid w:val="0"/>
        <w:spacing w:line="560" w:lineRule="exact"/>
        <w:ind w:firstLineChars="200" w:firstLine="640"/>
        <w:rPr>
          <w:rFonts w:ascii="仿宋_GB2312" w:eastAsia="仿宋_GB2312" w:hint="eastAsia"/>
          <w:b/>
          <w:bCs/>
          <w:sz w:val="32"/>
          <w:szCs w:val="32"/>
        </w:rPr>
      </w:pPr>
      <w:r>
        <w:rPr>
          <w:rFonts w:ascii="仿宋_GB2312" w:eastAsia="仿宋_GB2312" w:hint="eastAsia"/>
          <w:sz w:val="32"/>
          <w:szCs w:val="32"/>
        </w:rPr>
        <w:t>202</w:t>
      </w:r>
      <w:r>
        <w:rPr>
          <w:rFonts w:ascii="仿宋_GB2312" w:eastAsia="仿宋_GB2312" w:hint="eastAsia"/>
          <w:sz w:val="32"/>
          <w:szCs w:val="32"/>
        </w:rPr>
        <w:t>3</w:t>
      </w:r>
      <w:r>
        <w:rPr>
          <w:rFonts w:ascii="仿宋_GB2312" w:eastAsia="仿宋_GB2312" w:hint="eastAsia"/>
          <w:sz w:val="32"/>
          <w:szCs w:val="32"/>
        </w:rPr>
        <w:t>年，本年收入</w:t>
      </w:r>
      <w:r>
        <w:rPr>
          <w:rFonts w:ascii="仿宋_GB2312" w:eastAsia="仿宋_GB2312" w:hint="eastAsia"/>
          <w:sz w:val="32"/>
          <w:szCs w:val="32"/>
        </w:rPr>
        <w:t>458961.07</w:t>
      </w:r>
      <w:r>
        <w:rPr>
          <w:rFonts w:ascii="仿宋_GB2312" w:eastAsia="仿宋_GB2312" w:hint="eastAsia"/>
          <w:sz w:val="32"/>
          <w:szCs w:val="32"/>
        </w:rPr>
        <w:t>万元，较上年</w:t>
      </w:r>
      <w:r>
        <w:rPr>
          <w:rFonts w:ascii="仿宋_GB2312" w:eastAsia="仿宋_GB2312" w:hint="eastAsia"/>
          <w:sz w:val="32"/>
          <w:szCs w:val="32"/>
        </w:rPr>
        <w:t>491755.99</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144873.3</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31.57</w:t>
      </w:r>
      <w:r>
        <w:rPr>
          <w:rFonts w:ascii="仿宋_GB2312" w:eastAsia="仿宋_GB2312" w:hint="eastAsia"/>
          <w:sz w:val="32"/>
          <w:szCs w:val="32"/>
        </w:rPr>
        <w:t>%</w:t>
      </w:r>
      <w:r>
        <w:rPr>
          <w:rFonts w:ascii="仿宋_GB2312" w:eastAsia="仿宋_GB2312" w:hint="eastAsia"/>
          <w:sz w:val="32"/>
          <w:szCs w:val="32"/>
        </w:rPr>
        <w:t>。按照功能分类科目分析如下：</w:t>
      </w:r>
    </w:p>
    <w:p w14:paraId="4666A52D" w14:textId="77777777" w:rsidR="00000000" w:rsidRDefault="00763D17">
      <w:pPr>
        <w:snapToGrid w:val="0"/>
        <w:spacing w:line="560" w:lineRule="exact"/>
        <w:ind w:firstLineChars="200" w:firstLine="640"/>
        <w:jc w:val="center"/>
        <w:rPr>
          <w:rFonts w:ascii="仿宋_GB2312" w:eastAsia="仿宋_GB2312" w:hint="eastAsia"/>
          <w:b/>
          <w:bCs/>
          <w:sz w:val="32"/>
          <w:szCs w:val="32"/>
        </w:rPr>
      </w:pPr>
    </w:p>
    <w:p w14:paraId="6ADB86DD" w14:textId="77777777" w:rsidR="00000000" w:rsidRDefault="00763D17">
      <w:pPr>
        <w:snapToGrid w:val="0"/>
        <w:spacing w:line="560" w:lineRule="exact"/>
        <w:ind w:firstLineChars="200" w:firstLine="640"/>
        <w:jc w:val="center"/>
        <w:rPr>
          <w:rFonts w:ascii="仿宋_GB2312" w:eastAsia="仿宋_GB2312"/>
          <w:b/>
          <w:bCs/>
          <w:sz w:val="32"/>
          <w:szCs w:val="32"/>
        </w:rPr>
      </w:pPr>
      <w:r>
        <w:rPr>
          <w:rFonts w:ascii="仿宋_GB2312" w:eastAsia="仿宋_GB2312" w:hint="eastAsia"/>
          <w:b/>
          <w:bCs/>
          <w:sz w:val="32"/>
          <w:szCs w:val="32"/>
        </w:rPr>
        <w:t>表</w:t>
      </w:r>
      <w:r>
        <w:rPr>
          <w:rFonts w:ascii="仿宋_GB2312" w:eastAsia="仿宋_GB2312" w:hint="eastAsia"/>
          <w:b/>
          <w:bCs/>
          <w:sz w:val="32"/>
          <w:szCs w:val="32"/>
        </w:rPr>
        <w:t>1:</w:t>
      </w:r>
      <w:r>
        <w:rPr>
          <w:rFonts w:ascii="仿宋_GB2312" w:eastAsia="仿宋_GB2312" w:hint="eastAsia"/>
          <w:b/>
          <w:bCs/>
          <w:sz w:val="32"/>
          <w:szCs w:val="32"/>
        </w:rPr>
        <w:t>2022-</w:t>
      </w:r>
      <w:r>
        <w:rPr>
          <w:rFonts w:ascii="仿宋_GB2312" w:eastAsia="仿宋_GB2312" w:hint="eastAsia"/>
          <w:b/>
          <w:bCs/>
          <w:sz w:val="32"/>
          <w:szCs w:val="32"/>
        </w:rPr>
        <w:t>202</w:t>
      </w:r>
      <w:r>
        <w:rPr>
          <w:rFonts w:ascii="仿宋_GB2312" w:eastAsia="仿宋_GB2312" w:hint="eastAsia"/>
          <w:b/>
          <w:bCs/>
          <w:sz w:val="32"/>
          <w:szCs w:val="32"/>
        </w:rPr>
        <w:t>3</w:t>
      </w:r>
      <w:r>
        <w:rPr>
          <w:rFonts w:ascii="仿宋_GB2312" w:eastAsia="仿宋_GB2312" w:hint="eastAsia"/>
          <w:b/>
          <w:bCs/>
          <w:sz w:val="32"/>
          <w:szCs w:val="32"/>
        </w:rPr>
        <w:t>年本年收入按功能分类科目分析</w:t>
      </w:r>
    </w:p>
    <w:p w14:paraId="02D1AC1F" w14:textId="77777777" w:rsidR="00000000" w:rsidRDefault="00763D17">
      <w:pPr>
        <w:wordWrap w:val="0"/>
        <w:snapToGrid w:val="0"/>
        <w:spacing w:line="560" w:lineRule="exact"/>
        <w:ind w:firstLineChars="200" w:firstLine="640"/>
        <w:jc w:val="cente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单位：万元</w:t>
      </w:r>
      <w:r>
        <w:rPr>
          <w:rFonts w:ascii="仿宋_GB2312" w:eastAsia="仿宋_GB2312" w:hint="eastAsia"/>
          <w:sz w:val="32"/>
          <w:szCs w:val="32"/>
        </w:rPr>
        <w:t xml:space="preserve"> </w:t>
      </w:r>
    </w:p>
    <w:tbl>
      <w:tblPr>
        <w:tblW w:w="10082" w:type="dxa"/>
        <w:tblInd w:w="96" w:type="dxa"/>
        <w:tblLayout w:type="fixed"/>
        <w:tblLook w:val="0000" w:firstRow="0" w:lastRow="0" w:firstColumn="0" w:lastColumn="0" w:noHBand="0" w:noVBand="0"/>
      </w:tblPr>
      <w:tblGrid>
        <w:gridCol w:w="2852"/>
        <w:gridCol w:w="1950"/>
        <w:gridCol w:w="1590"/>
        <w:gridCol w:w="1740"/>
        <w:gridCol w:w="1950"/>
      </w:tblGrid>
      <w:tr w:rsidR="00000000" w14:paraId="4B4CBEE2" w14:textId="77777777">
        <w:trPr>
          <w:trHeight w:val="951"/>
          <w:tblHeader/>
        </w:trPr>
        <w:tc>
          <w:tcPr>
            <w:tcW w:w="2852" w:type="dxa"/>
            <w:tcBorders>
              <w:top w:val="single" w:sz="4" w:space="0" w:color="000000"/>
              <w:left w:val="single" w:sz="4" w:space="0" w:color="000000"/>
              <w:bottom w:val="single" w:sz="4" w:space="0" w:color="000000"/>
              <w:right w:val="single" w:sz="4" w:space="0" w:color="000000"/>
            </w:tcBorders>
            <w:vAlign w:val="center"/>
          </w:tcPr>
          <w:p w14:paraId="40C4E107" w14:textId="77777777" w:rsidR="00000000" w:rsidRDefault="00763D17">
            <w:pPr>
              <w:widowControl/>
              <w:jc w:val="center"/>
              <w:textAlignment w:val="center"/>
              <w:rPr>
                <w:rFonts w:ascii="Arial" w:hAnsi="Arial" w:cs="Arial"/>
                <w:sz w:val="24"/>
              </w:rPr>
            </w:pPr>
            <w:r>
              <w:rPr>
                <w:rStyle w:val="font61"/>
                <w:rFonts w:hint="default"/>
                <w:color w:val="auto"/>
                <w:lang w:bidi="ar"/>
              </w:rPr>
              <w:t>年度</w:t>
            </w:r>
          </w:p>
        </w:tc>
        <w:tc>
          <w:tcPr>
            <w:tcW w:w="1950" w:type="dxa"/>
            <w:tcBorders>
              <w:top w:val="single" w:sz="4" w:space="0" w:color="000000"/>
              <w:left w:val="single" w:sz="4" w:space="0" w:color="000000"/>
              <w:bottom w:val="single" w:sz="4" w:space="0" w:color="000000"/>
              <w:right w:val="single" w:sz="4" w:space="0" w:color="000000"/>
            </w:tcBorders>
            <w:vAlign w:val="center"/>
          </w:tcPr>
          <w:p w14:paraId="5BF99320" w14:textId="77777777" w:rsidR="00000000" w:rsidRDefault="00763D17">
            <w:pPr>
              <w:widowControl/>
              <w:jc w:val="center"/>
              <w:textAlignment w:val="center"/>
              <w:rPr>
                <w:rFonts w:ascii="Arial" w:hAnsi="Arial" w:cs="Arial"/>
                <w:sz w:val="24"/>
              </w:rPr>
            </w:pPr>
            <w:r>
              <w:rPr>
                <w:rFonts w:ascii="Arial" w:eastAsia="宋体" w:hAnsi="Arial" w:cs="Arial"/>
                <w:kern w:val="0"/>
                <w:sz w:val="24"/>
                <w:lang w:bidi="ar"/>
              </w:rPr>
              <w:t>2022</w:t>
            </w:r>
            <w:r>
              <w:rPr>
                <w:rStyle w:val="font61"/>
                <w:rFonts w:hint="default"/>
                <w:color w:val="auto"/>
                <w:lang w:bidi="ar"/>
              </w:rPr>
              <w:t>年</w:t>
            </w:r>
          </w:p>
        </w:tc>
        <w:tc>
          <w:tcPr>
            <w:tcW w:w="1590" w:type="dxa"/>
            <w:tcBorders>
              <w:top w:val="single" w:sz="4" w:space="0" w:color="000000"/>
              <w:left w:val="single" w:sz="4" w:space="0" w:color="000000"/>
              <w:bottom w:val="single" w:sz="4" w:space="0" w:color="000000"/>
              <w:right w:val="single" w:sz="4" w:space="0" w:color="000000"/>
            </w:tcBorders>
            <w:vAlign w:val="center"/>
          </w:tcPr>
          <w:p w14:paraId="108E0B58" w14:textId="77777777" w:rsidR="00000000" w:rsidRDefault="00763D17">
            <w:pPr>
              <w:widowControl/>
              <w:jc w:val="center"/>
              <w:textAlignment w:val="center"/>
              <w:rPr>
                <w:rFonts w:ascii="Arial" w:hAnsi="Arial" w:cs="Arial"/>
                <w:sz w:val="24"/>
              </w:rPr>
            </w:pPr>
            <w:r>
              <w:rPr>
                <w:rFonts w:ascii="Arial" w:eastAsia="宋体" w:hAnsi="Arial" w:cs="Arial"/>
                <w:kern w:val="0"/>
                <w:sz w:val="24"/>
                <w:lang w:bidi="ar"/>
              </w:rPr>
              <w:t>2023</w:t>
            </w:r>
            <w:r>
              <w:rPr>
                <w:rStyle w:val="font61"/>
                <w:rFonts w:hint="default"/>
                <w:color w:val="auto"/>
                <w:lang w:bidi="ar"/>
              </w:rPr>
              <w:t>年</w:t>
            </w:r>
          </w:p>
        </w:tc>
        <w:tc>
          <w:tcPr>
            <w:tcW w:w="1740" w:type="dxa"/>
            <w:tcBorders>
              <w:top w:val="single" w:sz="4" w:space="0" w:color="000000"/>
              <w:left w:val="single" w:sz="4" w:space="0" w:color="000000"/>
              <w:bottom w:val="single" w:sz="4" w:space="0" w:color="000000"/>
              <w:right w:val="single" w:sz="4" w:space="0" w:color="000000"/>
            </w:tcBorders>
            <w:vAlign w:val="center"/>
          </w:tcPr>
          <w:p w14:paraId="3455E4D8" w14:textId="77777777" w:rsidR="00000000" w:rsidRDefault="00763D17">
            <w:pPr>
              <w:widowControl/>
              <w:jc w:val="center"/>
              <w:textAlignment w:val="center"/>
              <w:rPr>
                <w:rFonts w:ascii="Arial" w:hAnsi="Arial" w:cs="Arial"/>
                <w:sz w:val="24"/>
              </w:rPr>
            </w:pPr>
            <w:r>
              <w:rPr>
                <w:rStyle w:val="font61"/>
                <w:rFonts w:hint="default"/>
                <w:color w:val="auto"/>
                <w:lang w:bidi="ar"/>
              </w:rPr>
              <w:t>增减额</w:t>
            </w:r>
          </w:p>
        </w:tc>
        <w:tc>
          <w:tcPr>
            <w:tcW w:w="1950" w:type="dxa"/>
            <w:tcBorders>
              <w:top w:val="single" w:sz="4" w:space="0" w:color="000000"/>
              <w:left w:val="single" w:sz="4" w:space="0" w:color="000000"/>
              <w:bottom w:val="single" w:sz="4" w:space="0" w:color="000000"/>
              <w:right w:val="single" w:sz="4" w:space="0" w:color="000000"/>
            </w:tcBorders>
            <w:vAlign w:val="center"/>
          </w:tcPr>
          <w:p w14:paraId="5E38FCF2" w14:textId="77777777" w:rsidR="00000000" w:rsidRDefault="00763D17">
            <w:pPr>
              <w:widowControl/>
              <w:jc w:val="center"/>
              <w:textAlignment w:val="center"/>
              <w:rPr>
                <w:rFonts w:ascii="Arial" w:hAnsi="Arial" w:cs="Arial"/>
                <w:sz w:val="24"/>
              </w:rPr>
            </w:pPr>
            <w:r>
              <w:rPr>
                <w:rStyle w:val="font61"/>
                <w:rFonts w:hint="default"/>
                <w:color w:val="auto"/>
                <w:lang w:bidi="ar"/>
              </w:rPr>
              <w:t>增减比率</w:t>
            </w:r>
          </w:p>
        </w:tc>
      </w:tr>
      <w:tr w:rsidR="00000000" w14:paraId="3EE9EB95" w14:textId="77777777">
        <w:trPr>
          <w:trHeight w:val="639"/>
        </w:trPr>
        <w:tc>
          <w:tcPr>
            <w:tcW w:w="2852" w:type="dxa"/>
            <w:tcBorders>
              <w:top w:val="single" w:sz="4" w:space="0" w:color="000000"/>
              <w:left w:val="single" w:sz="4" w:space="0" w:color="000000"/>
              <w:bottom w:val="single" w:sz="4" w:space="0" w:color="000000"/>
              <w:right w:val="single" w:sz="4" w:space="0" w:color="000000"/>
            </w:tcBorders>
            <w:vAlign w:val="center"/>
          </w:tcPr>
          <w:p w14:paraId="5A43BE50" w14:textId="77777777" w:rsidR="00000000" w:rsidRDefault="00763D17">
            <w:pPr>
              <w:widowControl/>
              <w:jc w:val="center"/>
              <w:textAlignment w:val="center"/>
              <w:rPr>
                <w:rFonts w:ascii="宋体" w:eastAsia="宋体" w:hAnsi="宋体" w:cs="宋体" w:hint="eastAsia"/>
                <w:color w:val="000000"/>
                <w:sz w:val="28"/>
                <w:szCs w:val="28"/>
              </w:rPr>
            </w:pPr>
            <w:r>
              <w:rPr>
                <w:rStyle w:val="font61"/>
                <w:sz w:val="28"/>
                <w:szCs w:val="28"/>
                <w:lang w:bidi="ar"/>
              </w:rPr>
              <w:t>合计</w:t>
            </w:r>
          </w:p>
        </w:tc>
        <w:tc>
          <w:tcPr>
            <w:tcW w:w="1950" w:type="dxa"/>
            <w:tcBorders>
              <w:top w:val="single" w:sz="4" w:space="0" w:color="000000"/>
              <w:left w:val="single" w:sz="4" w:space="0" w:color="000000"/>
              <w:bottom w:val="single" w:sz="4" w:space="0" w:color="000000"/>
              <w:right w:val="single" w:sz="4" w:space="0" w:color="000000"/>
            </w:tcBorders>
            <w:vAlign w:val="center"/>
          </w:tcPr>
          <w:p w14:paraId="73E8F79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491,755.99</w:t>
            </w:r>
          </w:p>
        </w:tc>
        <w:tc>
          <w:tcPr>
            <w:tcW w:w="1590" w:type="dxa"/>
            <w:tcBorders>
              <w:top w:val="single" w:sz="4" w:space="0" w:color="000000"/>
              <w:left w:val="single" w:sz="4" w:space="0" w:color="000000"/>
              <w:bottom w:val="single" w:sz="4" w:space="0" w:color="000000"/>
              <w:right w:val="single" w:sz="4" w:space="0" w:color="000000"/>
            </w:tcBorders>
            <w:vAlign w:val="center"/>
          </w:tcPr>
          <w:p w14:paraId="4B6EAD8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472,731.05</w:t>
            </w:r>
          </w:p>
        </w:tc>
        <w:tc>
          <w:tcPr>
            <w:tcW w:w="1740" w:type="dxa"/>
            <w:tcBorders>
              <w:top w:val="single" w:sz="4" w:space="0" w:color="000000"/>
              <w:left w:val="single" w:sz="4" w:space="0" w:color="000000"/>
              <w:bottom w:val="single" w:sz="4" w:space="0" w:color="000000"/>
              <w:right w:val="single" w:sz="4" w:space="0" w:color="000000"/>
            </w:tcBorders>
            <w:vAlign w:val="center"/>
          </w:tcPr>
          <w:p w14:paraId="7004CA78"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-19024</w:t>
            </w:r>
            <w:r>
              <w:rPr>
                <w:rFonts w:ascii="宋体" w:eastAsia="宋体" w:hAnsi="宋体" w:cs="宋体" w:hint="eastAsia"/>
                <w:color w:val="000000"/>
                <w:kern w:val="0"/>
                <w:sz w:val="28"/>
                <w:szCs w:val="28"/>
                <w:lang w:bidi="ar"/>
              </w:rPr>
              <w:t>.94</w:t>
            </w:r>
          </w:p>
        </w:tc>
        <w:tc>
          <w:tcPr>
            <w:tcW w:w="1950" w:type="dxa"/>
            <w:tcBorders>
              <w:top w:val="single" w:sz="4" w:space="0" w:color="000000"/>
              <w:left w:val="single" w:sz="4" w:space="0" w:color="000000"/>
              <w:bottom w:val="single" w:sz="4" w:space="0" w:color="000000"/>
              <w:right w:val="single" w:sz="4" w:space="0" w:color="000000"/>
            </w:tcBorders>
            <w:vAlign w:val="center"/>
          </w:tcPr>
          <w:p w14:paraId="02D84C0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-3.87%</w:t>
            </w:r>
          </w:p>
        </w:tc>
      </w:tr>
      <w:tr w:rsidR="00000000" w14:paraId="582A82F4" w14:textId="77777777">
        <w:trPr>
          <w:trHeight w:val="876"/>
        </w:trPr>
        <w:tc>
          <w:tcPr>
            <w:tcW w:w="2852" w:type="dxa"/>
            <w:tcBorders>
              <w:top w:val="single" w:sz="4" w:space="0" w:color="000000"/>
              <w:left w:val="single" w:sz="4" w:space="0" w:color="000000"/>
              <w:bottom w:val="single" w:sz="4" w:space="0" w:color="000000"/>
              <w:right w:val="single" w:sz="4" w:space="0" w:color="000000"/>
            </w:tcBorders>
            <w:vAlign w:val="center"/>
          </w:tcPr>
          <w:p w14:paraId="2EFF85B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201</w:t>
            </w:r>
            <w:r>
              <w:rPr>
                <w:rStyle w:val="font61"/>
                <w:sz w:val="28"/>
                <w:szCs w:val="28"/>
                <w:lang w:bidi="ar"/>
              </w:rPr>
              <w:t>一般公共服务支出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BB91B51"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24,594.67</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2759AC7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sz w:val="28"/>
                <w:szCs w:val="28"/>
              </w:rPr>
              <w:t>11990.28</w:t>
            </w:r>
          </w:p>
        </w:tc>
        <w:tc>
          <w:tcPr>
            <w:tcW w:w="1740" w:type="dxa"/>
            <w:tcBorders>
              <w:top w:val="single" w:sz="4" w:space="0" w:color="000000"/>
              <w:left w:val="single" w:sz="4" w:space="0" w:color="000000"/>
              <w:bottom w:val="single" w:sz="4" w:space="0" w:color="000000"/>
              <w:right w:val="single" w:sz="4" w:space="0" w:color="000000"/>
            </w:tcBorders>
            <w:vAlign w:val="center"/>
          </w:tcPr>
          <w:p w14:paraId="363B5536" w14:textId="77777777" w:rsidR="00000000" w:rsidRDefault="00763D17">
            <w:pPr>
              <w:widowControl/>
              <w:jc w:val="center"/>
              <w:textAlignment w:val="center"/>
              <w:rPr>
                <w:rFonts w:ascii="宋体" w:eastAsia="宋体" w:hAnsi="宋体" w:cs="宋体" w:hint="eastAsia"/>
                <w:sz w:val="28"/>
                <w:szCs w:val="28"/>
              </w:rPr>
            </w:pPr>
            <w:r>
              <w:rPr>
                <w:rFonts w:ascii="宋体" w:eastAsia="宋体" w:hAnsi="宋体" w:cs="宋体" w:hint="eastAsia"/>
                <w:color w:val="000000"/>
                <w:sz w:val="28"/>
                <w:szCs w:val="28"/>
              </w:rPr>
              <w:t>12604.39</w:t>
            </w:r>
          </w:p>
        </w:tc>
        <w:tc>
          <w:tcPr>
            <w:tcW w:w="1950" w:type="dxa"/>
            <w:tcBorders>
              <w:top w:val="single" w:sz="4" w:space="0" w:color="000000"/>
              <w:left w:val="single" w:sz="4" w:space="0" w:color="000000"/>
              <w:bottom w:val="single" w:sz="4" w:space="0" w:color="000000"/>
              <w:right w:val="single" w:sz="4" w:space="0" w:color="000000"/>
            </w:tcBorders>
            <w:vAlign w:val="center"/>
          </w:tcPr>
          <w:p w14:paraId="1D40C0A0"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20.33%</w:t>
            </w:r>
          </w:p>
        </w:tc>
      </w:tr>
      <w:tr w:rsidR="00000000" w14:paraId="6502B28B" w14:textId="77777777">
        <w:trPr>
          <w:trHeight w:val="639"/>
        </w:trPr>
        <w:tc>
          <w:tcPr>
            <w:tcW w:w="2852" w:type="dxa"/>
            <w:tcBorders>
              <w:top w:val="single" w:sz="4" w:space="0" w:color="000000"/>
              <w:left w:val="single" w:sz="4" w:space="0" w:color="000000"/>
              <w:bottom w:val="single" w:sz="4" w:space="0" w:color="000000"/>
              <w:right w:val="single" w:sz="4" w:space="0" w:color="000000"/>
            </w:tcBorders>
            <w:vAlign w:val="center"/>
          </w:tcPr>
          <w:p w14:paraId="71EEB9C2"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203</w:t>
            </w:r>
            <w:r>
              <w:rPr>
                <w:rStyle w:val="font61"/>
                <w:sz w:val="28"/>
                <w:szCs w:val="28"/>
                <w:lang w:bidi="ar"/>
              </w:rPr>
              <w:t>国防支出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6E592FA0"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3,241.47</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6E84F98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3,651.35</w:t>
            </w:r>
          </w:p>
        </w:tc>
        <w:tc>
          <w:tcPr>
            <w:tcW w:w="1740" w:type="dxa"/>
            <w:tcBorders>
              <w:top w:val="single" w:sz="4" w:space="0" w:color="000000"/>
              <w:left w:val="single" w:sz="4" w:space="0" w:color="000000"/>
              <w:bottom w:val="single" w:sz="4" w:space="0" w:color="000000"/>
              <w:right w:val="single" w:sz="4" w:space="0" w:color="000000"/>
            </w:tcBorders>
            <w:vAlign w:val="center"/>
          </w:tcPr>
          <w:p w14:paraId="7E664367"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-12248.11</w:t>
            </w:r>
          </w:p>
        </w:tc>
        <w:tc>
          <w:tcPr>
            <w:tcW w:w="1950" w:type="dxa"/>
            <w:tcBorders>
              <w:top w:val="single" w:sz="4" w:space="0" w:color="000000"/>
              <w:left w:val="single" w:sz="4" w:space="0" w:color="000000"/>
              <w:bottom w:val="single" w:sz="4" w:space="0" w:color="000000"/>
              <w:right w:val="single" w:sz="4" w:space="0" w:color="000000"/>
            </w:tcBorders>
            <w:vAlign w:val="center"/>
          </w:tcPr>
          <w:p w14:paraId="3434B4A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-377.86%</w:t>
            </w:r>
          </w:p>
        </w:tc>
      </w:tr>
      <w:tr w:rsidR="00000000" w14:paraId="4E722C35" w14:textId="77777777">
        <w:trPr>
          <w:trHeight w:val="951"/>
        </w:trPr>
        <w:tc>
          <w:tcPr>
            <w:tcW w:w="2852" w:type="dxa"/>
            <w:tcBorders>
              <w:top w:val="single" w:sz="4" w:space="0" w:color="000000"/>
              <w:left w:val="single" w:sz="4" w:space="0" w:color="000000"/>
              <w:bottom w:val="single" w:sz="4" w:space="0" w:color="000000"/>
              <w:right w:val="single" w:sz="4" w:space="0" w:color="000000"/>
            </w:tcBorders>
            <w:vAlign w:val="center"/>
          </w:tcPr>
          <w:p w14:paraId="33887CD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204</w:t>
            </w:r>
            <w:r>
              <w:rPr>
                <w:rStyle w:val="font61"/>
                <w:sz w:val="28"/>
                <w:szCs w:val="28"/>
                <w:lang w:bidi="ar"/>
              </w:rPr>
              <w:t>公共安全支出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6298DE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48,177.38</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5336D72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35,478.34</w:t>
            </w:r>
          </w:p>
        </w:tc>
        <w:tc>
          <w:tcPr>
            <w:tcW w:w="1740" w:type="dxa"/>
            <w:tcBorders>
              <w:top w:val="single" w:sz="4" w:space="0" w:color="000000"/>
              <w:left w:val="single" w:sz="4" w:space="0" w:color="000000"/>
              <w:bottom w:val="single" w:sz="4" w:space="0" w:color="000000"/>
              <w:right w:val="single" w:sz="4" w:space="0" w:color="000000"/>
            </w:tcBorders>
            <w:vAlign w:val="center"/>
          </w:tcPr>
          <w:p w14:paraId="79E8B80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22942.3</w:t>
            </w:r>
          </w:p>
        </w:tc>
        <w:tc>
          <w:tcPr>
            <w:tcW w:w="1950" w:type="dxa"/>
            <w:tcBorders>
              <w:top w:val="single" w:sz="4" w:space="0" w:color="000000"/>
              <w:left w:val="single" w:sz="4" w:space="0" w:color="000000"/>
              <w:bottom w:val="single" w:sz="4" w:space="0" w:color="000000"/>
              <w:right w:val="single" w:sz="4" w:space="0" w:color="000000"/>
            </w:tcBorders>
            <w:vAlign w:val="center"/>
          </w:tcPr>
          <w:p w14:paraId="6FE8BB9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47.62%</w:t>
            </w:r>
          </w:p>
        </w:tc>
      </w:tr>
      <w:tr w:rsidR="00000000" w14:paraId="2313CE82"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0D16D3A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205</w:t>
            </w:r>
            <w:r>
              <w:rPr>
                <w:rStyle w:val="font61"/>
                <w:sz w:val="28"/>
                <w:szCs w:val="28"/>
                <w:lang w:bidi="ar"/>
              </w:rPr>
              <w:t>教育支出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3FC39FA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27,749.03</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4ED11459"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42,949.63</w:t>
            </w:r>
          </w:p>
        </w:tc>
        <w:tc>
          <w:tcPr>
            <w:tcW w:w="1740" w:type="dxa"/>
            <w:tcBorders>
              <w:top w:val="single" w:sz="4" w:space="0" w:color="000000"/>
              <w:left w:val="single" w:sz="4" w:space="0" w:color="000000"/>
              <w:bottom w:val="single" w:sz="4" w:space="0" w:color="000000"/>
              <w:right w:val="single" w:sz="4" w:space="0" w:color="000000"/>
            </w:tcBorders>
            <w:vAlign w:val="center"/>
          </w:tcPr>
          <w:p w14:paraId="46068122"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2510.19</w:t>
            </w:r>
          </w:p>
        </w:tc>
        <w:tc>
          <w:tcPr>
            <w:tcW w:w="1950" w:type="dxa"/>
            <w:tcBorders>
              <w:top w:val="single" w:sz="4" w:space="0" w:color="000000"/>
              <w:left w:val="single" w:sz="4" w:space="0" w:color="000000"/>
              <w:bottom w:val="single" w:sz="4" w:space="0" w:color="000000"/>
              <w:right w:val="single" w:sz="4" w:space="0" w:color="000000"/>
            </w:tcBorders>
            <w:vAlign w:val="center"/>
          </w:tcPr>
          <w:p w14:paraId="0294D749"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9.05%</w:t>
            </w:r>
          </w:p>
        </w:tc>
      </w:tr>
      <w:tr w:rsidR="00000000" w14:paraId="0B1490E8"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49E6138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206</w:t>
            </w:r>
            <w:r>
              <w:rPr>
                <w:rStyle w:val="font61"/>
                <w:sz w:val="28"/>
                <w:szCs w:val="28"/>
                <w:lang w:bidi="ar"/>
              </w:rPr>
              <w:t>科学技术支出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A887C7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1,657.08</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011B80D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1,527.82</w:t>
            </w:r>
          </w:p>
        </w:tc>
        <w:tc>
          <w:tcPr>
            <w:tcW w:w="1740" w:type="dxa"/>
            <w:tcBorders>
              <w:top w:val="single" w:sz="4" w:space="0" w:color="000000"/>
              <w:left w:val="single" w:sz="4" w:space="0" w:color="000000"/>
              <w:bottom w:val="single" w:sz="4" w:space="0" w:color="000000"/>
              <w:right w:val="single" w:sz="4" w:space="0" w:color="000000"/>
            </w:tcBorders>
            <w:vAlign w:val="center"/>
          </w:tcPr>
          <w:p w14:paraId="172AF7B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662.05</w:t>
            </w:r>
          </w:p>
        </w:tc>
        <w:tc>
          <w:tcPr>
            <w:tcW w:w="1950" w:type="dxa"/>
            <w:tcBorders>
              <w:top w:val="single" w:sz="4" w:space="0" w:color="000000"/>
              <w:left w:val="single" w:sz="4" w:space="0" w:color="000000"/>
              <w:bottom w:val="single" w:sz="4" w:space="0" w:color="000000"/>
              <w:right w:val="single" w:sz="4" w:space="0" w:color="000000"/>
            </w:tcBorders>
            <w:vAlign w:val="center"/>
          </w:tcPr>
          <w:p w14:paraId="666D52F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39.95%</w:t>
            </w:r>
          </w:p>
        </w:tc>
      </w:tr>
      <w:tr w:rsidR="00000000" w14:paraId="2406183C"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2F07D4D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207</w:t>
            </w:r>
            <w:r>
              <w:rPr>
                <w:rStyle w:val="font61"/>
                <w:sz w:val="28"/>
                <w:szCs w:val="28"/>
                <w:lang w:bidi="ar"/>
              </w:rPr>
              <w:t>文化旅游体育与传媒支出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5A7E388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17,</w:t>
            </w:r>
            <w:r>
              <w:rPr>
                <w:rFonts w:ascii="宋体" w:eastAsia="宋体" w:hAnsi="宋体" w:cs="宋体" w:hint="eastAsia"/>
                <w:color w:val="000000"/>
                <w:kern w:val="0"/>
                <w:sz w:val="28"/>
                <w:szCs w:val="28"/>
                <w:lang w:bidi="ar"/>
              </w:rPr>
              <w:t>652.28</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374B0110"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6,092.57</w:t>
            </w:r>
          </w:p>
        </w:tc>
        <w:tc>
          <w:tcPr>
            <w:tcW w:w="1740" w:type="dxa"/>
            <w:tcBorders>
              <w:top w:val="single" w:sz="4" w:space="0" w:color="000000"/>
              <w:left w:val="single" w:sz="4" w:space="0" w:color="000000"/>
              <w:bottom w:val="single" w:sz="4" w:space="0" w:color="000000"/>
              <w:right w:val="single" w:sz="4" w:space="0" w:color="000000"/>
            </w:tcBorders>
            <w:vAlign w:val="center"/>
          </w:tcPr>
          <w:p w14:paraId="537485D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13077.25</w:t>
            </w:r>
          </w:p>
        </w:tc>
        <w:tc>
          <w:tcPr>
            <w:tcW w:w="1950" w:type="dxa"/>
            <w:tcBorders>
              <w:top w:val="single" w:sz="4" w:space="0" w:color="000000"/>
              <w:left w:val="single" w:sz="4" w:space="0" w:color="000000"/>
              <w:bottom w:val="single" w:sz="4" w:space="0" w:color="000000"/>
              <w:right w:val="single" w:sz="4" w:space="0" w:color="000000"/>
            </w:tcBorders>
            <w:vAlign w:val="center"/>
          </w:tcPr>
          <w:p w14:paraId="3840ABA8"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74.08%</w:t>
            </w:r>
          </w:p>
        </w:tc>
      </w:tr>
      <w:tr w:rsidR="00000000" w14:paraId="0F4C4EEA"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18DC8539"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208</w:t>
            </w:r>
            <w:r>
              <w:rPr>
                <w:rStyle w:val="font61"/>
                <w:sz w:val="28"/>
                <w:szCs w:val="28"/>
                <w:lang w:bidi="ar"/>
              </w:rPr>
              <w:t>社会保障和就业支出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5EEFA3D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53,441.04</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2A6E2C0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51,380.72</w:t>
            </w:r>
          </w:p>
        </w:tc>
        <w:tc>
          <w:tcPr>
            <w:tcW w:w="1740" w:type="dxa"/>
            <w:tcBorders>
              <w:top w:val="single" w:sz="4" w:space="0" w:color="000000"/>
              <w:left w:val="single" w:sz="4" w:space="0" w:color="000000"/>
              <w:bottom w:val="single" w:sz="4" w:space="0" w:color="000000"/>
              <w:right w:val="single" w:sz="4" w:space="0" w:color="000000"/>
            </w:tcBorders>
            <w:vAlign w:val="center"/>
          </w:tcPr>
          <w:p w14:paraId="5F9CD599"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12805.67</w:t>
            </w:r>
          </w:p>
        </w:tc>
        <w:tc>
          <w:tcPr>
            <w:tcW w:w="1950" w:type="dxa"/>
            <w:tcBorders>
              <w:top w:val="single" w:sz="4" w:space="0" w:color="000000"/>
              <w:left w:val="single" w:sz="4" w:space="0" w:color="000000"/>
              <w:bottom w:val="single" w:sz="4" w:space="0" w:color="000000"/>
              <w:right w:val="single" w:sz="4" w:space="0" w:color="000000"/>
            </w:tcBorders>
            <w:vAlign w:val="center"/>
          </w:tcPr>
          <w:p w14:paraId="1EBB377C"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23.96%</w:t>
            </w:r>
          </w:p>
        </w:tc>
      </w:tr>
      <w:tr w:rsidR="00000000" w14:paraId="155EE804" w14:textId="77777777">
        <w:trPr>
          <w:trHeight w:val="951"/>
        </w:trPr>
        <w:tc>
          <w:tcPr>
            <w:tcW w:w="2852" w:type="dxa"/>
            <w:tcBorders>
              <w:top w:val="single" w:sz="4" w:space="0" w:color="000000"/>
              <w:left w:val="single" w:sz="4" w:space="0" w:color="000000"/>
              <w:bottom w:val="single" w:sz="4" w:space="0" w:color="000000"/>
              <w:right w:val="single" w:sz="4" w:space="0" w:color="000000"/>
            </w:tcBorders>
            <w:vAlign w:val="center"/>
          </w:tcPr>
          <w:p w14:paraId="7D7C29B1"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210</w:t>
            </w:r>
            <w:r>
              <w:rPr>
                <w:rStyle w:val="font61"/>
                <w:sz w:val="28"/>
                <w:szCs w:val="28"/>
                <w:lang w:bidi="ar"/>
              </w:rPr>
              <w:t>卫生健康支出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F585E78"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46,113.37</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1C2CDC1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42,987.84</w:t>
            </w:r>
          </w:p>
        </w:tc>
        <w:tc>
          <w:tcPr>
            <w:tcW w:w="1740" w:type="dxa"/>
            <w:tcBorders>
              <w:top w:val="single" w:sz="4" w:space="0" w:color="000000"/>
              <w:left w:val="single" w:sz="4" w:space="0" w:color="000000"/>
              <w:bottom w:val="single" w:sz="4" w:space="0" w:color="000000"/>
              <w:right w:val="single" w:sz="4" w:space="0" w:color="000000"/>
            </w:tcBorders>
            <w:vAlign w:val="center"/>
          </w:tcPr>
          <w:p w14:paraId="0005190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8935.2</w:t>
            </w:r>
          </w:p>
        </w:tc>
        <w:tc>
          <w:tcPr>
            <w:tcW w:w="1950" w:type="dxa"/>
            <w:tcBorders>
              <w:top w:val="single" w:sz="4" w:space="0" w:color="000000"/>
              <w:left w:val="single" w:sz="4" w:space="0" w:color="000000"/>
              <w:bottom w:val="single" w:sz="4" w:space="0" w:color="000000"/>
              <w:right w:val="single" w:sz="4" w:space="0" w:color="000000"/>
            </w:tcBorders>
            <w:vAlign w:val="center"/>
          </w:tcPr>
          <w:p w14:paraId="5E9F03B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19.38%</w:t>
            </w:r>
          </w:p>
        </w:tc>
      </w:tr>
      <w:tr w:rsidR="00000000" w14:paraId="05B2CD0D" w14:textId="77777777">
        <w:trPr>
          <w:trHeight w:val="951"/>
        </w:trPr>
        <w:tc>
          <w:tcPr>
            <w:tcW w:w="2852" w:type="dxa"/>
            <w:tcBorders>
              <w:top w:val="single" w:sz="4" w:space="0" w:color="000000"/>
              <w:left w:val="single" w:sz="4" w:space="0" w:color="000000"/>
              <w:bottom w:val="single" w:sz="4" w:space="0" w:color="000000"/>
              <w:right w:val="single" w:sz="4" w:space="0" w:color="000000"/>
            </w:tcBorders>
            <w:vAlign w:val="center"/>
          </w:tcPr>
          <w:p w14:paraId="74F7A2F0"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211</w:t>
            </w:r>
            <w:r>
              <w:rPr>
                <w:rStyle w:val="font61"/>
                <w:sz w:val="28"/>
                <w:szCs w:val="28"/>
                <w:lang w:bidi="ar"/>
              </w:rPr>
              <w:t>节能环保支出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5B32C7F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12,996.37</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462D8B5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4,389.40</w:t>
            </w:r>
          </w:p>
        </w:tc>
        <w:tc>
          <w:tcPr>
            <w:tcW w:w="1740" w:type="dxa"/>
            <w:tcBorders>
              <w:top w:val="single" w:sz="4" w:space="0" w:color="000000"/>
              <w:left w:val="single" w:sz="4" w:space="0" w:color="000000"/>
              <w:bottom w:val="single" w:sz="4" w:space="0" w:color="000000"/>
              <w:right w:val="single" w:sz="4" w:space="0" w:color="000000"/>
            </w:tcBorders>
            <w:vAlign w:val="center"/>
          </w:tcPr>
          <w:p w14:paraId="5C488A09"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4208.73</w:t>
            </w:r>
          </w:p>
        </w:tc>
        <w:tc>
          <w:tcPr>
            <w:tcW w:w="1950" w:type="dxa"/>
            <w:tcBorders>
              <w:top w:val="single" w:sz="4" w:space="0" w:color="000000"/>
              <w:left w:val="single" w:sz="4" w:space="0" w:color="000000"/>
              <w:bottom w:val="single" w:sz="4" w:space="0" w:color="000000"/>
              <w:right w:val="single" w:sz="4" w:space="0" w:color="000000"/>
            </w:tcBorders>
            <w:vAlign w:val="center"/>
          </w:tcPr>
          <w:p w14:paraId="65E462E5"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32.38%</w:t>
            </w:r>
          </w:p>
        </w:tc>
      </w:tr>
      <w:tr w:rsidR="00000000" w14:paraId="2933168E" w14:textId="77777777">
        <w:trPr>
          <w:trHeight w:val="951"/>
        </w:trPr>
        <w:tc>
          <w:tcPr>
            <w:tcW w:w="2852" w:type="dxa"/>
            <w:tcBorders>
              <w:top w:val="single" w:sz="4" w:space="0" w:color="000000"/>
              <w:left w:val="single" w:sz="4" w:space="0" w:color="000000"/>
              <w:bottom w:val="single" w:sz="4" w:space="0" w:color="000000"/>
              <w:right w:val="single" w:sz="4" w:space="0" w:color="000000"/>
            </w:tcBorders>
            <w:vAlign w:val="center"/>
          </w:tcPr>
          <w:p w14:paraId="377127B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212</w:t>
            </w:r>
            <w:r>
              <w:rPr>
                <w:rStyle w:val="font61"/>
                <w:sz w:val="28"/>
                <w:szCs w:val="28"/>
                <w:lang w:bidi="ar"/>
              </w:rPr>
              <w:t>城乡社区支出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0B0E6A7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91,847.08</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4316DA7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81,808.83</w:t>
            </w:r>
          </w:p>
        </w:tc>
        <w:tc>
          <w:tcPr>
            <w:tcW w:w="1740" w:type="dxa"/>
            <w:tcBorders>
              <w:top w:val="single" w:sz="4" w:space="0" w:color="000000"/>
              <w:left w:val="single" w:sz="4" w:space="0" w:color="000000"/>
              <w:bottom w:val="single" w:sz="4" w:space="0" w:color="000000"/>
              <w:right w:val="single" w:sz="4" w:space="0" w:color="000000"/>
            </w:tcBorders>
            <w:vAlign w:val="center"/>
          </w:tcPr>
          <w:p w14:paraId="5EC766B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65736.02</w:t>
            </w:r>
          </w:p>
        </w:tc>
        <w:tc>
          <w:tcPr>
            <w:tcW w:w="1950" w:type="dxa"/>
            <w:tcBorders>
              <w:top w:val="single" w:sz="4" w:space="0" w:color="000000"/>
              <w:left w:val="single" w:sz="4" w:space="0" w:color="000000"/>
              <w:bottom w:val="single" w:sz="4" w:space="0" w:color="000000"/>
              <w:right w:val="single" w:sz="4" w:space="0" w:color="000000"/>
            </w:tcBorders>
            <w:vAlign w:val="center"/>
          </w:tcPr>
          <w:p w14:paraId="22BC3467"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71.57%</w:t>
            </w:r>
          </w:p>
        </w:tc>
      </w:tr>
      <w:tr w:rsidR="00000000" w14:paraId="367A8C23"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27F515D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213</w:t>
            </w:r>
            <w:r>
              <w:rPr>
                <w:rStyle w:val="font61"/>
                <w:sz w:val="28"/>
                <w:szCs w:val="28"/>
                <w:lang w:bidi="ar"/>
              </w:rPr>
              <w:t>农林水支出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00537AD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95,013.53</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1D9BC07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89,615.31</w:t>
            </w:r>
          </w:p>
        </w:tc>
        <w:tc>
          <w:tcPr>
            <w:tcW w:w="1740" w:type="dxa"/>
            <w:tcBorders>
              <w:top w:val="single" w:sz="4" w:space="0" w:color="000000"/>
              <w:left w:val="single" w:sz="4" w:space="0" w:color="000000"/>
              <w:bottom w:val="single" w:sz="4" w:space="0" w:color="000000"/>
              <w:right w:val="single" w:sz="4" w:space="0" w:color="000000"/>
            </w:tcBorders>
            <w:vAlign w:val="center"/>
          </w:tcPr>
          <w:p w14:paraId="7B32E6C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37724.5</w:t>
            </w:r>
            <w:r>
              <w:rPr>
                <w:rFonts w:ascii="宋体" w:eastAsia="宋体" w:hAnsi="宋体" w:cs="宋体" w:hint="eastAsia"/>
                <w:color w:val="000000"/>
                <w:kern w:val="0"/>
                <w:sz w:val="28"/>
                <w:szCs w:val="28"/>
                <w:lang w:bidi="ar"/>
              </w:rPr>
              <w:t>1</w:t>
            </w:r>
          </w:p>
        </w:tc>
        <w:tc>
          <w:tcPr>
            <w:tcW w:w="1950" w:type="dxa"/>
            <w:tcBorders>
              <w:top w:val="single" w:sz="4" w:space="0" w:color="000000"/>
              <w:left w:val="single" w:sz="4" w:space="0" w:color="000000"/>
              <w:bottom w:val="single" w:sz="4" w:space="0" w:color="000000"/>
              <w:right w:val="single" w:sz="4" w:space="0" w:color="000000"/>
            </w:tcBorders>
            <w:vAlign w:val="center"/>
          </w:tcPr>
          <w:p w14:paraId="6ACC30D7"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39.70%</w:t>
            </w:r>
          </w:p>
        </w:tc>
      </w:tr>
      <w:tr w:rsidR="00000000" w14:paraId="0D84B0CB" w14:textId="77777777">
        <w:trPr>
          <w:trHeight w:val="951"/>
        </w:trPr>
        <w:tc>
          <w:tcPr>
            <w:tcW w:w="2852" w:type="dxa"/>
            <w:tcBorders>
              <w:top w:val="single" w:sz="4" w:space="0" w:color="000000"/>
              <w:left w:val="single" w:sz="4" w:space="0" w:color="000000"/>
              <w:bottom w:val="single" w:sz="4" w:space="0" w:color="000000"/>
              <w:right w:val="single" w:sz="4" w:space="0" w:color="000000"/>
            </w:tcBorders>
            <w:vAlign w:val="center"/>
          </w:tcPr>
          <w:p w14:paraId="165EE11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lastRenderedPageBreak/>
              <w:t>214</w:t>
            </w:r>
            <w:r>
              <w:rPr>
                <w:rStyle w:val="font61"/>
                <w:sz w:val="28"/>
                <w:szCs w:val="28"/>
                <w:lang w:bidi="ar"/>
              </w:rPr>
              <w:t>交通运输支出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50ED5EE2"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25,900.31</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3D5DDAC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29,740.06</w:t>
            </w:r>
          </w:p>
        </w:tc>
        <w:tc>
          <w:tcPr>
            <w:tcW w:w="1740" w:type="dxa"/>
            <w:tcBorders>
              <w:top w:val="single" w:sz="4" w:space="0" w:color="000000"/>
              <w:left w:val="single" w:sz="4" w:space="0" w:color="000000"/>
              <w:bottom w:val="single" w:sz="4" w:space="0" w:color="000000"/>
              <w:right w:val="single" w:sz="4" w:space="0" w:color="000000"/>
            </w:tcBorders>
            <w:vAlign w:val="center"/>
          </w:tcPr>
          <w:p w14:paraId="549F7DA7"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9719.08</w:t>
            </w:r>
          </w:p>
        </w:tc>
        <w:tc>
          <w:tcPr>
            <w:tcW w:w="1950" w:type="dxa"/>
            <w:tcBorders>
              <w:top w:val="single" w:sz="4" w:space="0" w:color="000000"/>
              <w:left w:val="single" w:sz="4" w:space="0" w:color="000000"/>
              <w:bottom w:val="single" w:sz="4" w:space="0" w:color="000000"/>
              <w:right w:val="single" w:sz="4" w:space="0" w:color="000000"/>
            </w:tcBorders>
            <w:vAlign w:val="center"/>
          </w:tcPr>
          <w:p w14:paraId="05A45CB1"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37.52%</w:t>
            </w:r>
          </w:p>
        </w:tc>
      </w:tr>
      <w:tr w:rsidR="00000000" w14:paraId="25C63F63"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367F21F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215</w:t>
            </w:r>
            <w:r>
              <w:rPr>
                <w:rStyle w:val="font61"/>
                <w:sz w:val="28"/>
                <w:szCs w:val="28"/>
                <w:lang w:bidi="ar"/>
              </w:rPr>
              <w:t>资源勘探工业信息等支出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46466F0C"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1,728.67</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171EFE4C"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108.69</w:t>
            </w:r>
          </w:p>
        </w:tc>
        <w:tc>
          <w:tcPr>
            <w:tcW w:w="1740" w:type="dxa"/>
            <w:tcBorders>
              <w:top w:val="single" w:sz="4" w:space="0" w:color="000000"/>
              <w:left w:val="single" w:sz="4" w:space="0" w:color="000000"/>
              <w:bottom w:val="single" w:sz="4" w:space="0" w:color="000000"/>
              <w:right w:val="single" w:sz="4" w:space="0" w:color="000000"/>
            </w:tcBorders>
            <w:vAlign w:val="center"/>
          </w:tcPr>
          <w:p w14:paraId="1B0E6268"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-6355.53</w:t>
            </w:r>
          </w:p>
        </w:tc>
        <w:tc>
          <w:tcPr>
            <w:tcW w:w="1950" w:type="dxa"/>
            <w:tcBorders>
              <w:top w:val="single" w:sz="4" w:space="0" w:color="000000"/>
              <w:left w:val="single" w:sz="4" w:space="0" w:color="000000"/>
              <w:bottom w:val="single" w:sz="4" w:space="0" w:color="000000"/>
              <w:right w:val="single" w:sz="4" w:space="0" w:color="000000"/>
            </w:tcBorders>
            <w:vAlign w:val="center"/>
          </w:tcPr>
          <w:p w14:paraId="11E1FD7C"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-367.65%</w:t>
            </w:r>
          </w:p>
        </w:tc>
      </w:tr>
      <w:tr w:rsidR="00000000" w14:paraId="59079AE8"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417A7B6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216</w:t>
            </w:r>
            <w:r>
              <w:rPr>
                <w:rStyle w:val="font61"/>
                <w:sz w:val="28"/>
                <w:szCs w:val="28"/>
                <w:lang w:bidi="ar"/>
              </w:rPr>
              <w:t>商业服务业等支出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2DDE2DC"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4,883.50</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6554D8B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3,143.83</w:t>
            </w:r>
          </w:p>
        </w:tc>
        <w:tc>
          <w:tcPr>
            <w:tcW w:w="1740" w:type="dxa"/>
            <w:tcBorders>
              <w:top w:val="single" w:sz="4" w:space="0" w:color="000000"/>
              <w:left w:val="single" w:sz="4" w:space="0" w:color="000000"/>
              <w:bottom w:val="single" w:sz="4" w:space="0" w:color="000000"/>
              <w:right w:val="single" w:sz="4" w:space="0" w:color="000000"/>
            </w:tcBorders>
            <w:vAlign w:val="center"/>
          </w:tcPr>
          <w:p w14:paraId="030B4A5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788.37</w:t>
            </w:r>
          </w:p>
        </w:tc>
        <w:tc>
          <w:tcPr>
            <w:tcW w:w="1950" w:type="dxa"/>
            <w:tcBorders>
              <w:top w:val="single" w:sz="4" w:space="0" w:color="000000"/>
              <w:left w:val="single" w:sz="4" w:space="0" w:color="000000"/>
              <w:bottom w:val="single" w:sz="4" w:space="0" w:color="000000"/>
              <w:right w:val="single" w:sz="4" w:space="0" w:color="000000"/>
            </w:tcBorders>
            <w:vAlign w:val="center"/>
          </w:tcPr>
          <w:p w14:paraId="63308FC0"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16.14%</w:t>
            </w:r>
          </w:p>
        </w:tc>
      </w:tr>
      <w:tr w:rsidR="00000000" w14:paraId="0E4C6A59" w14:textId="77777777">
        <w:trPr>
          <w:trHeight w:val="951"/>
        </w:trPr>
        <w:tc>
          <w:tcPr>
            <w:tcW w:w="2852" w:type="dxa"/>
            <w:tcBorders>
              <w:top w:val="single" w:sz="4" w:space="0" w:color="000000"/>
              <w:left w:val="single" w:sz="4" w:space="0" w:color="000000"/>
              <w:bottom w:val="single" w:sz="4" w:space="0" w:color="000000"/>
              <w:right w:val="single" w:sz="4" w:space="0" w:color="000000"/>
            </w:tcBorders>
            <w:vAlign w:val="center"/>
          </w:tcPr>
          <w:p w14:paraId="13CEA52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217</w:t>
            </w:r>
            <w:r>
              <w:rPr>
                <w:rStyle w:val="font61"/>
                <w:sz w:val="28"/>
                <w:szCs w:val="28"/>
                <w:lang w:bidi="ar"/>
              </w:rPr>
              <w:t>金融支出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79A38297"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10D5D37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2.50</w:t>
            </w:r>
          </w:p>
        </w:tc>
        <w:tc>
          <w:tcPr>
            <w:tcW w:w="1740" w:type="dxa"/>
            <w:tcBorders>
              <w:top w:val="single" w:sz="4" w:space="0" w:color="000000"/>
              <w:left w:val="single" w:sz="4" w:space="0" w:color="000000"/>
              <w:bottom w:val="single" w:sz="4" w:space="0" w:color="000000"/>
              <w:right w:val="single" w:sz="4" w:space="0" w:color="000000"/>
            </w:tcBorders>
            <w:vAlign w:val="center"/>
          </w:tcPr>
          <w:p w14:paraId="761F4D5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w:t>
            </w:r>
          </w:p>
        </w:tc>
        <w:tc>
          <w:tcPr>
            <w:tcW w:w="1950" w:type="dxa"/>
            <w:tcBorders>
              <w:top w:val="single" w:sz="4" w:space="0" w:color="000000"/>
              <w:left w:val="single" w:sz="4" w:space="0" w:color="000000"/>
              <w:bottom w:val="single" w:sz="4" w:space="0" w:color="000000"/>
              <w:right w:val="single" w:sz="4" w:space="0" w:color="000000"/>
            </w:tcBorders>
            <w:vAlign w:val="center"/>
          </w:tcPr>
          <w:p w14:paraId="29E69770"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100.00%</w:t>
            </w:r>
          </w:p>
        </w:tc>
      </w:tr>
      <w:tr w:rsidR="00000000" w14:paraId="6DABD2E3"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249896D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220</w:t>
            </w:r>
            <w:r>
              <w:rPr>
                <w:rStyle w:val="font61"/>
                <w:sz w:val="28"/>
                <w:szCs w:val="28"/>
                <w:lang w:bidi="ar"/>
              </w:rPr>
              <w:t>自然资源海洋气象等支出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0CDEE2D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1,807.59</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5DB1F35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1,128.82</w:t>
            </w:r>
          </w:p>
        </w:tc>
        <w:tc>
          <w:tcPr>
            <w:tcW w:w="1740" w:type="dxa"/>
            <w:tcBorders>
              <w:top w:val="single" w:sz="4" w:space="0" w:color="000000"/>
              <w:left w:val="single" w:sz="4" w:space="0" w:color="000000"/>
              <w:bottom w:val="single" w:sz="4" w:space="0" w:color="000000"/>
              <w:right w:val="single" w:sz="4" w:space="0" w:color="000000"/>
            </w:tcBorders>
            <w:vAlign w:val="center"/>
          </w:tcPr>
          <w:p w14:paraId="0ED0BC7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510.44</w:t>
            </w:r>
          </w:p>
        </w:tc>
        <w:tc>
          <w:tcPr>
            <w:tcW w:w="1950" w:type="dxa"/>
            <w:tcBorders>
              <w:top w:val="single" w:sz="4" w:space="0" w:color="000000"/>
              <w:left w:val="single" w:sz="4" w:space="0" w:color="000000"/>
              <w:bottom w:val="single" w:sz="4" w:space="0" w:color="000000"/>
              <w:right w:val="single" w:sz="4" w:space="0" w:color="000000"/>
            </w:tcBorders>
            <w:vAlign w:val="center"/>
          </w:tcPr>
          <w:p w14:paraId="78DA66E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28.24%</w:t>
            </w:r>
          </w:p>
        </w:tc>
      </w:tr>
      <w:tr w:rsidR="00000000" w14:paraId="68A65162"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73C6363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221</w:t>
            </w:r>
            <w:r>
              <w:rPr>
                <w:rStyle w:val="font61"/>
                <w:sz w:val="28"/>
                <w:szCs w:val="28"/>
                <w:lang w:bidi="ar"/>
              </w:rPr>
              <w:t>住房保障支出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61BB208"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7,708.85</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3F8997B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11,790.29</w:t>
            </w:r>
          </w:p>
        </w:tc>
        <w:tc>
          <w:tcPr>
            <w:tcW w:w="1740" w:type="dxa"/>
            <w:tcBorders>
              <w:top w:val="single" w:sz="4" w:space="0" w:color="000000"/>
              <w:left w:val="single" w:sz="4" w:space="0" w:color="000000"/>
              <w:bottom w:val="single" w:sz="4" w:space="0" w:color="000000"/>
              <w:right w:val="single" w:sz="4" w:space="0" w:color="000000"/>
            </w:tcBorders>
            <w:vAlign w:val="center"/>
          </w:tcPr>
          <w:p w14:paraId="1C8E849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17</w:t>
            </w:r>
            <w:r>
              <w:rPr>
                <w:rFonts w:ascii="宋体" w:eastAsia="宋体" w:hAnsi="宋体" w:cs="宋体" w:hint="eastAsia"/>
                <w:color w:val="000000"/>
                <w:kern w:val="0"/>
                <w:sz w:val="28"/>
                <w:szCs w:val="28"/>
                <w:lang w:bidi="ar"/>
              </w:rPr>
              <w:t>95.36</w:t>
            </w:r>
          </w:p>
        </w:tc>
        <w:tc>
          <w:tcPr>
            <w:tcW w:w="1950" w:type="dxa"/>
            <w:tcBorders>
              <w:top w:val="single" w:sz="4" w:space="0" w:color="000000"/>
              <w:left w:val="single" w:sz="4" w:space="0" w:color="000000"/>
              <w:bottom w:val="single" w:sz="4" w:space="0" w:color="000000"/>
              <w:right w:val="single" w:sz="4" w:space="0" w:color="000000"/>
            </w:tcBorders>
            <w:vAlign w:val="center"/>
          </w:tcPr>
          <w:p w14:paraId="2281CD1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23.29%</w:t>
            </w:r>
          </w:p>
        </w:tc>
      </w:tr>
      <w:tr w:rsidR="00000000" w14:paraId="5A24B502"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4F8D0ED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222</w:t>
            </w:r>
            <w:r>
              <w:rPr>
                <w:rStyle w:val="font61"/>
                <w:sz w:val="28"/>
                <w:szCs w:val="28"/>
                <w:lang w:bidi="ar"/>
              </w:rPr>
              <w:t>粮油物资储备支出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7180348F"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7,755.34</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5E6D50F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3,521.18</w:t>
            </w:r>
          </w:p>
        </w:tc>
        <w:tc>
          <w:tcPr>
            <w:tcW w:w="1740" w:type="dxa"/>
            <w:tcBorders>
              <w:top w:val="single" w:sz="4" w:space="0" w:color="000000"/>
              <w:left w:val="single" w:sz="4" w:space="0" w:color="000000"/>
              <w:bottom w:val="single" w:sz="4" w:space="0" w:color="000000"/>
              <w:right w:val="single" w:sz="4" w:space="0" w:color="000000"/>
            </w:tcBorders>
            <w:vAlign w:val="center"/>
          </w:tcPr>
          <w:p w14:paraId="22C775FC"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7547.8</w:t>
            </w:r>
          </w:p>
        </w:tc>
        <w:tc>
          <w:tcPr>
            <w:tcW w:w="1950" w:type="dxa"/>
            <w:tcBorders>
              <w:top w:val="single" w:sz="4" w:space="0" w:color="000000"/>
              <w:left w:val="single" w:sz="4" w:space="0" w:color="000000"/>
              <w:bottom w:val="single" w:sz="4" w:space="0" w:color="000000"/>
              <w:right w:val="single" w:sz="4" w:space="0" w:color="000000"/>
            </w:tcBorders>
            <w:vAlign w:val="center"/>
          </w:tcPr>
          <w:p w14:paraId="59061A1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97.32%</w:t>
            </w:r>
          </w:p>
        </w:tc>
      </w:tr>
      <w:tr w:rsidR="00000000" w14:paraId="60D3B7E9"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4D40EBD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223</w:t>
            </w:r>
            <w:r>
              <w:rPr>
                <w:rStyle w:val="font61"/>
                <w:sz w:val="28"/>
                <w:szCs w:val="28"/>
                <w:lang w:bidi="ar"/>
              </w:rPr>
              <w:t>国有资本经营预算支出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4EA44FF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23</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109CFE7E"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14,499.57</w:t>
            </w:r>
          </w:p>
        </w:tc>
        <w:tc>
          <w:tcPr>
            <w:tcW w:w="1740" w:type="dxa"/>
            <w:tcBorders>
              <w:top w:val="single" w:sz="4" w:space="0" w:color="000000"/>
              <w:left w:val="single" w:sz="4" w:space="0" w:color="000000"/>
              <w:bottom w:val="single" w:sz="4" w:space="0" w:color="000000"/>
              <w:right w:val="single" w:sz="4" w:space="0" w:color="000000"/>
            </w:tcBorders>
            <w:vAlign w:val="center"/>
          </w:tcPr>
          <w:p w14:paraId="71DBE4F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681.84</w:t>
            </w:r>
          </w:p>
        </w:tc>
        <w:tc>
          <w:tcPr>
            <w:tcW w:w="1950" w:type="dxa"/>
            <w:tcBorders>
              <w:top w:val="single" w:sz="4" w:space="0" w:color="000000"/>
              <w:left w:val="single" w:sz="4" w:space="0" w:color="000000"/>
              <w:bottom w:val="single" w:sz="4" w:space="0" w:color="000000"/>
              <w:right w:val="single" w:sz="4" w:space="0" w:color="000000"/>
            </w:tcBorders>
            <w:vAlign w:val="center"/>
          </w:tcPr>
          <w:p w14:paraId="1BECA71D"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2964.52%</w:t>
            </w:r>
          </w:p>
        </w:tc>
      </w:tr>
      <w:tr w:rsidR="00000000" w14:paraId="62BA5964" w14:textId="77777777">
        <w:trPr>
          <w:trHeight w:val="1263"/>
        </w:trPr>
        <w:tc>
          <w:tcPr>
            <w:tcW w:w="2852" w:type="dxa"/>
            <w:tcBorders>
              <w:top w:val="single" w:sz="4" w:space="0" w:color="000000"/>
              <w:left w:val="single" w:sz="4" w:space="0" w:color="000000"/>
              <w:bottom w:val="single" w:sz="4" w:space="0" w:color="000000"/>
              <w:right w:val="single" w:sz="4" w:space="0" w:color="000000"/>
            </w:tcBorders>
            <w:vAlign w:val="center"/>
          </w:tcPr>
          <w:p w14:paraId="35433E36"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224</w:t>
            </w:r>
            <w:r>
              <w:rPr>
                <w:rStyle w:val="font61"/>
                <w:sz w:val="28"/>
                <w:szCs w:val="28"/>
                <w:lang w:bidi="ar"/>
              </w:rPr>
              <w:t>灾害防治及应急管理支出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6FB66BE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980.27</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4456E918"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1,223.64</w:t>
            </w:r>
          </w:p>
        </w:tc>
        <w:tc>
          <w:tcPr>
            <w:tcW w:w="1740" w:type="dxa"/>
            <w:tcBorders>
              <w:top w:val="single" w:sz="4" w:space="0" w:color="000000"/>
              <w:left w:val="single" w:sz="4" w:space="0" w:color="000000"/>
              <w:bottom w:val="single" w:sz="4" w:space="0" w:color="000000"/>
              <w:right w:val="single" w:sz="4" w:space="0" w:color="000000"/>
            </w:tcBorders>
            <w:vAlign w:val="center"/>
          </w:tcPr>
          <w:p w14:paraId="5539059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-799.23</w:t>
            </w:r>
          </w:p>
        </w:tc>
        <w:tc>
          <w:tcPr>
            <w:tcW w:w="1950" w:type="dxa"/>
            <w:tcBorders>
              <w:top w:val="single" w:sz="4" w:space="0" w:color="000000"/>
              <w:left w:val="single" w:sz="4" w:space="0" w:color="000000"/>
              <w:bottom w:val="single" w:sz="4" w:space="0" w:color="000000"/>
              <w:right w:val="single" w:sz="4" w:space="0" w:color="000000"/>
            </w:tcBorders>
            <w:vAlign w:val="center"/>
          </w:tcPr>
          <w:p w14:paraId="0797B9AA"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-81.53%</w:t>
            </w:r>
          </w:p>
        </w:tc>
      </w:tr>
      <w:tr w:rsidR="00000000" w14:paraId="5D72CDE1" w14:textId="77777777">
        <w:trPr>
          <w:trHeight w:val="624"/>
        </w:trPr>
        <w:tc>
          <w:tcPr>
            <w:tcW w:w="2852" w:type="dxa"/>
            <w:tcBorders>
              <w:top w:val="single" w:sz="4" w:space="0" w:color="000000"/>
              <w:left w:val="single" w:sz="4" w:space="0" w:color="000000"/>
              <w:bottom w:val="single" w:sz="4" w:space="0" w:color="000000"/>
              <w:right w:val="single" w:sz="4" w:space="0" w:color="000000"/>
            </w:tcBorders>
            <w:vAlign w:val="center"/>
          </w:tcPr>
          <w:p w14:paraId="220438BB"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229</w:t>
            </w:r>
            <w:r>
              <w:rPr>
                <w:rStyle w:val="font61"/>
                <w:sz w:val="28"/>
                <w:szCs w:val="28"/>
                <w:lang w:bidi="ar"/>
              </w:rPr>
              <w:t>其他支出</w:t>
            </w:r>
          </w:p>
        </w:tc>
        <w:tc>
          <w:tcPr>
            <w:tcW w:w="1950" w:type="dxa"/>
            <w:tcBorders>
              <w:top w:val="single" w:sz="4" w:space="0" w:color="000000"/>
              <w:left w:val="single" w:sz="4" w:space="0" w:color="000000"/>
              <w:bottom w:val="single" w:sz="4" w:space="0" w:color="000000"/>
              <w:right w:val="single" w:sz="4" w:space="0" w:color="000000"/>
            </w:tcBorders>
            <w:noWrap/>
            <w:vAlign w:val="center"/>
          </w:tcPr>
          <w:p w14:paraId="17012AE3"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18,484.16</w:t>
            </w:r>
          </w:p>
        </w:tc>
        <w:tc>
          <w:tcPr>
            <w:tcW w:w="1590" w:type="dxa"/>
            <w:tcBorders>
              <w:top w:val="single" w:sz="4" w:space="0" w:color="000000"/>
              <w:left w:val="single" w:sz="4" w:space="0" w:color="000000"/>
              <w:bottom w:val="single" w:sz="4" w:space="0" w:color="000000"/>
              <w:right w:val="single" w:sz="4" w:space="0" w:color="000000"/>
            </w:tcBorders>
            <w:noWrap/>
            <w:vAlign w:val="center"/>
          </w:tcPr>
          <w:p w14:paraId="22D70ED9"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21,930.40</w:t>
            </w:r>
          </w:p>
        </w:tc>
        <w:tc>
          <w:tcPr>
            <w:tcW w:w="1740" w:type="dxa"/>
            <w:tcBorders>
              <w:top w:val="single" w:sz="4" w:space="0" w:color="000000"/>
              <w:left w:val="single" w:sz="4" w:space="0" w:color="000000"/>
              <w:bottom w:val="single" w:sz="4" w:space="0" w:color="000000"/>
              <w:right w:val="single" w:sz="4" w:space="0" w:color="000000"/>
            </w:tcBorders>
            <w:vAlign w:val="center"/>
          </w:tcPr>
          <w:p w14:paraId="2F616024"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5675.07</w:t>
            </w:r>
          </w:p>
        </w:tc>
        <w:tc>
          <w:tcPr>
            <w:tcW w:w="1950" w:type="dxa"/>
            <w:tcBorders>
              <w:top w:val="single" w:sz="4" w:space="0" w:color="000000"/>
              <w:left w:val="single" w:sz="4" w:space="0" w:color="000000"/>
              <w:bottom w:val="single" w:sz="4" w:space="0" w:color="000000"/>
              <w:right w:val="single" w:sz="4" w:space="0" w:color="000000"/>
            </w:tcBorders>
            <w:vAlign w:val="center"/>
          </w:tcPr>
          <w:p w14:paraId="45B21F97" w14:textId="77777777" w:rsidR="00000000" w:rsidRDefault="00763D17">
            <w:pPr>
              <w:widowControl/>
              <w:jc w:val="center"/>
              <w:textAlignment w:val="center"/>
              <w:rPr>
                <w:rFonts w:ascii="宋体" w:eastAsia="宋体" w:hAnsi="宋体" w:cs="宋体" w:hint="eastAsia"/>
                <w:color w:val="000000"/>
                <w:sz w:val="28"/>
                <w:szCs w:val="28"/>
              </w:rPr>
            </w:pPr>
            <w:r>
              <w:rPr>
                <w:rFonts w:ascii="宋体" w:eastAsia="宋体" w:hAnsi="宋体" w:cs="宋体" w:hint="eastAsia"/>
                <w:color w:val="000000"/>
                <w:kern w:val="0"/>
                <w:sz w:val="28"/>
                <w:szCs w:val="28"/>
                <w:lang w:bidi="ar"/>
              </w:rPr>
              <w:t>30.70%</w:t>
            </w:r>
          </w:p>
        </w:tc>
      </w:tr>
    </w:tbl>
    <w:p w14:paraId="18510B67" w14:textId="77777777" w:rsidR="00000000" w:rsidRDefault="00763D17">
      <w:pPr>
        <w:snapToGrid w:val="0"/>
        <w:spacing w:line="560" w:lineRule="exact"/>
        <w:rPr>
          <w:rFonts w:ascii="仿宋_GB2312" w:eastAsia="仿宋_GB2312"/>
          <w:sz w:val="32"/>
          <w:szCs w:val="32"/>
        </w:rPr>
      </w:pPr>
    </w:p>
    <w:p w14:paraId="782F4003" w14:textId="77777777" w:rsidR="00000000" w:rsidRDefault="00763D17">
      <w:pPr>
        <w:snapToGrid w:val="0"/>
        <w:spacing w:line="560" w:lineRule="exact"/>
        <w:ind w:firstLineChars="300" w:firstLine="960"/>
      </w:pPr>
      <w:r>
        <w:rPr>
          <w:rFonts w:ascii="仿宋_GB2312" w:eastAsia="仿宋_GB2312" w:hint="eastAsia"/>
          <w:sz w:val="32"/>
          <w:szCs w:val="32"/>
        </w:rPr>
        <w:t>202</w:t>
      </w:r>
      <w:r>
        <w:rPr>
          <w:rFonts w:ascii="仿宋_GB2312" w:eastAsia="仿宋_GB2312" w:hint="eastAsia"/>
          <w:sz w:val="32"/>
          <w:szCs w:val="32"/>
        </w:rPr>
        <w:t>3</w:t>
      </w:r>
      <w:r>
        <w:rPr>
          <w:rFonts w:ascii="仿宋_GB2312" w:eastAsia="仿宋_GB2312" w:hint="eastAsia"/>
          <w:sz w:val="32"/>
          <w:szCs w:val="32"/>
        </w:rPr>
        <w:t>本年支出</w:t>
      </w:r>
      <w:r>
        <w:rPr>
          <w:rFonts w:ascii="仿宋_GB2312" w:eastAsia="仿宋_GB2312" w:hint="eastAsia"/>
          <w:sz w:val="32"/>
          <w:szCs w:val="32"/>
        </w:rPr>
        <w:t>456772.12</w:t>
      </w:r>
      <w:r>
        <w:rPr>
          <w:rFonts w:ascii="仿宋_GB2312" w:eastAsia="仿宋_GB2312" w:hint="eastAsia"/>
          <w:sz w:val="32"/>
          <w:szCs w:val="32"/>
        </w:rPr>
        <w:t>万元，较上年</w:t>
      </w:r>
      <w:r>
        <w:rPr>
          <w:rFonts w:ascii="仿宋_GB2312" w:eastAsia="仿宋_GB2312" w:hint="eastAsia"/>
          <w:sz w:val="32"/>
          <w:szCs w:val="32"/>
        </w:rPr>
        <w:t>493875.18</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37103.06</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7.51</w:t>
      </w:r>
      <w:r>
        <w:rPr>
          <w:rFonts w:ascii="仿宋_GB2312" w:eastAsia="仿宋_GB2312" w:hint="eastAsia"/>
          <w:sz w:val="32"/>
          <w:szCs w:val="32"/>
        </w:rPr>
        <w:t>%</w:t>
      </w:r>
      <w:r>
        <w:rPr>
          <w:rFonts w:ascii="仿宋_GB2312" w:eastAsia="仿宋_GB2312" w:hint="eastAsia"/>
          <w:sz w:val="32"/>
          <w:szCs w:val="32"/>
        </w:rPr>
        <w:t>。按照功能</w:t>
      </w:r>
      <w:r>
        <w:rPr>
          <w:rFonts w:ascii="仿宋_GB2312" w:eastAsia="仿宋_GB2312" w:hint="eastAsia"/>
          <w:sz w:val="32"/>
          <w:szCs w:val="32"/>
        </w:rPr>
        <w:t>分类科目分析如下：</w:t>
      </w:r>
    </w:p>
    <w:p w14:paraId="47B7ABE0" w14:textId="77777777" w:rsidR="00000000" w:rsidRDefault="00763D17">
      <w:pPr>
        <w:snapToGrid w:val="0"/>
        <w:spacing w:line="560" w:lineRule="exact"/>
        <w:rPr>
          <w:rFonts w:ascii="仿宋_GB2312" w:eastAsia="仿宋_GB2312" w:hint="eastAsia"/>
          <w:b/>
          <w:bCs/>
          <w:sz w:val="32"/>
          <w:szCs w:val="32"/>
        </w:rPr>
      </w:pPr>
    </w:p>
    <w:p w14:paraId="6C4982B8" w14:textId="77777777" w:rsidR="00000000" w:rsidRDefault="00763D17">
      <w:pPr>
        <w:snapToGrid w:val="0"/>
        <w:spacing w:line="560" w:lineRule="exact"/>
        <w:ind w:firstLineChars="200" w:firstLine="640"/>
        <w:jc w:val="center"/>
        <w:rPr>
          <w:rFonts w:ascii="仿宋_GB2312" w:eastAsia="仿宋_GB2312"/>
          <w:b/>
          <w:bCs/>
          <w:sz w:val="32"/>
          <w:szCs w:val="32"/>
        </w:rPr>
      </w:pPr>
      <w:r>
        <w:rPr>
          <w:rFonts w:ascii="仿宋_GB2312" w:eastAsia="仿宋_GB2312" w:hint="eastAsia"/>
          <w:b/>
          <w:bCs/>
          <w:sz w:val="32"/>
          <w:szCs w:val="32"/>
        </w:rPr>
        <w:t>表</w:t>
      </w:r>
      <w:r>
        <w:rPr>
          <w:rFonts w:ascii="仿宋_GB2312" w:eastAsia="仿宋_GB2312" w:hint="eastAsia"/>
          <w:b/>
          <w:bCs/>
          <w:sz w:val="32"/>
          <w:szCs w:val="32"/>
        </w:rPr>
        <w:t>2:</w:t>
      </w:r>
      <w:r>
        <w:rPr>
          <w:rFonts w:ascii="仿宋_GB2312" w:eastAsia="仿宋_GB2312" w:hint="eastAsia"/>
          <w:b/>
          <w:bCs/>
          <w:sz w:val="32"/>
          <w:szCs w:val="32"/>
        </w:rPr>
        <w:t>2022-</w:t>
      </w:r>
      <w:r>
        <w:rPr>
          <w:rFonts w:ascii="仿宋_GB2312" w:eastAsia="仿宋_GB2312" w:hint="eastAsia"/>
          <w:b/>
          <w:bCs/>
          <w:sz w:val="32"/>
          <w:szCs w:val="32"/>
        </w:rPr>
        <w:t>202</w:t>
      </w:r>
      <w:r>
        <w:rPr>
          <w:rFonts w:ascii="仿宋_GB2312" w:eastAsia="仿宋_GB2312" w:hint="eastAsia"/>
          <w:b/>
          <w:bCs/>
          <w:sz w:val="32"/>
          <w:szCs w:val="32"/>
        </w:rPr>
        <w:t>3</w:t>
      </w:r>
      <w:r>
        <w:rPr>
          <w:rFonts w:ascii="仿宋_GB2312" w:eastAsia="仿宋_GB2312" w:hint="eastAsia"/>
          <w:b/>
          <w:bCs/>
          <w:sz w:val="32"/>
          <w:szCs w:val="32"/>
        </w:rPr>
        <w:t>年本年支出按功能分类科目分析</w:t>
      </w:r>
    </w:p>
    <w:p w14:paraId="5B28BE95" w14:textId="77777777" w:rsidR="00000000" w:rsidRDefault="00763D17">
      <w:pPr>
        <w:wordWrap w:val="0"/>
        <w:snapToGrid w:val="0"/>
        <w:spacing w:line="560" w:lineRule="exact"/>
        <w:ind w:firstLineChars="300" w:firstLine="960"/>
        <w:jc w:val="right"/>
        <w:rPr>
          <w:rFonts w:ascii="仿宋_GB2312" w:eastAsia="仿宋_GB2312"/>
          <w:sz w:val="32"/>
          <w:szCs w:val="32"/>
        </w:rPr>
      </w:pPr>
      <w:r>
        <w:rPr>
          <w:rFonts w:ascii="仿宋_GB2312" w:eastAsia="仿宋_GB2312" w:hint="eastAsia"/>
          <w:sz w:val="32"/>
          <w:szCs w:val="32"/>
        </w:rPr>
        <w:t>单位：万元</w:t>
      </w:r>
      <w:r>
        <w:rPr>
          <w:rFonts w:ascii="仿宋_GB2312" w:eastAsia="仿宋_GB2312" w:hint="eastAsia"/>
          <w:sz w:val="32"/>
          <w:szCs w:val="32"/>
        </w:rPr>
        <w:t xml:space="preserve">  </w:t>
      </w:r>
    </w:p>
    <w:tbl>
      <w:tblPr>
        <w:tblW w:w="10097" w:type="dxa"/>
        <w:tblInd w:w="96" w:type="dxa"/>
        <w:tblLook w:val="0000" w:firstRow="0" w:lastRow="0" w:firstColumn="0" w:lastColumn="0" w:noHBand="0" w:noVBand="0"/>
      </w:tblPr>
      <w:tblGrid>
        <w:gridCol w:w="2867"/>
        <w:gridCol w:w="1950"/>
        <w:gridCol w:w="1560"/>
        <w:gridCol w:w="1770"/>
        <w:gridCol w:w="1950"/>
      </w:tblGrid>
      <w:tr w:rsidR="00000000" w14:paraId="16CC766C" w14:textId="77777777">
        <w:trPr>
          <w:trHeight w:val="760"/>
          <w:tblHeader/>
        </w:trPr>
        <w:tc>
          <w:tcPr>
            <w:tcW w:w="2867" w:type="dxa"/>
            <w:tcBorders>
              <w:top w:val="single" w:sz="8" w:space="0" w:color="000000"/>
              <w:left w:val="single" w:sz="8" w:space="0" w:color="000000"/>
              <w:bottom w:val="single" w:sz="8" w:space="0" w:color="000000"/>
              <w:right w:val="single" w:sz="8" w:space="0" w:color="000000"/>
            </w:tcBorders>
            <w:vAlign w:val="center"/>
          </w:tcPr>
          <w:p w14:paraId="4524502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年度</w:t>
            </w:r>
          </w:p>
        </w:tc>
        <w:tc>
          <w:tcPr>
            <w:tcW w:w="1950" w:type="dxa"/>
            <w:tcBorders>
              <w:top w:val="single" w:sz="8" w:space="0" w:color="000000"/>
              <w:left w:val="nil"/>
              <w:bottom w:val="single" w:sz="8" w:space="0" w:color="000000"/>
              <w:right w:val="single" w:sz="8" w:space="0" w:color="000000"/>
            </w:tcBorders>
            <w:vAlign w:val="center"/>
          </w:tcPr>
          <w:p w14:paraId="1D23522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2022</w:t>
            </w:r>
            <w:r>
              <w:rPr>
                <w:rFonts w:ascii="宋体" w:eastAsia="宋体" w:hAnsi="宋体" w:cs="宋体" w:hint="eastAsia"/>
                <w:color w:val="000000"/>
                <w:kern w:val="0"/>
                <w:sz w:val="24"/>
                <w:lang w:bidi="ar"/>
              </w:rPr>
              <w:t>年</w:t>
            </w:r>
          </w:p>
        </w:tc>
        <w:tc>
          <w:tcPr>
            <w:tcW w:w="1560" w:type="dxa"/>
            <w:tcBorders>
              <w:top w:val="single" w:sz="8" w:space="0" w:color="000000"/>
              <w:left w:val="nil"/>
              <w:bottom w:val="single" w:sz="8" w:space="0" w:color="000000"/>
              <w:right w:val="single" w:sz="8" w:space="0" w:color="000000"/>
            </w:tcBorders>
            <w:vAlign w:val="center"/>
          </w:tcPr>
          <w:p w14:paraId="6F12F97B"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2023</w:t>
            </w:r>
            <w:r>
              <w:rPr>
                <w:rFonts w:ascii="宋体" w:eastAsia="宋体" w:hAnsi="宋体" w:cs="宋体" w:hint="eastAsia"/>
                <w:color w:val="000000"/>
                <w:kern w:val="0"/>
                <w:sz w:val="24"/>
                <w:lang w:bidi="ar"/>
              </w:rPr>
              <w:t>年</w:t>
            </w:r>
          </w:p>
        </w:tc>
        <w:tc>
          <w:tcPr>
            <w:tcW w:w="1770" w:type="dxa"/>
            <w:tcBorders>
              <w:top w:val="single" w:sz="8" w:space="0" w:color="000000"/>
              <w:left w:val="nil"/>
              <w:bottom w:val="single" w:sz="8" w:space="0" w:color="000000"/>
              <w:right w:val="single" w:sz="8" w:space="0" w:color="000000"/>
            </w:tcBorders>
            <w:vAlign w:val="center"/>
          </w:tcPr>
          <w:p w14:paraId="45F9CBAF"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增减额</w:t>
            </w:r>
          </w:p>
        </w:tc>
        <w:tc>
          <w:tcPr>
            <w:tcW w:w="1950" w:type="dxa"/>
            <w:tcBorders>
              <w:top w:val="single" w:sz="8" w:space="0" w:color="000000"/>
              <w:left w:val="nil"/>
              <w:bottom w:val="single" w:sz="8" w:space="0" w:color="000000"/>
              <w:right w:val="single" w:sz="8" w:space="0" w:color="000000"/>
            </w:tcBorders>
            <w:vAlign w:val="center"/>
          </w:tcPr>
          <w:p w14:paraId="1B07D6E9"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增减比率</w:t>
            </w:r>
          </w:p>
        </w:tc>
      </w:tr>
      <w:tr w:rsidR="00000000" w14:paraId="422FAD7D"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3CE7D58A"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合计</w:t>
            </w:r>
          </w:p>
        </w:tc>
        <w:tc>
          <w:tcPr>
            <w:tcW w:w="1950" w:type="dxa"/>
            <w:tcBorders>
              <w:top w:val="nil"/>
              <w:left w:val="nil"/>
              <w:bottom w:val="single" w:sz="8" w:space="0" w:color="000000"/>
              <w:right w:val="single" w:sz="8" w:space="0" w:color="000000"/>
            </w:tcBorders>
            <w:vAlign w:val="center"/>
          </w:tcPr>
          <w:p w14:paraId="24F7F3D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493875.18</w:t>
            </w:r>
          </w:p>
        </w:tc>
        <w:tc>
          <w:tcPr>
            <w:tcW w:w="1560" w:type="dxa"/>
            <w:tcBorders>
              <w:top w:val="nil"/>
              <w:left w:val="nil"/>
              <w:bottom w:val="single" w:sz="8" w:space="0" w:color="000000"/>
              <w:right w:val="single" w:sz="8" w:space="0" w:color="000000"/>
            </w:tcBorders>
            <w:vAlign w:val="center"/>
          </w:tcPr>
          <w:p w14:paraId="57523760"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470542.09</w:t>
            </w:r>
          </w:p>
        </w:tc>
        <w:tc>
          <w:tcPr>
            <w:tcW w:w="1770" w:type="dxa"/>
            <w:tcBorders>
              <w:top w:val="nil"/>
              <w:left w:val="nil"/>
              <w:bottom w:val="single" w:sz="8" w:space="0" w:color="000000"/>
              <w:right w:val="single" w:sz="8" w:space="0" w:color="000000"/>
            </w:tcBorders>
            <w:vAlign w:val="center"/>
          </w:tcPr>
          <w:p w14:paraId="08234787"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-23333.09</w:t>
            </w:r>
          </w:p>
        </w:tc>
        <w:tc>
          <w:tcPr>
            <w:tcW w:w="1950" w:type="dxa"/>
            <w:tcBorders>
              <w:top w:val="nil"/>
              <w:left w:val="nil"/>
              <w:bottom w:val="single" w:sz="8" w:space="0" w:color="000000"/>
              <w:right w:val="single" w:sz="8" w:space="0" w:color="000000"/>
            </w:tcBorders>
            <w:vAlign w:val="center"/>
          </w:tcPr>
          <w:p w14:paraId="4C7BBDD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-4.72%</w:t>
            </w:r>
          </w:p>
        </w:tc>
      </w:tr>
      <w:tr w:rsidR="00000000" w14:paraId="5F639DDB"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3A1F64F5"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201</w:t>
            </w:r>
            <w:r>
              <w:rPr>
                <w:rFonts w:ascii="宋体" w:eastAsia="宋体" w:hAnsi="宋体" w:cs="宋体" w:hint="eastAsia"/>
                <w:color w:val="000000"/>
                <w:kern w:val="0"/>
                <w:sz w:val="24"/>
                <w:lang w:bidi="ar"/>
              </w:rPr>
              <w:t>一般公共服务支出</w:t>
            </w:r>
          </w:p>
        </w:tc>
        <w:tc>
          <w:tcPr>
            <w:tcW w:w="1950" w:type="dxa"/>
            <w:tcBorders>
              <w:top w:val="nil"/>
              <w:left w:val="nil"/>
              <w:bottom w:val="single" w:sz="8" w:space="0" w:color="000000"/>
              <w:right w:val="single" w:sz="8" w:space="0" w:color="000000"/>
            </w:tcBorders>
            <w:vAlign w:val="center"/>
          </w:tcPr>
          <w:p w14:paraId="6170EEF5"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24611.75</w:t>
            </w:r>
          </w:p>
        </w:tc>
        <w:tc>
          <w:tcPr>
            <w:tcW w:w="1560" w:type="dxa"/>
            <w:tcBorders>
              <w:top w:val="nil"/>
              <w:left w:val="nil"/>
              <w:bottom w:val="single" w:sz="8" w:space="0" w:color="000000"/>
              <w:right w:val="single" w:sz="8" w:space="0" w:color="000000"/>
            </w:tcBorders>
            <w:vAlign w:val="center"/>
          </w:tcPr>
          <w:p w14:paraId="448C12AF" w14:textId="77777777" w:rsidR="00000000" w:rsidRDefault="00763D17">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11990.29</w:t>
            </w:r>
          </w:p>
        </w:tc>
        <w:tc>
          <w:tcPr>
            <w:tcW w:w="1770" w:type="dxa"/>
            <w:tcBorders>
              <w:top w:val="nil"/>
              <w:left w:val="nil"/>
              <w:bottom w:val="single" w:sz="8" w:space="0" w:color="000000"/>
              <w:right w:val="single" w:sz="8" w:space="0" w:color="000000"/>
            </w:tcBorders>
            <w:vAlign w:val="center"/>
          </w:tcPr>
          <w:p w14:paraId="4CB589B5" w14:textId="77777777" w:rsidR="00000000" w:rsidRDefault="00763D17">
            <w:pPr>
              <w:widowControl/>
              <w:jc w:val="center"/>
              <w:textAlignment w:val="center"/>
              <w:rPr>
                <w:rFonts w:eastAsia="宋体"/>
                <w:color w:val="000000"/>
                <w:szCs w:val="21"/>
              </w:rPr>
            </w:pPr>
            <w:r>
              <w:rPr>
                <w:rFonts w:eastAsia="宋体" w:hint="eastAsia"/>
                <w:color w:val="000000"/>
                <w:kern w:val="0"/>
                <w:szCs w:val="21"/>
                <w:lang w:bidi="ar"/>
              </w:rPr>
              <w:t>12621.46</w:t>
            </w:r>
          </w:p>
        </w:tc>
        <w:tc>
          <w:tcPr>
            <w:tcW w:w="1950" w:type="dxa"/>
            <w:tcBorders>
              <w:top w:val="nil"/>
              <w:left w:val="nil"/>
              <w:bottom w:val="single" w:sz="8" w:space="0" w:color="000000"/>
              <w:right w:val="single" w:sz="8" w:space="0" w:color="000000"/>
            </w:tcBorders>
            <w:vAlign w:val="center"/>
          </w:tcPr>
          <w:p w14:paraId="6B70BF3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4.67%</w:t>
            </w:r>
          </w:p>
        </w:tc>
      </w:tr>
      <w:tr w:rsidR="00000000" w14:paraId="024AA514"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0BABB97F"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203</w:t>
            </w:r>
            <w:r>
              <w:rPr>
                <w:rFonts w:ascii="宋体" w:eastAsia="宋体" w:hAnsi="宋体" w:cs="宋体" w:hint="eastAsia"/>
                <w:color w:val="000000"/>
                <w:kern w:val="0"/>
                <w:sz w:val="24"/>
                <w:lang w:bidi="ar"/>
              </w:rPr>
              <w:t>国防支出</w:t>
            </w:r>
          </w:p>
        </w:tc>
        <w:tc>
          <w:tcPr>
            <w:tcW w:w="1950" w:type="dxa"/>
            <w:tcBorders>
              <w:top w:val="nil"/>
              <w:left w:val="nil"/>
              <w:bottom w:val="single" w:sz="8" w:space="0" w:color="000000"/>
              <w:right w:val="single" w:sz="8" w:space="0" w:color="000000"/>
            </w:tcBorders>
            <w:vAlign w:val="center"/>
          </w:tcPr>
          <w:p w14:paraId="55F7F5E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3241.47</w:t>
            </w:r>
          </w:p>
        </w:tc>
        <w:tc>
          <w:tcPr>
            <w:tcW w:w="1560" w:type="dxa"/>
            <w:tcBorders>
              <w:top w:val="nil"/>
              <w:left w:val="nil"/>
              <w:bottom w:val="single" w:sz="8" w:space="0" w:color="000000"/>
              <w:right w:val="single" w:sz="8" w:space="0" w:color="000000"/>
            </w:tcBorders>
            <w:vAlign w:val="center"/>
          </w:tcPr>
          <w:p w14:paraId="24A29F8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3651.35</w:t>
            </w:r>
          </w:p>
        </w:tc>
        <w:tc>
          <w:tcPr>
            <w:tcW w:w="1770" w:type="dxa"/>
            <w:tcBorders>
              <w:top w:val="nil"/>
              <w:left w:val="nil"/>
              <w:bottom w:val="single" w:sz="8" w:space="0" w:color="000000"/>
              <w:right w:val="single" w:sz="8" w:space="0" w:color="000000"/>
            </w:tcBorders>
            <w:vAlign w:val="center"/>
          </w:tcPr>
          <w:p w14:paraId="0DCEBF62"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409.88</w:t>
            </w:r>
          </w:p>
        </w:tc>
        <w:tc>
          <w:tcPr>
            <w:tcW w:w="1950" w:type="dxa"/>
            <w:tcBorders>
              <w:top w:val="nil"/>
              <w:left w:val="nil"/>
              <w:bottom w:val="single" w:sz="8" w:space="0" w:color="000000"/>
              <w:right w:val="single" w:sz="8" w:space="0" w:color="000000"/>
            </w:tcBorders>
            <w:vAlign w:val="center"/>
          </w:tcPr>
          <w:p w14:paraId="4F90D510"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12.64%</w:t>
            </w:r>
          </w:p>
        </w:tc>
      </w:tr>
      <w:tr w:rsidR="00000000" w14:paraId="6AEFEE2E"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04AB90B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204</w:t>
            </w:r>
            <w:r>
              <w:rPr>
                <w:rFonts w:ascii="宋体" w:eastAsia="宋体" w:hAnsi="宋体" w:cs="宋体" w:hint="eastAsia"/>
                <w:color w:val="000000"/>
                <w:kern w:val="0"/>
                <w:sz w:val="24"/>
                <w:lang w:bidi="ar"/>
              </w:rPr>
              <w:t>公共安全支出</w:t>
            </w:r>
          </w:p>
        </w:tc>
        <w:tc>
          <w:tcPr>
            <w:tcW w:w="1950" w:type="dxa"/>
            <w:tcBorders>
              <w:top w:val="nil"/>
              <w:left w:val="nil"/>
              <w:bottom w:val="single" w:sz="8" w:space="0" w:color="000000"/>
              <w:right w:val="single" w:sz="8" w:space="0" w:color="000000"/>
            </w:tcBorders>
            <w:vAlign w:val="center"/>
          </w:tcPr>
          <w:p w14:paraId="44DB628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48221.66</w:t>
            </w:r>
          </w:p>
        </w:tc>
        <w:tc>
          <w:tcPr>
            <w:tcW w:w="1560" w:type="dxa"/>
            <w:tcBorders>
              <w:top w:val="nil"/>
              <w:left w:val="nil"/>
              <w:bottom w:val="single" w:sz="8" w:space="0" w:color="000000"/>
              <w:right w:val="single" w:sz="8" w:space="0" w:color="000000"/>
            </w:tcBorders>
            <w:vAlign w:val="center"/>
          </w:tcPr>
          <w:p w14:paraId="2F6069D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35461.31</w:t>
            </w:r>
          </w:p>
        </w:tc>
        <w:tc>
          <w:tcPr>
            <w:tcW w:w="1770" w:type="dxa"/>
            <w:tcBorders>
              <w:top w:val="nil"/>
              <w:left w:val="nil"/>
              <w:bottom w:val="single" w:sz="8" w:space="0" w:color="000000"/>
              <w:right w:val="single" w:sz="8" w:space="0" w:color="000000"/>
            </w:tcBorders>
            <w:vAlign w:val="center"/>
          </w:tcPr>
          <w:p w14:paraId="20C86718"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-12760.35</w:t>
            </w:r>
          </w:p>
        </w:tc>
        <w:tc>
          <w:tcPr>
            <w:tcW w:w="1950" w:type="dxa"/>
            <w:tcBorders>
              <w:top w:val="nil"/>
              <w:left w:val="nil"/>
              <w:bottom w:val="single" w:sz="8" w:space="0" w:color="000000"/>
              <w:right w:val="single" w:sz="8" w:space="0" w:color="000000"/>
            </w:tcBorders>
            <w:vAlign w:val="center"/>
          </w:tcPr>
          <w:p w14:paraId="4327DA56"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-26.46%</w:t>
            </w:r>
          </w:p>
        </w:tc>
      </w:tr>
      <w:tr w:rsidR="00000000" w14:paraId="49B41E2E"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11914BDB"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205</w:t>
            </w:r>
            <w:r>
              <w:rPr>
                <w:rFonts w:ascii="宋体" w:eastAsia="宋体" w:hAnsi="宋体" w:cs="宋体" w:hint="eastAsia"/>
                <w:color w:val="000000"/>
                <w:kern w:val="0"/>
                <w:sz w:val="24"/>
                <w:lang w:bidi="ar"/>
              </w:rPr>
              <w:t>教育支出</w:t>
            </w:r>
          </w:p>
        </w:tc>
        <w:tc>
          <w:tcPr>
            <w:tcW w:w="1950" w:type="dxa"/>
            <w:tcBorders>
              <w:top w:val="nil"/>
              <w:left w:val="nil"/>
              <w:bottom w:val="single" w:sz="8" w:space="0" w:color="000000"/>
              <w:right w:val="single" w:sz="8" w:space="0" w:color="000000"/>
            </w:tcBorders>
            <w:vAlign w:val="center"/>
          </w:tcPr>
          <w:p w14:paraId="0E17CED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2774</w:t>
            </w:r>
            <w:r>
              <w:rPr>
                <w:rFonts w:ascii="宋体" w:eastAsia="宋体" w:hAnsi="宋体" w:cs="宋体" w:hint="eastAsia"/>
                <w:color w:val="000000"/>
                <w:kern w:val="0"/>
                <w:sz w:val="24"/>
                <w:lang w:bidi="ar"/>
              </w:rPr>
              <w:t>9.03</w:t>
            </w:r>
          </w:p>
        </w:tc>
        <w:tc>
          <w:tcPr>
            <w:tcW w:w="1560" w:type="dxa"/>
            <w:tcBorders>
              <w:top w:val="nil"/>
              <w:left w:val="nil"/>
              <w:bottom w:val="single" w:sz="8" w:space="0" w:color="000000"/>
              <w:right w:val="single" w:sz="8" w:space="0" w:color="000000"/>
            </w:tcBorders>
            <w:vAlign w:val="center"/>
          </w:tcPr>
          <w:p w14:paraId="42664C5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42949.63</w:t>
            </w:r>
          </w:p>
        </w:tc>
        <w:tc>
          <w:tcPr>
            <w:tcW w:w="1770" w:type="dxa"/>
            <w:tcBorders>
              <w:top w:val="nil"/>
              <w:left w:val="nil"/>
              <w:bottom w:val="single" w:sz="8" w:space="0" w:color="000000"/>
              <w:right w:val="single" w:sz="8" w:space="0" w:color="000000"/>
            </w:tcBorders>
            <w:vAlign w:val="center"/>
          </w:tcPr>
          <w:p w14:paraId="698AAD32"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15200.6</w:t>
            </w:r>
          </w:p>
        </w:tc>
        <w:tc>
          <w:tcPr>
            <w:tcW w:w="1950" w:type="dxa"/>
            <w:tcBorders>
              <w:top w:val="nil"/>
              <w:left w:val="nil"/>
              <w:bottom w:val="single" w:sz="8" w:space="0" w:color="000000"/>
              <w:right w:val="single" w:sz="8" w:space="0" w:color="000000"/>
            </w:tcBorders>
            <w:vAlign w:val="center"/>
          </w:tcPr>
          <w:p w14:paraId="082334FA"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54.78%</w:t>
            </w:r>
          </w:p>
        </w:tc>
      </w:tr>
      <w:tr w:rsidR="00000000" w14:paraId="14B14E6A"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1DF6AFD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206</w:t>
            </w:r>
            <w:r>
              <w:rPr>
                <w:rFonts w:ascii="宋体" w:eastAsia="宋体" w:hAnsi="宋体" w:cs="宋体" w:hint="eastAsia"/>
                <w:color w:val="000000"/>
                <w:kern w:val="0"/>
                <w:sz w:val="24"/>
                <w:lang w:bidi="ar"/>
              </w:rPr>
              <w:t>科学技术支出</w:t>
            </w:r>
          </w:p>
        </w:tc>
        <w:tc>
          <w:tcPr>
            <w:tcW w:w="1950" w:type="dxa"/>
            <w:tcBorders>
              <w:top w:val="nil"/>
              <w:left w:val="nil"/>
              <w:bottom w:val="single" w:sz="8" w:space="0" w:color="000000"/>
              <w:right w:val="single" w:sz="8" w:space="0" w:color="000000"/>
            </w:tcBorders>
            <w:vAlign w:val="center"/>
          </w:tcPr>
          <w:p w14:paraId="1BC5935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1657.08</w:t>
            </w:r>
          </w:p>
        </w:tc>
        <w:tc>
          <w:tcPr>
            <w:tcW w:w="1560" w:type="dxa"/>
            <w:tcBorders>
              <w:top w:val="nil"/>
              <w:left w:val="nil"/>
              <w:bottom w:val="single" w:sz="8" w:space="0" w:color="000000"/>
              <w:right w:val="single" w:sz="8" w:space="0" w:color="000000"/>
            </w:tcBorders>
            <w:vAlign w:val="center"/>
          </w:tcPr>
          <w:p w14:paraId="05B34E1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1527.82</w:t>
            </w:r>
          </w:p>
        </w:tc>
        <w:tc>
          <w:tcPr>
            <w:tcW w:w="1770" w:type="dxa"/>
            <w:tcBorders>
              <w:top w:val="nil"/>
              <w:left w:val="nil"/>
              <w:bottom w:val="single" w:sz="8" w:space="0" w:color="000000"/>
              <w:right w:val="single" w:sz="8" w:space="0" w:color="000000"/>
            </w:tcBorders>
            <w:vAlign w:val="center"/>
          </w:tcPr>
          <w:p w14:paraId="4AC6E8F9"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-129.26</w:t>
            </w:r>
          </w:p>
        </w:tc>
        <w:tc>
          <w:tcPr>
            <w:tcW w:w="1950" w:type="dxa"/>
            <w:tcBorders>
              <w:top w:val="nil"/>
              <w:left w:val="nil"/>
              <w:bottom w:val="single" w:sz="8" w:space="0" w:color="000000"/>
              <w:right w:val="single" w:sz="8" w:space="0" w:color="000000"/>
            </w:tcBorders>
            <w:vAlign w:val="center"/>
          </w:tcPr>
          <w:p w14:paraId="4BE4698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-7.80%</w:t>
            </w:r>
          </w:p>
        </w:tc>
      </w:tr>
      <w:tr w:rsidR="00000000" w14:paraId="1A1549D8"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711A0156"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207</w:t>
            </w:r>
            <w:r>
              <w:rPr>
                <w:rFonts w:ascii="宋体" w:eastAsia="宋体" w:hAnsi="宋体" w:cs="宋体" w:hint="eastAsia"/>
                <w:color w:val="000000"/>
                <w:kern w:val="0"/>
                <w:sz w:val="24"/>
                <w:lang w:bidi="ar"/>
              </w:rPr>
              <w:t>文化旅游体育与传媒支出</w:t>
            </w:r>
          </w:p>
        </w:tc>
        <w:tc>
          <w:tcPr>
            <w:tcW w:w="1950" w:type="dxa"/>
            <w:tcBorders>
              <w:top w:val="nil"/>
              <w:left w:val="nil"/>
              <w:bottom w:val="single" w:sz="8" w:space="0" w:color="000000"/>
              <w:right w:val="single" w:sz="8" w:space="0" w:color="000000"/>
            </w:tcBorders>
            <w:vAlign w:val="center"/>
          </w:tcPr>
          <w:p w14:paraId="0DB22F5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17652.28</w:t>
            </w:r>
          </w:p>
        </w:tc>
        <w:tc>
          <w:tcPr>
            <w:tcW w:w="1560" w:type="dxa"/>
            <w:tcBorders>
              <w:top w:val="nil"/>
              <w:left w:val="nil"/>
              <w:bottom w:val="single" w:sz="8" w:space="0" w:color="000000"/>
              <w:right w:val="single" w:sz="8" w:space="0" w:color="000000"/>
            </w:tcBorders>
            <w:vAlign w:val="center"/>
          </w:tcPr>
          <w:p w14:paraId="07CFC4A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6092.57</w:t>
            </w:r>
          </w:p>
        </w:tc>
        <w:tc>
          <w:tcPr>
            <w:tcW w:w="1770" w:type="dxa"/>
            <w:tcBorders>
              <w:top w:val="nil"/>
              <w:left w:val="nil"/>
              <w:bottom w:val="single" w:sz="8" w:space="0" w:color="000000"/>
              <w:right w:val="single" w:sz="8" w:space="0" w:color="000000"/>
            </w:tcBorders>
            <w:vAlign w:val="center"/>
          </w:tcPr>
          <w:p w14:paraId="48B7E12E"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-11559.71</w:t>
            </w:r>
          </w:p>
        </w:tc>
        <w:tc>
          <w:tcPr>
            <w:tcW w:w="1950" w:type="dxa"/>
            <w:tcBorders>
              <w:top w:val="nil"/>
              <w:left w:val="nil"/>
              <w:bottom w:val="single" w:sz="8" w:space="0" w:color="000000"/>
              <w:right w:val="single" w:sz="8" w:space="0" w:color="000000"/>
            </w:tcBorders>
            <w:vAlign w:val="center"/>
          </w:tcPr>
          <w:p w14:paraId="5146897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-65.49%</w:t>
            </w:r>
          </w:p>
        </w:tc>
      </w:tr>
      <w:tr w:rsidR="00000000" w14:paraId="29BC76AC"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3DBE973F"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208</w:t>
            </w:r>
            <w:r>
              <w:rPr>
                <w:rFonts w:ascii="宋体" w:eastAsia="宋体" w:hAnsi="宋体" w:cs="宋体" w:hint="eastAsia"/>
                <w:color w:val="000000"/>
                <w:kern w:val="0"/>
                <w:sz w:val="24"/>
                <w:lang w:bidi="ar"/>
              </w:rPr>
              <w:t>社会保障和就业支出</w:t>
            </w:r>
          </w:p>
        </w:tc>
        <w:tc>
          <w:tcPr>
            <w:tcW w:w="1950" w:type="dxa"/>
            <w:tcBorders>
              <w:top w:val="nil"/>
              <w:left w:val="nil"/>
              <w:bottom w:val="single" w:sz="8" w:space="0" w:color="000000"/>
              <w:right w:val="single" w:sz="8" w:space="0" w:color="000000"/>
            </w:tcBorders>
            <w:vAlign w:val="center"/>
          </w:tcPr>
          <w:p w14:paraId="53BD131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53441.04</w:t>
            </w:r>
          </w:p>
        </w:tc>
        <w:tc>
          <w:tcPr>
            <w:tcW w:w="1560" w:type="dxa"/>
            <w:tcBorders>
              <w:top w:val="nil"/>
              <w:left w:val="nil"/>
              <w:bottom w:val="single" w:sz="8" w:space="0" w:color="000000"/>
              <w:right w:val="single" w:sz="8" w:space="0" w:color="000000"/>
            </w:tcBorders>
            <w:vAlign w:val="center"/>
          </w:tcPr>
          <w:p w14:paraId="1791627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51380.72</w:t>
            </w:r>
          </w:p>
        </w:tc>
        <w:tc>
          <w:tcPr>
            <w:tcW w:w="1770" w:type="dxa"/>
            <w:tcBorders>
              <w:top w:val="nil"/>
              <w:left w:val="nil"/>
              <w:bottom w:val="single" w:sz="8" w:space="0" w:color="000000"/>
              <w:right w:val="single" w:sz="8" w:space="0" w:color="000000"/>
            </w:tcBorders>
            <w:vAlign w:val="center"/>
          </w:tcPr>
          <w:p w14:paraId="3F7A7F23"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-2060.32</w:t>
            </w:r>
          </w:p>
        </w:tc>
        <w:tc>
          <w:tcPr>
            <w:tcW w:w="1950" w:type="dxa"/>
            <w:tcBorders>
              <w:top w:val="nil"/>
              <w:left w:val="nil"/>
              <w:bottom w:val="single" w:sz="8" w:space="0" w:color="000000"/>
              <w:right w:val="single" w:sz="8" w:space="0" w:color="000000"/>
            </w:tcBorders>
            <w:vAlign w:val="center"/>
          </w:tcPr>
          <w:p w14:paraId="596C45B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-3.86%</w:t>
            </w:r>
          </w:p>
        </w:tc>
      </w:tr>
      <w:tr w:rsidR="00000000" w14:paraId="7B85BF98"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3E21667F"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210</w:t>
            </w:r>
            <w:r>
              <w:rPr>
                <w:rFonts w:ascii="宋体" w:eastAsia="宋体" w:hAnsi="宋体" w:cs="宋体" w:hint="eastAsia"/>
                <w:color w:val="000000"/>
                <w:kern w:val="0"/>
                <w:sz w:val="24"/>
                <w:lang w:bidi="ar"/>
              </w:rPr>
              <w:t>卫生健康支出</w:t>
            </w:r>
          </w:p>
        </w:tc>
        <w:tc>
          <w:tcPr>
            <w:tcW w:w="1950" w:type="dxa"/>
            <w:tcBorders>
              <w:top w:val="nil"/>
              <w:left w:val="nil"/>
              <w:bottom w:val="single" w:sz="8" w:space="0" w:color="000000"/>
              <w:right w:val="single" w:sz="8" w:space="0" w:color="000000"/>
            </w:tcBorders>
            <w:vAlign w:val="center"/>
          </w:tcPr>
          <w:p w14:paraId="2265F0F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47931.21</w:t>
            </w:r>
          </w:p>
        </w:tc>
        <w:tc>
          <w:tcPr>
            <w:tcW w:w="1560" w:type="dxa"/>
            <w:tcBorders>
              <w:top w:val="nil"/>
              <w:left w:val="nil"/>
              <w:bottom w:val="single" w:sz="8" w:space="0" w:color="000000"/>
              <w:right w:val="single" w:sz="8" w:space="0" w:color="000000"/>
            </w:tcBorders>
            <w:vAlign w:val="center"/>
          </w:tcPr>
          <w:p w14:paraId="3BD979D0"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40769.39</w:t>
            </w:r>
          </w:p>
        </w:tc>
        <w:tc>
          <w:tcPr>
            <w:tcW w:w="1770" w:type="dxa"/>
            <w:tcBorders>
              <w:top w:val="nil"/>
              <w:left w:val="nil"/>
              <w:bottom w:val="single" w:sz="8" w:space="0" w:color="000000"/>
              <w:right w:val="single" w:sz="8" w:space="0" w:color="000000"/>
            </w:tcBorders>
            <w:vAlign w:val="center"/>
          </w:tcPr>
          <w:p w14:paraId="2122EABE"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-7161.82</w:t>
            </w:r>
          </w:p>
        </w:tc>
        <w:tc>
          <w:tcPr>
            <w:tcW w:w="1950" w:type="dxa"/>
            <w:tcBorders>
              <w:top w:val="nil"/>
              <w:left w:val="nil"/>
              <w:bottom w:val="single" w:sz="8" w:space="0" w:color="000000"/>
              <w:right w:val="single" w:sz="8" w:space="0" w:color="000000"/>
            </w:tcBorders>
            <w:vAlign w:val="center"/>
          </w:tcPr>
          <w:p w14:paraId="53944E1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-14.94%</w:t>
            </w:r>
          </w:p>
        </w:tc>
      </w:tr>
      <w:tr w:rsidR="00000000" w14:paraId="4E79168D"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55141D3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211</w:t>
            </w:r>
            <w:r>
              <w:rPr>
                <w:rFonts w:ascii="宋体" w:eastAsia="宋体" w:hAnsi="宋体" w:cs="宋体" w:hint="eastAsia"/>
                <w:color w:val="000000"/>
                <w:kern w:val="0"/>
                <w:sz w:val="24"/>
                <w:lang w:bidi="ar"/>
              </w:rPr>
              <w:t>节能环保支出</w:t>
            </w:r>
          </w:p>
        </w:tc>
        <w:tc>
          <w:tcPr>
            <w:tcW w:w="1950" w:type="dxa"/>
            <w:tcBorders>
              <w:top w:val="nil"/>
              <w:left w:val="nil"/>
              <w:bottom w:val="single" w:sz="8" w:space="0" w:color="000000"/>
              <w:right w:val="single" w:sz="8" w:space="0" w:color="000000"/>
            </w:tcBorders>
            <w:vAlign w:val="center"/>
          </w:tcPr>
          <w:p w14:paraId="7FB259B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12949.95</w:t>
            </w:r>
          </w:p>
        </w:tc>
        <w:tc>
          <w:tcPr>
            <w:tcW w:w="1560" w:type="dxa"/>
            <w:tcBorders>
              <w:top w:val="nil"/>
              <w:left w:val="nil"/>
              <w:bottom w:val="single" w:sz="8" w:space="0" w:color="000000"/>
              <w:right w:val="single" w:sz="8" w:space="0" w:color="000000"/>
            </w:tcBorders>
            <w:vAlign w:val="center"/>
          </w:tcPr>
          <w:p w14:paraId="7829AAC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4435.82</w:t>
            </w:r>
          </w:p>
        </w:tc>
        <w:tc>
          <w:tcPr>
            <w:tcW w:w="1770" w:type="dxa"/>
            <w:tcBorders>
              <w:top w:val="nil"/>
              <w:left w:val="nil"/>
              <w:bottom w:val="single" w:sz="8" w:space="0" w:color="000000"/>
              <w:right w:val="single" w:sz="8" w:space="0" w:color="000000"/>
            </w:tcBorders>
            <w:vAlign w:val="center"/>
          </w:tcPr>
          <w:p w14:paraId="7189B60F"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-8514.13</w:t>
            </w:r>
          </w:p>
        </w:tc>
        <w:tc>
          <w:tcPr>
            <w:tcW w:w="1950" w:type="dxa"/>
            <w:tcBorders>
              <w:top w:val="nil"/>
              <w:left w:val="nil"/>
              <w:bottom w:val="single" w:sz="8" w:space="0" w:color="000000"/>
              <w:right w:val="single" w:sz="8" w:space="0" w:color="000000"/>
            </w:tcBorders>
            <w:vAlign w:val="center"/>
          </w:tcPr>
          <w:p w14:paraId="4B1A63F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-65</w:t>
            </w:r>
            <w:r>
              <w:rPr>
                <w:rFonts w:ascii="宋体" w:eastAsia="宋体" w:hAnsi="宋体" w:cs="宋体" w:hint="eastAsia"/>
                <w:color w:val="000000"/>
                <w:kern w:val="0"/>
                <w:sz w:val="24"/>
                <w:lang w:bidi="ar"/>
              </w:rPr>
              <w:t>.75%</w:t>
            </w:r>
          </w:p>
        </w:tc>
      </w:tr>
      <w:tr w:rsidR="00000000" w14:paraId="54BCC2AC"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1662FEAF"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212</w:t>
            </w:r>
            <w:r>
              <w:rPr>
                <w:rFonts w:ascii="宋体" w:eastAsia="宋体" w:hAnsi="宋体" w:cs="宋体" w:hint="eastAsia"/>
                <w:color w:val="000000"/>
                <w:kern w:val="0"/>
                <w:sz w:val="24"/>
                <w:lang w:bidi="ar"/>
              </w:rPr>
              <w:t>城乡社区支出</w:t>
            </w:r>
          </w:p>
        </w:tc>
        <w:tc>
          <w:tcPr>
            <w:tcW w:w="1950" w:type="dxa"/>
            <w:tcBorders>
              <w:top w:val="nil"/>
              <w:left w:val="nil"/>
              <w:bottom w:val="single" w:sz="8" w:space="0" w:color="000000"/>
              <w:right w:val="single" w:sz="8" w:space="0" w:color="000000"/>
            </w:tcBorders>
            <w:vAlign w:val="center"/>
          </w:tcPr>
          <w:p w14:paraId="6ED142C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91856.6</w:t>
            </w:r>
          </w:p>
        </w:tc>
        <w:tc>
          <w:tcPr>
            <w:tcW w:w="1560" w:type="dxa"/>
            <w:tcBorders>
              <w:top w:val="nil"/>
              <w:left w:val="nil"/>
              <w:bottom w:val="single" w:sz="8" w:space="0" w:color="000000"/>
              <w:right w:val="single" w:sz="8" w:space="0" w:color="000000"/>
            </w:tcBorders>
            <w:vAlign w:val="center"/>
          </w:tcPr>
          <w:p w14:paraId="6CFBF03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81808.93</w:t>
            </w:r>
          </w:p>
        </w:tc>
        <w:tc>
          <w:tcPr>
            <w:tcW w:w="1770" w:type="dxa"/>
            <w:tcBorders>
              <w:top w:val="nil"/>
              <w:left w:val="nil"/>
              <w:bottom w:val="single" w:sz="8" w:space="0" w:color="000000"/>
              <w:right w:val="single" w:sz="8" w:space="0" w:color="000000"/>
            </w:tcBorders>
            <w:vAlign w:val="center"/>
          </w:tcPr>
          <w:p w14:paraId="183C181F"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-10047.67</w:t>
            </w:r>
          </w:p>
        </w:tc>
        <w:tc>
          <w:tcPr>
            <w:tcW w:w="1950" w:type="dxa"/>
            <w:tcBorders>
              <w:top w:val="nil"/>
              <w:left w:val="nil"/>
              <w:bottom w:val="single" w:sz="8" w:space="0" w:color="000000"/>
              <w:right w:val="single" w:sz="8" w:space="0" w:color="000000"/>
            </w:tcBorders>
            <w:vAlign w:val="center"/>
          </w:tcPr>
          <w:p w14:paraId="54762D8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-10.94%</w:t>
            </w:r>
          </w:p>
        </w:tc>
      </w:tr>
      <w:tr w:rsidR="00000000" w14:paraId="71CD4261"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6885104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213</w:t>
            </w:r>
            <w:r>
              <w:rPr>
                <w:rFonts w:ascii="宋体" w:eastAsia="宋体" w:hAnsi="宋体" w:cs="宋体" w:hint="eastAsia"/>
                <w:color w:val="000000"/>
                <w:kern w:val="0"/>
                <w:sz w:val="24"/>
                <w:lang w:bidi="ar"/>
              </w:rPr>
              <w:t>农林水支出</w:t>
            </w:r>
          </w:p>
        </w:tc>
        <w:tc>
          <w:tcPr>
            <w:tcW w:w="1950" w:type="dxa"/>
            <w:tcBorders>
              <w:top w:val="nil"/>
              <w:left w:val="nil"/>
              <w:bottom w:val="single" w:sz="8" w:space="0" w:color="000000"/>
              <w:right w:val="single" w:sz="8" w:space="0" w:color="000000"/>
            </w:tcBorders>
            <w:vAlign w:val="center"/>
          </w:tcPr>
          <w:p w14:paraId="53CE852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95013.53</w:t>
            </w:r>
          </w:p>
        </w:tc>
        <w:tc>
          <w:tcPr>
            <w:tcW w:w="1560" w:type="dxa"/>
            <w:tcBorders>
              <w:top w:val="nil"/>
              <w:left w:val="nil"/>
              <w:bottom w:val="single" w:sz="8" w:space="0" w:color="000000"/>
              <w:right w:val="single" w:sz="8" w:space="0" w:color="000000"/>
            </w:tcBorders>
            <w:vAlign w:val="center"/>
          </w:tcPr>
          <w:p w14:paraId="34D711B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89615.31</w:t>
            </w:r>
          </w:p>
        </w:tc>
        <w:tc>
          <w:tcPr>
            <w:tcW w:w="1770" w:type="dxa"/>
            <w:tcBorders>
              <w:top w:val="nil"/>
              <w:left w:val="nil"/>
              <w:bottom w:val="single" w:sz="8" w:space="0" w:color="000000"/>
              <w:right w:val="single" w:sz="8" w:space="0" w:color="000000"/>
            </w:tcBorders>
            <w:vAlign w:val="center"/>
          </w:tcPr>
          <w:p w14:paraId="39CE9C0D"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-5398.22</w:t>
            </w:r>
          </w:p>
        </w:tc>
        <w:tc>
          <w:tcPr>
            <w:tcW w:w="1950" w:type="dxa"/>
            <w:tcBorders>
              <w:top w:val="nil"/>
              <w:left w:val="nil"/>
              <w:bottom w:val="single" w:sz="8" w:space="0" w:color="000000"/>
              <w:right w:val="single" w:sz="8" w:space="0" w:color="000000"/>
            </w:tcBorders>
            <w:vAlign w:val="center"/>
          </w:tcPr>
          <w:p w14:paraId="4645760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-5.68%</w:t>
            </w:r>
          </w:p>
        </w:tc>
      </w:tr>
      <w:tr w:rsidR="00000000" w14:paraId="74664112"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6A7875A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lastRenderedPageBreak/>
              <w:t>214</w:t>
            </w:r>
            <w:r>
              <w:rPr>
                <w:rFonts w:ascii="宋体" w:eastAsia="宋体" w:hAnsi="宋体" w:cs="宋体" w:hint="eastAsia"/>
                <w:color w:val="000000"/>
                <w:kern w:val="0"/>
                <w:sz w:val="24"/>
                <w:lang w:bidi="ar"/>
              </w:rPr>
              <w:t>交通运输支出</w:t>
            </w:r>
          </w:p>
        </w:tc>
        <w:tc>
          <w:tcPr>
            <w:tcW w:w="1950" w:type="dxa"/>
            <w:tcBorders>
              <w:top w:val="nil"/>
              <w:left w:val="nil"/>
              <w:bottom w:val="single" w:sz="8" w:space="0" w:color="000000"/>
              <w:right w:val="single" w:sz="8" w:space="0" w:color="000000"/>
            </w:tcBorders>
            <w:vAlign w:val="center"/>
          </w:tcPr>
          <w:p w14:paraId="2A466F9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25900.31</w:t>
            </w:r>
          </w:p>
        </w:tc>
        <w:tc>
          <w:tcPr>
            <w:tcW w:w="1560" w:type="dxa"/>
            <w:tcBorders>
              <w:top w:val="nil"/>
              <w:left w:val="nil"/>
              <w:bottom w:val="single" w:sz="8" w:space="0" w:color="000000"/>
              <w:right w:val="single" w:sz="8" w:space="0" w:color="000000"/>
            </w:tcBorders>
            <w:vAlign w:val="center"/>
          </w:tcPr>
          <w:p w14:paraId="6B33F195"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29740.06</w:t>
            </w:r>
          </w:p>
        </w:tc>
        <w:tc>
          <w:tcPr>
            <w:tcW w:w="1770" w:type="dxa"/>
            <w:tcBorders>
              <w:top w:val="nil"/>
              <w:left w:val="nil"/>
              <w:bottom w:val="single" w:sz="8" w:space="0" w:color="000000"/>
              <w:right w:val="single" w:sz="8" w:space="0" w:color="000000"/>
            </w:tcBorders>
            <w:vAlign w:val="center"/>
          </w:tcPr>
          <w:p w14:paraId="42C7D964"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3839.75</w:t>
            </w:r>
          </w:p>
        </w:tc>
        <w:tc>
          <w:tcPr>
            <w:tcW w:w="1950" w:type="dxa"/>
            <w:tcBorders>
              <w:top w:val="nil"/>
              <w:left w:val="nil"/>
              <w:bottom w:val="single" w:sz="8" w:space="0" w:color="000000"/>
              <w:right w:val="single" w:sz="8" w:space="0" w:color="000000"/>
            </w:tcBorders>
            <w:vAlign w:val="center"/>
          </w:tcPr>
          <w:p w14:paraId="07EB995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14.83%</w:t>
            </w:r>
          </w:p>
        </w:tc>
      </w:tr>
      <w:tr w:rsidR="00000000" w14:paraId="70A5909A"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11DB3EA9"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215</w:t>
            </w:r>
            <w:r>
              <w:rPr>
                <w:rFonts w:ascii="宋体" w:eastAsia="宋体" w:hAnsi="宋体" w:cs="宋体" w:hint="eastAsia"/>
                <w:color w:val="000000"/>
                <w:kern w:val="0"/>
                <w:sz w:val="24"/>
                <w:lang w:bidi="ar"/>
              </w:rPr>
              <w:t>资源勘探工业信息等支出</w:t>
            </w:r>
          </w:p>
        </w:tc>
        <w:tc>
          <w:tcPr>
            <w:tcW w:w="1950" w:type="dxa"/>
            <w:tcBorders>
              <w:top w:val="nil"/>
              <w:left w:val="nil"/>
              <w:bottom w:val="single" w:sz="8" w:space="0" w:color="000000"/>
              <w:right w:val="single" w:sz="8" w:space="0" w:color="000000"/>
            </w:tcBorders>
            <w:vAlign w:val="center"/>
          </w:tcPr>
          <w:p w14:paraId="22FF9B4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1728.67</w:t>
            </w:r>
          </w:p>
        </w:tc>
        <w:tc>
          <w:tcPr>
            <w:tcW w:w="1560" w:type="dxa"/>
            <w:tcBorders>
              <w:top w:val="nil"/>
              <w:left w:val="nil"/>
              <w:bottom w:val="single" w:sz="8" w:space="0" w:color="000000"/>
              <w:right w:val="single" w:sz="8" w:space="0" w:color="000000"/>
            </w:tcBorders>
            <w:vAlign w:val="center"/>
          </w:tcPr>
          <w:p w14:paraId="42F3FFDA"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108.69</w:t>
            </w:r>
          </w:p>
        </w:tc>
        <w:tc>
          <w:tcPr>
            <w:tcW w:w="1770" w:type="dxa"/>
            <w:tcBorders>
              <w:top w:val="nil"/>
              <w:left w:val="nil"/>
              <w:bottom w:val="single" w:sz="8" w:space="0" w:color="000000"/>
              <w:right w:val="single" w:sz="8" w:space="0" w:color="000000"/>
            </w:tcBorders>
            <w:vAlign w:val="center"/>
          </w:tcPr>
          <w:p w14:paraId="25AB35F9"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-1619.98</w:t>
            </w:r>
          </w:p>
        </w:tc>
        <w:tc>
          <w:tcPr>
            <w:tcW w:w="1950" w:type="dxa"/>
            <w:tcBorders>
              <w:top w:val="nil"/>
              <w:left w:val="nil"/>
              <w:bottom w:val="single" w:sz="8" w:space="0" w:color="000000"/>
              <w:right w:val="single" w:sz="8" w:space="0" w:color="000000"/>
            </w:tcBorders>
            <w:vAlign w:val="center"/>
          </w:tcPr>
          <w:p w14:paraId="34425AE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-93.71%</w:t>
            </w:r>
          </w:p>
        </w:tc>
      </w:tr>
      <w:tr w:rsidR="00000000" w14:paraId="27E50300"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1AA9517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216</w:t>
            </w:r>
            <w:r>
              <w:rPr>
                <w:rFonts w:ascii="宋体" w:eastAsia="宋体" w:hAnsi="宋体" w:cs="宋体" w:hint="eastAsia"/>
                <w:color w:val="000000"/>
                <w:kern w:val="0"/>
                <w:sz w:val="24"/>
                <w:lang w:bidi="ar"/>
              </w:rPr>
              <w:t>商业服务业等支出</w:t>
            </w:r>
          </w:p>
        </w:tc>
        <w:tc>
          <w:tcPr>
            <w:tcW w:w="1950" w:type="dxa"/>
            <w:tcBorders>
              <w:top w:val="nil"/>
              <w:left w:val="nil"/>
              <w:bottom w:val="single" w:sz="8" w:space="0" w:color="000000"/>
              <w:right w:val="single" w:sz="8" w:space="0" w:color="000000"/>
            </w:tcBorders>
            <w:vAlign w:val="center"/>
          </w:tcPr>
          <w:p w14:paraId="6CA817D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4883.5</w:t>
            </w:r>
          </w:p>
        </w:tc>
        <w:tc>
          <w:tcPr>
            <w:tcW w:w="1560" w:type="dxa"/>
            <w:tcBorders>
              <w:top w:val="nil"/>
              <w:left w:val="nil"/>
              <w:bottom w:val="single" w:sz="8" w:space="0" w:color="000000"/>
              <w:right w:val="single" w:sz="8" w:space="0" w:color="000000"/>
            </w:tcBorders>
            <w:vAlign w:val="center"/>
          </w:tcPr>
          <w:p w14:paraId="07A6FDA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3143.83</w:t>
            </w:r>
          </w:p>
        </w:tc>
        <w:tc>
          <w:tcPr>
            <w:tcW w:w="1770" w:type="dxa"/>
            <w:tcBorders>
              <w:top w:val="nil"/>
              <w:left w:val="nil"/>
              <w:bottom w:val="single" w:sz="8" w:space="0" w:color="000000"/>
              <w:right w:val="single" w:sz="8" w:space="0" w:color="000000"/>
            </w:tcBorders>
            <w:vAlign w:val="center"/>
          </w:tcPr>
          <w:p w14:paraId="2C5EB1C9"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-1739.67</w:t>
            </w:r>
          </w:p>
        </w:tc>
        <w:tc>
          <w:tcPr>
            <w:tcW w:w="1950" w:type="dxa"/>
            <w:tcBorders>
              <w:top w:val="nil"/>
              <w:left w:val="nil"/>
              <w:bottom w:val="single" w:sz="8" w:space="0" w:color="000000"/>
              <w:right w:val="single" w:sz="8" w:space="0" w:color="000000"/>
            </w:tcBorders>
            <w:vAlign w:val="center"/>
          </w:tcPr>
          <w:p w14:paraId="47D740F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-35.62%</w:t>
            </w:r>
          </w:p>
        </w:tc>
      </w:tr>
      <w:tr w:rsidR="00000000" w14:paraId="24BC982E"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17B0EFB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217</w:t>
            </w:r>
            <w:r>
              <w:rPr>
                <w:rFonts w:ascii="宋体" w:eastAsia="宋体" w:hAnsi="宋体" w:cs="宋体" w:hint="eastAsia"/>
                <w:color w:val="000000"/>
                <w:kern w:val="0"/>
                <w:sz w:val="24"/>
                <w:lang w:bidi="ar"/>
              </w:rPr>
              <w:t>金融支出</w:t>
            </w:r>
          </w:p>
        </w:tc>
        <w:tc>
          <w:tcPr>
            <w:tcW w:w="1950" w:type="dxa"/>
            <w:tcBorders>
              <w:top w:val="nil"/>
              <w:left w:val="nil"/>
              <w:bottom w:val="single" w:sz="8" w:space="0" w:color="000000"/>
              <w:right w:val="single" w:sz="8" w:space="0" w:color="000000"/>
            </w:tcBorders>
            <w:vAlign w:val="center"/>
          </w:tcPr>
          <w:p w14:paraId="79E91BB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w:t>
            </w:r>
          </w:p>
        </w:tc>
        <w:tc>
          <w:tcPr>
            <w:tcW w:w="1560" w:type="dxa"/>
            <w:tcBorders>
              <w:top w:val="nil"/>
              <w:left w:val="nil"/>
              <w:bottom w:val="single" w:sz="8" w:space="0" w:color="000000"/>
              <w:right w:val="single" w:sz="8" w:space="0" w:color="000000"/>
            </w:tcBorders>
            <w:vAlign w:val="center"/>
          </w:tcPr>
          <w:p w14:paraId="7ED92C5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2.5</w:t>
            </w:r>
          </w:p>
        </w:tc>
        <w:tc>
          <w:tcPr>
            <w:tcW w:w="1770" w:type="dxa"/>
            <w:tcBorders>
              <w:top w:val="nil"/>
              <w:left w:val="nil"/>
              <w:bottom w:val="single" w:sz="8" w:space="0" w:color="000000"/>
              <w:right w:val="single" w:sz="8" w:space="0" w:color="000000"/>
            </w:tcBorders>
            <w:vAlign w:val="center"/>
          </w:tcPr>
          <w:p w14:paraId="6C8634E8"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1.5</w:t>
            </w:r>
          </w:p>
        </w:tc>
        <w:tc>
          <w:tcPr>
            <w:tcW w:w="1950" w:type="dxa"/>
            <w:tcBorders>
              <w:top w:val="nil"/>
              <w:left w:val="nil"/>
              <w:bottom w:val="single" w:sz="8" w:space="0" w:color="000000"/>
              <w:right w:val="single" w:sz="8" w:space="0" w:color="000000"/>
            </w:tcBorders>
            <w:vAlign w:val="center"/>
          </w:tcPr>
          <w:p w14:paraId="73A8908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150.0</w:t>
            </w:r>
            <w:r>
              <w:rPr>
                <w:rFonts w:ascii="宋体" w:eastAsia="宋体" w:hAnsi="宋体" w:cs="宋体" w:hint="eastAsia"/>
                <w:color w:val="000000"/>
                <w:kern w:val="0"/>
                <w:sz w:val="24"/>
                <w:lang w:bidi="ar"/>
              </w:rPr>
              <w:t>0%</w:t>
            </w:r>
          </w:p>
        </w:tc>
      </w:tr>
      <w:tr w:rsidR="00000000" w14:paraId="73457F64"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7226E52A"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220</w:t>
            </w:r>
            <w:r>
              <w:rPr>
                <w:rFonts w:ascii="宋体" w:eastAsia="宋体" w:hAnsi="宋体" w:cs="宋体" w:hint="eastAsia"/>
                <w:color w:val="000000"/>
                <w:kern w:val="0"/>
                <w:sz w:val="24"/>
                <w:lang w:bidi="ar"/>
              </w:rPr>
              <w:t>自然资源海洋气象等支出</w:t>
            </w:r>
          </w:p>
        </w:tc>
        <w:tc>
          <w:tcPr>
            <w:tcW w:w="1950" w:type="dxa"/>
            <w:tcBorders>
              <w:top w:val="nil"/>
              <w:left w:val="nil"/>
              <w:bottom w:val="single" w:sz="8" w:space="0" w:color="000000"/>
              <w:right w:val="single" w:sz="8" w:space="0" w:color="000000"/>
            </w:tcBorders>
            <w:vAlign w:val="center"/>
          </w:tcPr>
          <w:p w14:paraId="59326EE6"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1847.82</w:t>
            </w:r>
          </w:p>
        </w:tc>
        <w:tc>
          <w:tcPr>
            <w:tcW w:w="1560" w:type="dxa"/>
            <w:tcBorders>
              <w:top w:val="nil"/>
              <w:left w:val="nil"/>
              <w:bottom w:val="single" w:sz="8" w:space="0" w:color="000000"/>
              <w:right w:val="single" w:sz="8" w:space="0" w:color="000000"/>
            </w:tcBorders>
            <w:vAlign w:val="center"/>
          </w:tcPr>
          <w:p w14:paraId="7ED5441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1128.82</w:t>
            </w:r>
          </w:p>
        </w:tc>
        <w:tc>
          <w:tcPr>
            <w:tcW w:w="1770" w:type="dxa"/>
            <w:tcBorders>
              <w:top w:val="nil"/>
              <w:left w:val="nil"/>
              <w:bottom w:val="single" w:sz="8" w:space="0" w:color="000000"/>
              <w:right w:val="single" w:sz="8" w:space="0" w:color="000000"/>
            </w:tcBorders>
            <w:vAlign w:val="center"/>
          </w:tcPr>
          <w:p w14:paraId="56A2450D"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-719</w:t>
            </w:r>
          </w:p>
        </w:tc>
        <w:tc>
          <w:tcPr>
            <w:tcW w:w="1950" w:type="dxa"/>
            <w:tcBorders>
              <w:top w:val="nil"/>
              <w:left w:val="nil"/>
              <w:bottom w:val="single" w:sz="8" w:space="0" w:color="000000"/>
              <w:right w:val="single" w:sz="8" w:space="0" w:color="000000"/>
            </w:tcBorders>
            <w:vAlign w:val="center"/>
          </w:tcPr>
          <w:p w14:paraId="2A3FF92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-38.91%</w:t>
            </w:r>
          </w:p>
        </w:tc>
      </w:tr>
      <w:tr w:rsidR="00000000" w14:paraId="4BB6354A"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4C350AB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221</w:t>
            </w:r>
            <w:r>
              <w:rPr>
                <w:rFonts w:ascii="宋体" w:eastAsia="宋体" w:hAnsi="宋体" w:cs="宋体" w:hint="eastAsia"/>
                <w:color w:val="000000"/>
                <w:kern w:val="0"/>
                <w:sz w:val="24"/>
                <w:lang w:bidi="ar"/>
              </w:rPr>
              <w:t>住房保障支出</w:t>
            </w:r>
          </w:p>
        </w:tc>
        <w:tc>
          <w:tcPr>
            <w:tcW w:w="1950" w:type="dxa"/>
            <w:tcBorders>
              <w:top w:val="nil"/>
              <w:left w:val="nil"/>
              <w:bottom w:val="single" w:sz="8" w:space="0" w:color="000000"/>
              <w:right w:val="single" w:sz="8" w:space="0" w:color="000000"/>
            </w:tcBorders>
            <w:vAlign w:val="center"/>
          </w:tcPr>
          <w:p w14:paraId="29E85A1B"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7708.85</w:t>
            </w:r>
          </w:p>
        </w:tc>
        <w:tc>
          <w:tcPr>
            <w:tcW w:w="1560" w:type="dxa"/>
            <w:tcBorders>
              <w:top w:val="nil"/>
              <w:left w:val="nil"/>
              <w:bottom w:val="single" w:sz="8" w:space="0" w:color="000000"/>
              <w:right w:val="single" w:sz="8" w:space="0" w:color="000000"/>
            </w:tcBorders>
            <w:vAlign w:val="center"/>
          </w:tcPr>
          <w:p w14:paraId="51D598E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11790.29</w:t>
            </w:r>
          </w:p>
        </w:tc>
        <w:tc>
          <w:tcPr>
            <w:tcW w:w="1770" w:type="dxa"/>
            <w:tcBorders>
              <w:top w:val="nil"/>
              <w:left w:val="nil"/>
              <w:bottom w:val="single" w:sz="8" w:space="0" w:color="000000"/>
              <w:right w:val="single" w:sz="8" w:space="0" w:color="000000"/>
            </w:tcBorders>
            <w:vAlign w:val="center"/>
          </w:tcPr>
          <w:p w14:paraId="0A586AC8"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4081.44</w:t>
            </w:r>
          </w:p>
        </w:tc>
        <w:tc>
          <w:tcPr>
            <w:tcW w:w="1950" w:type="dxa"/>
            <w:tcBorders>
              <w:top w:val="nil"/>
              <w:left w:val="nil"/>
              <w:bottom w:val="single" w:sz="8" w:space="0" w:color="000000"/>
              <w:right w:val="single" w:sz="8" w:space="0" w:color="000000"/>
            </w:tcBorders>
            <w:vAlign w:val="center"/>
          </w:tcPr>
          <w:p w14:paraId="7D053459"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52.94%</w:t>
            </w:r>
          </w:p>
        </w:tc>
      </w:tr>
      <w:tr w:rsidR="00000000" w14:paraId="59874004"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2827349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222</w:t>
            </w:r>
            <w:r>
              <w:rPr>
                <w:rFonts w:ascii="宋体" w:eastAsia="宋体" w:hAnsi="宋体" w:cs="宋体" w:hint="eastAsia"/>
                <w:color w:val="000000"/>
                <w:kern w:val="0"/>
                <w:sz w:val="24"/>
                <w:lang w:bidi="ar"/>
              </w:rPr>
              <w:t>粮油物资储备支出</w:t>
            </w:r>
          </w:p>
        </w:tc>
        <w:tc>
          <w:tcPr>
            <w:tcW w:w="1950" w:type="dxa"/>
            <w:tcBorders>
              <w:top w:val="nil"/>
              <w:left w:val="nil"/>
              <w:bottom w:val="single" w:sz="8" w:space="0" w:color="000000"/>
              <w:right w:val="single" w:sz="8" w:space="0" w:color="000000"/>
            </w:tcBorders>
            <w:vAlign w:val="center"/>
          </w:tcPr>
          <w:p w14:paraId="031892F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7755.34</w:t>
            </w:r>
          </w:p>
        </w:tc>
        <w:tc>
          <w:tcPr>
            <w:tcW w:w="1560" w:type="dxa"/>
            <w:tcBorders>
              <w:top w:val="nil"/>
              <w:left w:val="nil"/>
              <w:bottom w:val="single" w:sz="8" w:space="0" w:color="000000"/>
              <w:right w:val="single" w:sz="8" w:space="0" w:color="000000"/>
            </w:tcBorders>
            <w:vAlign w:val="center"/>
          </w:tcPr>
          <w:p w14:paraId="60CAE3F9"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3521.18</w:t>
            </w:r>
          </w:p>
        </w:tc>
        <w:tc>
          <w:tcPr>
            <w:tcW w:w="1770" w:type="dxa"/>
            <w:tcBorders>
              <w:top w:val="nil"/>
              <w:left w:val="nil"/>
              <w:bottom w:val="single" w:sz="8" w:space="0" w:color="000000"/>
              <w:right w:val="single" w:sz="8" w:space="0" w:color="000000"/>
            </w:tcBorders>
            <w:vAlign w:val="center"/>
          </w:tcPr>
          <w:p w14:paraId="6298A3EB"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-4234.16</w:t>
            </w:r>
          </w:p>
        </w:tc>
        <w:tc>
          <w:tcPr>
            <w:tcW w:w="1950" w:type="dxa"/>
            <w:tcBorders>
              <w:top w:val="nil"/>
              <w:left w:val="nil"/>
              <w:bottom w:val="single" w:sz="8" w:space="0" w:color="000000"/>
              <w:right w:val="single" w:sz="8" w:space="0" w:color="000000"/>
            </w:tcBorders>
            <w:vAlign w:val="center"/>
          </w:tcPr>
          <w:p w14:paraId="14D564C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-54.60%</w:t>
            </w:r>
          </w:p>
        </w:tc>
      </w:tr>
      <w:tr w:rsidR="00000000" w14:paraId="580C2B00"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34AFB59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223</w:t>
            </w:r>
            <w:r>
              <w:rPr>
                <w:rFonts w:ascii="宋体" w:eastAsia="宋体" w:hAnsi="宋体" w:cs="宋体" w:hint="eastAsia"/>
                <w:color w:val="000000"/>
                <w:kern w:val="0"/>
                <w:sz w:val="24"/>
                <w:lang w:bidi="ar"/>
              </w:rPr>
              <w:t>国有资本经营预算支出</w:t>
            </w:r>
          </w:p>
        </w:tc>
        <w:tc>
          <w:tcPr>
            <w:tcW w:w="1950" w:type="dxa"/>
            <w:tcBorders>
              <w:top w:val="nil"/>
              <w:left w:val="nil"/>
              <w:bottom w:val="single" w:sz="8" w:space="0" w:color="000000"/>
              <w:right w:val="single" w:sz="8" w:space="0" w:color="000000"/>
            </w:tcBorders>
            <w:vAlign w:val="center"/>
          </w:tcPr>
          <w:p w14:paraId="53D731E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23</w:t>
            </w:r>
          </w:p>
        </w:tc>
        <w:tc>
          <w:tcPr>
            <w:tcW w:w="1560" w:type="dxa"/>
            <w:tcBorders>
              <w:top w:val="nil"/>
              <w:left w:val="nil"/>
              <w:bottom w:val="single" w:sz="8" w:space="0" w:color="000000"/>
              <w:right w:val="single" w:sz="8" w:space="0" w:color="000000"/>
            </w:tcBorders>
            <w:vAlign w:val="center"/>
          </w:tcPr>
          <w:p w14:paraId="01A28460"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14499.57</w:t>
            </w:r>
          </w:p>
        </w:tc>
        <w:tc>
          <w:tcPr>
            <w:tcW w:w="1770" w:type="dxa"/>
            <w:tcBorders>
              <w:top w:val="nil"/>
              <w:left w:val="nil"/>
              <w:bottom w:val="single" w:sz="8" w:space="0" w:color="000000"/>
              <w:right w:val="single" w:sz="8" w:space="0" w:color="000000"/>
            </w:tcBorders>
            <w:vAlign w:val="center"/>
          </w:tcPr>
          <w:p w14:paraId="52BD0A5A"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14476.57</w:t>
            </w:r>
          </w:p>
        </w:tc>
        <w:tc>
          <w:tcPr>
            <w:tcW w:w="1950" w:type="dxa"/>
            <w:tcBorders>
              <w:top w:val="nil"/>
              <w:left w:val="nil"/>
              <w:bottom w:val="single" w:sz="8" w:space="0" w:color="000000"/>
              <w:right w:val="single" w:sz="8" w:space="0" w:color="000000"/>
            </w:tcBorders>
            <w:vAlign w:val="center"/>
          </w:tcPr>
          <w:p w14:paraId="3942F05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62941.61%</w:t>
            </w:r>
          </w:p>
        </w:tc>
      </w:tr>
      <w:tr w:rsidR="00000000" w14:paraId="065B0EA9"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65DA8B9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224</w:t>
            </w:r>
            <w:r>
              <w:rPr>
                <w:rFonts w:ascii="宋体" w:eastAsia="宋体" w:hAnsi="宋体" w:cs="宋体" w:hint="eastAsia"/>
                <w:color w:val="000000"/>
                <w:kern w:val="0"/>
                <w:sz w:val="24"/>
                <w:lang w:bidi="ar"/>
              </w:rPr>
              <w:t>灾害防治及应急管理支出</w:t>
            </w:r>
          </w:p>
        </w:tc>
        <w:tc>
          <w:tcPr>
            <w:tcW w:w="1950" w:type="dxa"/>
            <w:tcBorders>
              <w:top w:val="nil"/>
              <w:left w:val="nil"/>
              <w:bottom w:val="single" w:sz="8" w:space="0" w:color="000000"/>
              <w:right w:val="single" w:sz="8" w:space="0" w:color="000000"/>
            </w:tcBorders>
            <w:vAlign w:val="center"/>
          </w:tcPr>
          <w:p w14:paraId="0C29417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980.27</w:t>
            </w:r>
          </w:p>
        </w:tc>
        <w:tc>
          <w:tcPr>
            <w:tcW w:w="1560" w:type="dxa"/>
            <w:tcBorders>
              <w:top w:val="nil"/>
              <w:left w:val="nil"/>
              <w:bottom w:val="single" w:sz="8" w:space="0" w:color="000000"/>
              <w:right w:val="single" w:sz="8" w:space="0" w:color="000000"/>
            </w:tcBorders>
            <w:vAlign w:val="center"/>
          </w:tcPr>
          <w:p w14:paraId="25C0915A"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1223.64</w:t>
            </w:r>
          </w:p>
        </w:tc>
        <w:tc>
          <w:tcPr>
            <w:tcW w:w="1770" w:type="dxa"/>
            <w:tcBorders>
              <w:top w:val="nil"/>
              <w:left w:val="nil"/>
              <w:bottom w:val="single" w:sz="8" w:space="0" w:color="000000"/>
              <w:right w:val="single" w:sz="8" w:space="0" w:color="000000"/>
            </w:tcBorders>
            <w:vAlign w:val="center"/>
          </w:tcPr>
          <w:p w14:paraId="6794E27D"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243.37</w:t>
            </w:r>
          </w:p>
        </w:tc>
        <w:tc>
          <w:tcPr>
            <w:tcW w:w="1950" w:type="dxa"/>
            <w:tcBorders>
              <w:top w:val="nil"/>
              <w:left w:val="nil"/>
              <w:bottom w:val="single" w:sz="8" w:space="0" w:color="000000"/>
              <w:right w:val="single" w:sz="8" w:space="0" w:color="000000"/>
            </w:tcBorders>
            <w:vAlign w:val="center"/>
          </w:tcPr>
          <w:p w14:paraId="55C1C979"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24.83%</w:t>
            </w:r>
          </w:p>
        </w:tc>
      </w:tr>
      <w:tr w:rsidR="00000000" w14:paraId="2DEF5926" w14:textId="77777777">
        <w:trPr>
          <w:trHeight w:val="760"/>
        </w:trPr>
        <w:tc>
          <w:tcPr>
            <w:tcW w:w="2867" w:type="dxa"/>
            <w:tcBorders>
              <w:top w:val="nil"/>
              <w:left w:val="single" w:sz="8" w:space="0" w:color="000000"/>
              <w:bottom w:val="single" w:sz="8" w:space="0" w:color="000000"/>
              <w:right w:val="single" w:sz="8" w:space="0" w:color="000000"/>
            </w:tcBorders>
            <w:vAlign w:val="center"/>
          </w:tcPr>
          <w:p w14:paraId="6E4E2BDA"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229</w:t>
            </w:r>
            <w:r>
              <w:rPr>
                <w:rFonts w:ascii="宋体" w:eastAsia="宋体" w:hAnsi="宋体" w:cs="宋体" w:hint="eastAsia"/>
                <w:color w:val="000000"/>
                <w:kern w:val="0"/>
                <w:sz w:val="24"/>
                <w:lang w:bidi="ar"/>
              </w:rPr>
              <w:t>其他支出</w:t>
            </w:r>
          </w:p>
        </w:tc>
        <w:tc>
          <w:tcPr>
            <w:tcW w:w="1950" w:type="dxa"/>
            <w:tcBorders>
              <w:top w:val="nil"/>
              <w:left w:val="nil"/>
              <w:bottom w:val="single" w:sz="8" w:space="0" w:color="000000"/>
              <w:right w:val="single" w:sz="8" w:space="0" w:color="000000"/>
            </w:tcBorders>
            <w:vAlign w:val="center"/>
          </w:tcPr>
          <w:p w14:paraId="47F54ED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18720.82</w:t>
            </w:r>
          </w:p>
        </w:tc>
        <w:tc>
          <w:tcPr>
            <w:tcW w:w="1560" w:type="dxa"/>
            <w:tcBorders>
              <w:top w:val="nil"/>
              <w:left w:val="nil"/>
              <w:bottom w:val="single" w:sz="8" w:space="0" w:color="000000"/>
              <w:right w:val="single" w:sz="8" w:space="0" w:color="000000"/>
            </w:tcBorders>
            <w:vAlign w:val="center"/>
          </w:tcPr>
          <w:p w14:paraId="28DD953F"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21930.4</w:t>
            </w:r>
          </w:p>
        </w:tc>
        <w:tc>
          <w:tcPr>
            <w:tcW w:w="1770" w:type="dxa"/>
            <w:tcBorders>
              <w:top w:val="nil"/>
              <w:left w:val="nil"/>
              <w:bottom w:val="single" w:sz="8" w:space="0" w:color="000000"/>
              <w:right w:val="single" w:sz="8" w:space="0" w:color="000000"/>
            </w:tcBorders>
            <w:vAlign w:val="center"/>
          </w:tcPr>
          <w:p w14:paraId="57B36C40" w14:textId="77777777" w:rsidR="00000000" w:rsidRDefault="00763D17">
            <w:pPr>
              <w:widowControl/>
              <w:jc w:val="center"/>
              <w:textAlignment w:val="center"/>
              <w:rPr>
                <w:rFonts w:eastAsia="宋体"/>
                <w:color w:val="000000"/>
                <w:szCs w:val="21"/>
              </w:rPr>
            </w:pPr>
            <w:r>
              <w:rPr>
                <w:rFonts w:eastAsia="宋体"/>
                <w:color w:val="000000"/>
                <w:kern w:val="0"/>
                <w:szCs w:val="21"/>
                <w:lang w:bidi="ar"/>
              </w:rPr>
              <w:t>32</w:t>
            </w:r>
            <w:r>
              <w:rPr>
                <w:rFonts w:eastAsia="宋体"/>
                <w:color w:val="000000"/>
                <w:kern w:val="0"/>
                <w:szCs w:val="21"/>
                <w:lang w:bidi="ar"/>
              </w:rPr>
              <w:t>09.58</w:t>
            </w:r>
          </w:p>
        </w:tc>
        <w:tc>
          <w:tcPr>
            <w:tcW w:w="1950" w:type="dxa"/>
            <w:tcBorders>
              <w:top w:val="nil"/>
              <w:left w:val="nil"/>
              <w:bottom w:val="single" w:sz="8" w:space="0" w:color="000000"/>
              <w:right w:val="single" w:sz="8" w:space="0" w:color="000000"/>
            </w:tcBorders>
            <w:vAlign w:val="center"/>
          </w:tcPr>
          <w:p w14:paraId="194CAF5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17.14%</w:t>
            </w:r>
          </w:p>
        </w:tc>
      </w:tr>
    </w:tbl>
    <w:p w14:paraId="523BD7A7" w14:textId="77777777" w:rsidR="00000000" w:rsidRDefault="00763D17">
      <w:pPr>
        <w:snapToGrid w:val="0"/>
        <w:spacing w:line="560" w:lineRule="exact"/>
        <w:ind w:firstLineChars="200" w:firstLine="640"/>
        <w:rPr>
          <w:rFonts w:ascii="仿宋_GB2312" w:eastAsia="仿宋_GB2312" w:hint="eastAsia"/>
          <w:b/>
          <w:bCs/>
          <w:sz w:val="32"/>
          <w:szCs w:val="32"/>
        </w:rPr>
      </w:pPr>
      <w:r>
        <w:rPr>
          <w:rFonts w:ascii="仿宋_GB2312" w:eastAsia="仿宋_GB2312" w:hint="eastAsia"/>
          <w:sz w:val="32"/>
          <w:szCs w:val="32"/>
        </w:rPr>
        <w:t>本年结转</w:t>
      </w:r>
      <w:r>
        <w:rPr>
          <w:rFonts w:ascii="仿宋_GB2312" w:eastAsia="仿宋_GB2312" w:hint="eastAsia"/>
          <w:sz w:val="32"/>
          <w:szCs w:val="32"/>
        </w:rPr>
        <w:t>3810.7</w:t>
      </w:r>
      <w:r>
        <w:rPr>
          <w:rFonts w:ascii="仿宋_GB2312" w:eastAsia="仿宋_GB2312" w:hint="eastAsia"/>
          <w:sz w:val="32"/>
          <w:szCs w:val="32"/>
        </w:rPr>
        <w:t>万元，较上年</w:t>
      </w:r>
      <w:r>
        <w:rPr>
          <w:rFonts w:ascii="仿宋_GB2312" w:eastAsia="仿宋_GB2312" w:hint="eastAsia"/>
          <w:sz w:val="32"/>
          <w:szCs w:val="32"/>
        </w:rPr>
        <w:t>1621.75</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2188.95</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增长</w:t>
      </w:r>
      <w:r>
        <w:rPr>
          <w:rFonts w:ascii="仿宋_GB2312" w:eastAsia="仿宋_GB2312" w:hint="eastAsia"/>
          <w:sz w:val="32"/>
          <w:szCs w:val="32"/>
        </w:rPr>
        <w:t>134.97</w:t>
      </w:r>
      <w:r>
        <w:rPr>
          <w:rFonts w:ascii="仿宋_GB2312" w:eastAsia="仿宋_GB2312" w:hint="eastAsia"/>
          <w:sz w:val="32"/>
          <w:szCs w:val="32"/>
        </w:rPr>
        <w:t>%</w:t>
      </w:r>
      <w:r>
        <w:rPr>
          <w:rFonts w:ascii="仿宋_GB2312" w:eastAsia="仿宋_GB2312" w:hint="eastAsia"/>
          <w:sz w:val="32"/>
          <w:szCs w:val="32"/>
        </w:rPr>
        <w:t>。按照功能分类科目分析如下：</w:t>
      </w:r>
    </w:p>
    <w:p w14:paraId="5CCCFB22" w14:textId="77777777" w:rsidR="00000000" w:rsidRDefault="00763D17">
      <w:pPr>
        <w:snapToGrid w:val="0"/>
        <w:spacing w:line="560" w:lineRule="exact"/>
        <w:ind w:firstLineChars="200" w:firstLine="640"/>
        <w:jc w:val="center"/>
        <w:rPr>
          <w:rFonts w:ascii="仿宋_GB2312" w:eastAsia="仿宋_GB2312"/>
          <w:b/>
          <w:bCs/>
          <w:sz w:val="32"/>
          <w:szCs w:val="32"/>
        </w:rPr>
      </w:pPr>
      <w:r>
        <w:rPr>
          <w:rFonts w:ascii="仿宋_GB2312" w:eastAsia="仿宋_GB2312" w:hint="eastAsia"/>
          <w:b/>
          <w:bCs/>
          <w:sz w:val="32"/>
          <w:szCs w:val="32"/>
        </w:rPr>
        <w:t>表</w:t>
      </w:r>
      <w:r>
        <w:rPr>
          <w:rFonts w:ascii="仿宋_GB2312" w:eastAsia="仿宋_GB2312" w:hint="eastAsia"/>
          <w:b/>
          <w:bCs/>
          <w:sz w:val="32"/>
          <w:szCs w:val="32"/>
        </w:rPr>
        <w:t>3:20</w:t>
      </w:r>
      <w:r>
        <w:rPr>
          <w:rFonts w:ascii="仿宋_GB2312" w:eastAsia="仿宋_GB2312" w:hint="eastAsia"/>
          <w:b/>
          <w:bCs/>
          <w:sz w:val="32"/>
          <w:szCs w:val="32"/>
        </w:rPr>
        <w:t>22</w:t>
      </w:r>
      <w:r>
        <w:rPr>
          <w:rFonts w:ascii="仿宋_GB2312" w:eastAsia="仿宋_GB2312" w:hint="eastAsia"/>
          <w:b/>
          <w:bCs/>
          <w:sz w:val="32"/>
          <w:szCs w:val="32"/>
        </w:rPr>
        <w:t>-202</w:t>
      </w:r>
      <w:r>
        <w:rPr>
          <w:rFonts w:ascii="仿宋_GB2312" w:eastAsia="仿宋_GB2312" w:hint="eastAsia"/>
          <w:b/>
          <w:bCs/>
          <w:sz w:val="32"/>
          <w:szCs w:val="32"/>
        </w:rPr>
        <w:t>3</w:t>
      </w:r>
      <w:r>
        <w:rPr>
          <w:rFonts w:ascii="仿宋_GB2312" w:eastAsia="仿宋_GB2312" w:hint="eastAsia"/>
          <w:b/>
          <w:bCs/>
          <w:sz w:val="32"/>
          <w:szCs w:val="32"/>
        </w:rPr>
        <w:t>年本年结转按功能分类科目分析</w:t>
      </w:r>
    </w:p>
    <w:p w14:paraId="3ECB1C8C" w14:textId="77777777" w:rsidR="00000000" w:rsidRDefault="00763D17">
      <w:pPr>
        <w:wordWrap w:val="0"/>
        <w:snapToGrid w:val="0"/>
        <w:spacing w:line="560" w:lineRule="exact"/>
        <w:ind w:firstLineChars="200" w:firstLine="640"/>
        <w:jc w:val="right"/>
        <w:rPr>
          <w:rFonts w:ascii="仿宋_GB2312" w:eastAsia="仿宋_GB2312"/>
          <w:sz w:val="32"/>
          <w:szCs w:val="32"/>
        </w:rPr>
      </w:pPr>
      <w:r>
        <w:rPr>
          <w:rFonts w:ascii="仿宋_GB2312" w:eastAsia="仿宋_GB2312" w:hint="eastAsia"/>
          <w:sz w:val="32"/>
          <w:szCs w:val="32"/>
        </w:rPr>
        <w:t>单位：万元</w:t>
      </w:r>
      <w:r>
        <w:rPr>
          <w:rFonts w:ascii="仿宋_GB2312" w:eastAsia="仿宋_GB2312" w:hint="eastAsia"/>
          <w:sz w:val="32"/>
          <w:szCs w:val="32"/>
        </w:rPr>
        <w:t xml:space="preserve"> </w:t>
      </w:r>
    </w:p>
    <w:p w14:paraId="1112EE7E" w14:textId="77777777" w:rsidR="00000000" w:rsidRDefault="00763D17">
      <w:pPr>
        <w:pStyle w:val="2"/>
        <w:ind w:firstLine="552"/>
        <w:rPr>
          <w:rFonts w:hint="eastAsia"/>
        </w:rPr>
      </w:pPr>
    </w:p>
    <w:tbl>
      <w:tblPr>
        <w:tblW w:w="10097" w:type="dxa"/>
        <w:tblInd w:w="96" w:type="dxa"/>
        <w:tblLayout w:type="fixed"/>
        <w:tblLook w:val="0000" w:firstRow="0" w:lastRow="0" w:firstColumn="0" w:lastColumn="0" w:noHBand="0" w:noVBand="0"/>
      </w:tblPr>
      <w:tblGrid>
        <w:gridCol w:w="2904"/>
        <w:gridCol w:w="1898"/>
        <w:gridCol w:w="1575"/>
        <w:gridCol w:w="1800"/>
        <w:gridCol w:w="1920"/>
      </w:tblGrid>
      <w:tr w:rsidR="00000000" w14:paraId="738C2431" w14:textId="77777777">
        <w:trPr>
          <w:trHeight w:val="780"/>
        </w:trPr>
        <w:tc>
          <w:tcPr>
            <w:tcW w:w="2904" w:type="dxa"/>
            <w:tcBorders>
              <w:top w:val="single" w:sz="8" w:space="0" w:color="000000"/>
              <w:left w:val="single" w:sz="8" w:space="0" w:color="000000"/>
              <w:bottom w:val="single" w:sz="8" w:space="0" w:color="000000"/>
              <w:right w:val="single" w:sz="8" w:space="0" w:color="000000"/>
            </w:tcBorders>
            <w:vAlign w:val="center"/>
          </w:tcPr>
          <w:p w14:paraId="1E54242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年度</w:t>
            </w:r>
          </w:p>
        </w:tc>
        <w:tc>
          <w:tcPr>
            <w:tcW w:w="1898" w:type="dxa"/>
            <w:tcBorders>
              <w:top w:val="single" w:sz="8" w:space="0" w:color="000000"/>
              <w:left w:val="nil"/>
              <w:bottom w:val="single" w:sz="8" w:space="0" w:color="000000"/>
              <w:right w:val="single" w:sz="8" w:space="0" w:color="000000"/>
            </w:tcBorders>
            <w:vAlign w:val="center"/>
          </w:tcPr>
          <w:p w14:paraId="1CFABCF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2022</w:t>
            </w:r>
            <w:r>
              <w:rPr>
                <w:rFonts w:ascii="宋体" w:eastAsia="宋体" w:hAnsi="宋体" w:cs="宋体" w:hint="eastAsia"/>
                <w:color w:val="000000"/>
                <w:kern w:val="0"/>
                <w:sz w:val="24"/>
                <w:lang w:bidi="ar"/>
              </w:rPr>
              <w:t>年</w:t>
            </w:r>
          </w:p>
        </w:tc>
        <w:tc>
          <w:tcPr>
            <w:tcW w:w="1575" w:type="dxa"/>
            <w:tcBorders>
              <w:top w:val="single" w:sz="8" w:space="0" w:color="000000"/>
              <w:left w:val="nil"/>
              <w:bottom w:val="single" w:sz="8" w:space="0" w:color="000000"/>
              <w:right w:val="single" w:sz="8" w:space="0" w:color="000000"/>
            </w:tcBorders>
            <w:vAlign w:val="center"/>
          </w:tcPr>
          <w:p w14:paraId="5A30F5D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2023</w:t>
            </w:r>
            <w:r>
              <w:rPr>
                <w:rFonts w:ascii="宋体" w:eastAsia="宋体" w:hAnsi="宋体" w:cs="宋体" w:hint="eastAsia"/>
                <w:color w:val="000000"/>
                <w:kern w:val="0"/>
                <w:sz w:val="24"/>
                <w:lang w:bidi="ar"/>
              </w:rPr>
              <w:t>年</w:t>
            </w:r>
          </w:p>
        </w:tc>
        <w:tc>
          <w:tcPr>
            <w:tcW w:w="1800" w:type="dxa"/>
            <w:tcBorders>
              <w:top w:val="single" w:sz="8" w:space="0" w:color="000000"/>
              <w:left w:val="nil"/>
              <w:bottom w:val="single" w:sz="8" w:space="0" w:color="000000"/>
              <w:right w:val="single" w:sz="8" w:space="0" w:color="000000"/>
            </w:tcBorders>
            <w:vAlign w:val="center"/>
          </w:tcPr>
          <w:p w14:paraId="2353772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增减额</w:t>
            </w:r>
          </w:p>
        </w:tc>
        <w:tc>
          <w:tcPr>
            <w:tcW w:w="1920" w:type="dxa"/>
            <w:tcBorders>
              <w:top w:val="single" w:sz="8" w:space="0" w:color="000000"/>
              <w:left w:val="nil"/>
              <w:bottom w:val="single" w:sz="8" w:space="0" w:color="000000"/>
              <w:right w:val="single" w:sz="8" w:space="0" w:color="000000"/>
            </w:tcBorders>
            <w:vAlign w:val="center"/>
          </w:tcPr>
          <w:p w14:paraId="540F8C7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增减比率</w:t>
            </w:r>
          </w:p>
        </w:tc>
      </w:tr>
      <w:tr w:rsidR="00000000" w14:paraId="263B8074" w14:textId="77777777">
        <w:trPr>
          <w:trHeight w:val="780"/>
        </w:trPr>
        <w:tc>
          <w:tcPr>
            <w:tcW w:w="2904" w:type="dxa"/>
            <w:tcBorders>
              <w:top w:val="nil"/>
              <w:left w:val="single" w:sz="8" w:space="0" w:color="000000"/>
              <w:bottom w:val="single" w:sz="8" w:space="0" w:color="000000"/>
              <w:right w:val="single" w:sz="8" w:space="0" w:color="000000"/>
            </w:tcBorders>
            <w:vAlign w:val="center"/>
          </w:tcPr>
          <w:p w14:paraId="625554C6"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合计</w:t>
            </w:r>
          </w:p>
        </w:tc>
        <w:tc>
          <w:tcPr>
            <w:tcW w:w="1898" w:type="dxa"/>
            <w:tcBorders>
              <w:top w:val="nil"/>
              <w:left w:val="nil"/>
              <w:bottom w:val="single" w:sz="8" w:space="0" w:color="000000"/>
              <w:right w:val="single" w:sz="8" w:space="0" w:color="000000"/>
            </w:tcBorders>
            <w:vAlign w:val="center"/>
          </w:tcPr>
          <w:p w14:paraId="7EA21C3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1638.82</w:t>
            </w:r>
          </w:p>
        </w:tc>
        <w:tc>
          <w:tcPr>
            <w:tcW w:w="1575" w:type="dxa"/>
            <w:tcBorders>
              <w:top w:val="nil"/>
              <w:left w:val="nil"/>
              <w:bottom w:val="single" w:sz="8" w:space="0" w:color="000000"/>
              <w:right w:val="single" w:sz="8" w:space="0" w:color="000000"/>
            </w:tcBorders>
            <w:vAlign w:val="center"/>
          </w:tcPr>
          <w:p w14:paraId="2C20BC6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3810.7</w:t>
            </w:r>
          </w:p>
        </w:tc>
        <w:tc>
          <w:tcPr>
            <w:tcW w:w="1800" w:type="dxa"/>
            <w:tcBorders>
              <w:top w:val="nil"/>
              <w:left w:val="nil"/>
              <w:bottom w:val="single" w:sz="8" w:space="0" w:color="000000"/>
              <w:right w:val="single" w:sz="8" w:space="0" w:color="000000"/>
            </w:tcBorders>
            <w:vAlign w:val="center"/>
          </w:tcPr>
          <w:p w14:paraId="7EE96AA6"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2171.88</w:t>
            </w:r>
          </w:p>
        </w:tc>
        <w:tc>
          <w:tcPr>
            <w:tcW w:w="1920" w:type="dxa"/>
            <w:tcBorders>
              <w:top w:val="nil"/>
              <w:left w:val="nil"/>
              <w:bottom w:val="single" w:sz="8" w:space="0" w:color="000000"/>
              <w:right w:val="single" w:sz="8" w:space="0" w:color="000000"/>
            </w:tcBorders>
            <w:vAlign w:val="center"/>
          </w:tcPr>
          <w:p w14:paraId="5BAD665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132.53%</w:t>
            </w:r>
          </w:p>
        </w:tc>
      </w:tr>
      <w:tr w:rsidR="00000000" w14:paraId="5DD85375" w14:textId="77777777">
        <w:trPr>
          <w:trHeight w:val="780"/>
        </w:trPr>
        <w:tc>
          <w:tcPr>
            <w:tcW w:w="2904" w:type="dxa"/>
            <w:tcBorders>
              <w:top w:val="nil"/>
              <w:left w:val="single" w:sz="8" w:space="0" w:color="000000"/>
              <w:bottom w:val="single" w:sz="8" w:space="0" w:color="000000"/>
              <w:right w:val="single" w:sz="8" w:space="0" w:color="000000"/>
            </w:tcBorders>
            <w:vAlign w:val="center"/>
          </w:tcPr>
          <w:p w14:paraId="53BBB71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201</w:t>
            </w:r>
            <w:r>
              <w:rPr>
                <w:rFonts w:ascii="宋体" w:eastAsia="宋体" w:hAnsi="宋体" w:cs="宋体" w:hint="eastAsia"/>
                <w:color w:val="000000"/>
                <w:kern w:val="0"/>
                <w:sz w:val="24"/>
                <w:lang w:bidi="ar"/>
              </w:rPr>
              <w:t>一般公共服务支出</w:t>
            </w:r>
          </w:p>
        </w:tc>
        <w:tc>
          <w:tcPr>
            <w:tcW w:w="1898" w:type="dxa"/>
            <w:tcBorders>
              <w:top w:val="nil"/>
              <w:left w:val="nil"/>
              <w:bottom w:val="single" w:sz="8" w:space="0" w:color="000000"/>
              <w:right w:val="single" w:sz="8" w:space="0" w:color="000000"/>
            </w:tcBorders>
            <w:vAlign w:val="center"/>
          </w:tcPr>
          <w:p w14:paraId="636C864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17.08</w:t>
            </w:r>
          </w:p>
        </w:tc>
        <w:tc>
          <w:tcPr>
            <w:tcW w:w="1575" w:type="dxa"/>
            <w:tcBorders>
              <w:top w:val="nil"/>
              <w:left w:val="nil"/>
              <w:bottom w:val="single" w:sz="8" w:space="0" w:color="000000"/>
              <w:right w:val="single" w:sz="8" w:space="0" w:color="000000"/>
            </w:tcBorders>
            <w:vAlign w:val="center"/>
          </w:tcPr>
          <w:p w14:paraId="5567910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0</w:t>
            </w:r>
          </w:p>
        </w:tc>
        <w:tc>
          <w:tcPr>
            <w:tcW w:w="1800" w:type="dxa"/>
            <w:tcBorders>
              <w:top w:val="nil"/>
              <w:left w:val="nil"/>
              <w:bottom w:val="single" w:sz="8" w:space="0" w:color="000000"/>
              <w:right w:val="single" w:sz="8" w:space="0" w:color="000000"/>
            </w:tcBorders>
            <w:vAlign w:val="center"/>
          </w:tcPr>
          <w:p w14:paraId="0134A25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-17.08</w:t>
            </w:r>
          </w:p>
        </w:tc>
        <w:tc>
          <w:tcPr>
            <w:tcW w:w="1920" w:type="dxa"/>
            <w:tcBorders>
              <w:top w:val="nil"/>
              <w:left w:val="nil"/>
              <w:bottom w:val="single" w:sz="8" w:space="0" w:color="000000"/>
              <w:right w:val="single" w:sz="8" w:space="0" w:color="000000"/>
            </w:tcBorders>
            <w:vAlign w:val="center"/>
          </w:tcPr>
          <w:p w14:paraId="5B4414A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-100.00%</w:t>
            </w:r>
          </w:p>
        </w:tc>
      </w:tr>
      <w:tr w:rsidR="00000000" w14:paraId="3438C66F" w14:textId="77777777">
        <w:trPr>
          <w:trHeight w:val="780"/>
        </w:trPr>
        <w:tc>
          <w:tcPr>
            <w:tcW w:w="2904" w:type="dxa"/>
            <w:tcBorders>
              <w:top w:val="nil"/>
              <w:left w:val="single" w:sz="8" w:space="0" w:color="000000"/>
              <w:bottom w:val="single" w:sz="8" w:space="0" w:color="000000"/>
              <w:right w:val="single" w:sz="8" w:space="0" w:color="000000"/>
            </w:tcBorders>
            <w:vAlign w:val="center"/>
          </w:tcPr>
          <w:p w14:paraId="4F06952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204</w:t>
            </w:r>
            <w:r>
              <w:rPr>
                <w:rFonts w:ascii="宋体" w:eastAsia="宋体" w:hAnsi="宋体" w:cs="宋体" w:hint="eastAsia"/>
                <w:color w:val="000000"/>
                <w:kern w:val="0"/>
                <w:sz w:val="24"/>
                <w:lang w:bidi="ar"/>
              </w:rPr>
              <w:t>公共安全支出</w:t>
            </w:r>
          </w:p>
        </w:tc>
        <w:tc>
          <w:tcPr>
            <w:tcW w:w="1898" w:type="dxa"/>
            <w:tcBorders>
              <w:top w:val="nil"/>
              <w:left w:val="nil"/>
              <w:bottom w:val="single" w:sz="8" w:space="0" w:color="000000"/>
              <w:right w:val="single" w:sz="8" w:space="0" w:color="000000"/>
            </w:tcBorders>
            <w:vAlign w:val="center"/>
          </w:tcPr>
          <w:p w14:paraId="4A95F235"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131.48</w:t>
            </w:r>
          </w:p>
        </w:tc>
        <w:tc>
          <w:tcPr>
            <w:tcW w:w="1575" w:type="dxa"/>
            <w:tcBorders>
              <w:top w:val="nil"/>
              <w:left w:val="nil"/>
              <w:bottom w:val="single" w:sz="8" w:space="0" w:color="000000"/>
              <w:right w:val="single" w:sz="8" w:space="0" w:color="000000"/>
            </w:tcBorders>
            <w:vAlign w:val="center"/>
          </w:tcPr>
          <w:p w14:paraId="7579B5B0"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148.51</w:t>
            </w:r>
          </w:p>
        </w:tc>
        <w:tc>
          <w:tcPr>
            <w:tcW w:w="1800" w:type="dxa"/>
            <w:tcBorders>
              <w:top w:val="nil"/>
              <w:left w:val="nil"/>
              <w:bottom w:val="single" w:sz="8" w:space="0" w:color="000000"/>
              <w:right w:val="single" w:sz="8" w:space="0" w:color="000000"/>
            </w:tcBorders>
            <w:vAlign w:val="center"/>
          </w:tcPr>
          <w:p w14:paraId="593C2A5B"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17.03</w:t>
            </w:r>
          </w:p>
        </w:tc>
        <w:tc>
          <w:tcPr>
            <w:tcW w:w="1920" w:type="dxa"/>
            <w:tcBorders>
              <w:top w:val="nil"/>
              <w:left w:val="nil"/>
              <w:bottom w:val="single" w:sz="8" w:space="0" w:color="000000"/>
              <w:right w:val="single" w:sz="8" w:space="0" w:color="000000"/>
            </w:tcBorders>
            <w:vAlign w:val="center"/>
          </w:tcPr>
          <w:p w14:paraId="7431C3F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12.95%</w:t>
            </w:r>
          </w:p>
        </w:tc>
      </w:tr>
      <w:tr w:rsidR="00000000" w14:paraId="4A8941C8" w14:textId="77777777">
        <w:trPr>
          <w:trHeight w:val="780"/>
        </w:trPr>
        <w:tc>
          <w:tcPr>
            <w:tcW w:w="2904" w:type="dxa"/>
            <w:tcBorders>
              <w:top w:val="nil"/>
              <w:left w:val="single" w:sz="8" w:space="0" w:color="000000"/>
              <w:bottom w:val="single" w:sz="8" w:space="0" w:color="000000"/>
              <w:right w:val="single" w:sz="8" w:space="0" w:color="000000"/>
            </w:tcBorders>
            <w:vAlign w:val="center"/>
          </w:tcPr>
          <w:p w14:paraId="01215E2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210</w:t>
            </w:r>
            <w:r>
              <w:rPr>
                <w:rFonts w:ascii="宋体" w:eastAsia="宋体" w:hAnsi="宋体" w:cs="宋体" w:hint="eastAsia"/>
                <w:color w:val="000000"/>
                <w:kern w:val="0"/>
                <w:sz w:val="24"/>
                <w:lang w:bidi="ar"/>
              </w:rPr>
              <w:t>卫生健康支出</w:t>
            </w:r>
          </w:p>
        </w:tc>
        <w:tc>
          <w:tcPr>
            <w:tcW w:w="1898" w:type="dxa"/>
            <w:tcBorders>
              <w:top w:val="nil"/>
              <w:left w:val="nil"/>
              <w:bottom w:val="single" w:sz="8" w:space="0" w:color="000000"/>
              <w:right w:val="single" w:sz="8" w:space="0" w:color="000000"/>
            </w:tcBorders>
            <w:vAlign w:val="center"/>
          </w:tcPr>
          <w:p w14:paraId="7826B39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1443.7</w:t>
            </w:r>
          </w:p>
        </w:tc>
        <w:tc>
          <w:tcPr>
            <w:tcW w:w="1575" w:type="dxa"/>
            <w:tcBorders>
              <w:top w:val="nil"/>
              <w:left w:val="nil"/>
              <w:bottom w:val="single" w:sz="8" w:space="0" w:color="000000"/>
              <w:right w:val="single" w:sz="8" w:space="0" w:color="000000"/>
            </w:tcBorders>
            <w:noWrap/>
            <w:vAlign w:val="center"/>
          </w:tcPr>
          <w:p w14:paraId="7FC5BB5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3,662.15</w:t>
            </w:r>
          </w:p>
        </w:tc>
        <w:tc>
          <w:tcPr>
            <w:tcW w:w="1800" w:type="dxa"/>
            <w:tcBorders>
              <w:top w:val="nil"/>
              <w:left w:val="nil"/>
              <w:bottom w:val="single" w:sz="8" w:space="0" w:color="000000"/>
              <w:right w:val="single" w:sz="8" w:space="0" w:color="000000"/>
            </w:tcBorders>
            <w:vAlign w:val="center"/>
          </w:tcPr>
          <w:p w14:paraId="5FB10997"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2218.45</w:t>
            </w:r>
          </w:p>
        </w:tc>
        <w:tc>
          <w:tcPr>
            <w:tcW w:w="1920" w:type="dxa"/>
            <w:tcBorders>
              <w:top w:val="nil"/>
              <w:left w:val="nil"/>
              <w:bottom w:val="single" w:sz="8" w:space="0" w:color="000000"/>
              <w:right w:val="single" w:sz="8" w:space="0" w:color="000000"/>
            </w:tcBorders>
            <w:vAlign w:val="center"/>
          </w:tcPr>
          <w:p w14:paraId="25C9D1FB"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153.66%</w:t>
            </w:r>
          </w:p>
        </w:tc>
      </w:tr>
      <w:tr w:rsidR="00000000" w14:paraId="1B9B65FD" w14:textId="77777777">
        <w:trPr>
          <w:trHeight w:val="780"/>
        </w:trPr>
        <w:tc>
          <w:tcPr>
            <w:tcW w:w="2904" w:type="dxa"/>
            <w:tcBorders>
              <w:top w:val="nil"/>
              <w:left w:val="single" w:sz="8" w:space="0" w:color="000000"/>
              <w:bottom w:val="single" w:sz="8" w:space="0" w:color="000000"/>
              <w:right w:val="single" w:sz="8" w:space="0" w:color="000000"/>
            </w:tcBorders>
            <w:vAlign w:val="center"/>
          </w:tcPr>
          <w:p w14:paraId="0EAD66F5"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212</w:t>
            </w:r>
            <w:r>
              <w:rPr>
                <w:rFonts w:ascii="宋体" w:eastAsia="宋体" w:hAnsi="宋体" w:cs="宋体" w:hint="eastAsia"/>
                <w:color w:val="000000"/>
                <w:kern w:val="0"/>
                <w:sz w:val="24"/>
                <w:lang w:bidi="ar"/>
              </w:rPr>
              <w:t>城乡社区支出</w:t>
            </w:r>
          </w:p>
        </w:tc>
        <w:tc>
          <w:tcPr>
            <w:tcW w:w="1898" w:type="dxa"/>
            <w:tcBorders>
              <w:top w:val="nil"/>
              <w:left w:val="nil"/>
              <w:bottom w:val="single" w:sz="8" w:space="0" w:color="000000"/>
              <w:right w:val="single" w:sz="8" w:space="0" w:color="000000"/>
            </w:tcBorders>
            <w:vAlign w:val="center"/>
          </w:tcPr>
          <w:p w14:paraId="2D537B8E"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0.14</w:t>
            </w:r>
          </w:p>
        </w:tc>
        <w:tc>
          <w:tcPr>
            <w:tcW w:w="1575" w:type="dxa"/>
            <w:tcBorders>
              <w:top w:val="nil"/>
              <w:left w:val="nil"/>
              <w:bottom w:val="single" w:sz="8" w:space="0" w:color="000000"/>
              <w:right w:val="single" w:sz="8" w:space="0" w:color="000000"/>
            </w:tcBorders>
            <w:vAlign w:val="center"/>
          </w:tcPr>
          <w:p w14:paraId="76B7B30D"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0.04</w:t>
            </w:r>
          </w:p>
        </w:tc>
        <w:tc>
          <w:tcPr>
            <w:tcW w:w="1800" w:type="dxa"/>
            <w:tcBorders>
              <w:top w:val="nil"/>
              <w:left w:val="nil"/>
              <w:bottom w:val="single" w:sz="8" w:space="0" w:color="000000"/>
              <w:right w:val="single" w:sz="8" w:space="0" w:color="000000"/>
            </w:tcBorders>
            <w:vAlign w:val="center"/>
          </w:tcPr>
          <w:p w14:paraId="005CE9F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-0.1</w:t>
            </w:r>
          </w:p>
        </w:tc>
        <w:tc>
          <w:tcPr>
            <w:tcW w:w="1920" w:type="dxa"/>
            <w:tcBorders>
              <w:top w:val="nil"/>
              <w:left w:val="nil"/>
              <w:bottom w:val="single" w:sz="8" w:space="0" w:color="000000"/>
              <w:right w:val="single" w:sz="8" w:space="0" w:color="000000"/>
            </w:tcBorders>
            <w:vAlign w:val="center"/>
          </w:tcPr>
          <w:p w14:paraId="0788867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-71.43%</w:t>
            </w:r>
          </w:p>
        </w:tc>
      </w:tr>
      <w:tr w:rsidR="00000000" w14:paraId="4FF91CC6" w14:textId="77777777">
        <w:trPr>
          <w:trHeight w:val="780"/>
        </w:trPr>
        <w:tc>
          <w:tcPr>
            <w:tcW w:w="2904" w:type="dxa"/>
            <w:tcBorders>
              <w:top w:val="nil"/>
              <w:left w:val="single" w:sz="8" w:space="0" w:color="000000"/>
              <w:bottom w:val="single" w:sz="8" w:space="0" w:color="000000"/>
              <w:right w:val="single" w:sz="8" w:space="0" w:color="000000"/>
            </w:tcBorders>
            <w:vAlign w:val="center"/>
          </w:tcPr>
          <w:p w14:paraId="33A46C3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211</w:t>
            </w:r>
            <w:r>
              <w:rPr>
                <w:rFonts w:ascii="宋体" w:eastAsia="宋体" w:hAnsi="宋体" w:cs="宋体" w:hint="eastAsia"/>
                <w:color w:val="000000"/>
                <w:kern w:val="0"/>
                <w:sz w:val="24"/>
                <w:lang w:bidi="ar"/>
              </w:rPr>
              <w:t>节能环保支出</w:t>
            </w:r>
          </w:p>
        </w:tc>
        <w:tc>
          <w:tcPr>
            <w:tcW w:w="1898" w:type="dxa"/>
            <w:tcBorders>
              <w:top w:val="nil"/>
              <w:left w:val="nil"/>
              <w:bottom w:val="single" w:sz="8" w:space="0" w:color="000000"/>
              <w:right w:val="single" w:sz="8" w:space="0" w:color="000000"/>
            </w:tcBorders>
            <w:vAlign w:val="center"/>
          </w:tcPr>
          <w:p w14:paraId="45D7AE3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46.42</w:t>
            </w:r>
          </w:p>
        </w:tc>
        <w:tc>
          <w:tcPr>
            <w:tcW w:w="1575" w:type="dxa"/>
            <w:tcBorders>
              <w:top w:val="nil"/>
              <w:left w:val="nil"/>
              <w:bottom w:val="single" w:sz="8" w:space="0" w:color="000000"/>
              <w:right w:val="single" w:sz="8" w:space="0" w:color="000000"/>
            </w:tcBorders>
            <w:vAlign w:val="center"/>
          </w:tcPr>
          <w:p w14:paraId="7E425ED5"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0</w:t>
            </w:r>
          </w:p>
        </w:tc>
        <w:tc>
          <w:tcPr>
            <w:tcW w:w="1800" w:type="dxa"/>
            <w:tcBorders>
              <w:top w:val="nil"/>
              <w:left w:val="nil"/>
              <w:bottom w:val="single" w:sz="8" w:space="0" w:color="000000"/>
              <w:right w:val="single" w:sz="8" w:space="0" w:color="000000"/>
            </w:tcBorders>
            <w:vAlign w:val="center"/>
          </w:tcPr>
          <w:p w14:paraId="533D0F68"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-46.42</w:t>
            </w:r>
          </w:p>
        </w:tc>
        <w:tc>
          <w:tcPr>
            <w:tcW w:w="1920" w:type="dxa"/>
            <w:tcBorders>
              <w:top w:val="nil"/>
              <w:left w:val="nil"/>
              <w:bottom w:val="single" w:sz="8" w:space="0" w:color="000000"/>
              <w:right w:val="single" w:sz="8" w:space="0" w:color="000000"/>
            </w:tcBorders>
            <w:vAlign w:val="center"/>
          </w:tcPr>
          <w:p w14:paraId="6884F6B3"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-100.00%</w:t>
            </w:r>
          </w:p>
        </w:tc>
      </w:tr>
    </w:tbl>
    <w:p w14:paraId="22D1B96A" w14:textId="77777777" w:rsidR="00000000" w:rsidRDefault="00763D17">
      <w:pPr>
        <w:snapToGrid w:val="0"/>
        <w:spacing w:line="580" w:lineRule="exact"/>
        <w:ind w:firstLineChars="200" w:firstLine="640"/>
        <w:rPr>
          <w:rFonts w:ascii="仿宋_GB2312" w:eastAsia="仿宋_GB2312" w:hAnsi="仿宋" w:hint="eastAsia"/>
          <w:b/>
          <w:bCs/>
          <w:sz w:val="32"/>
          <w:szCs w:val="32"/>
        </w:rPr>
      </w:pPr>
      <w:r>
        <w:rPr>
          <w:rFonts w:ascii="仿宋_GB2312" w:eastAsia="仿宋_GB2312" w:hAnsi="仿宋" w:hint="eastAsia"/>
          <w:b/>
          <w:bCs/>
          <w:sz w:val="32"/>
          <w:szCs w:val="32"/>
        </w:rPr>
        <w:t>（</w:t>
      </w:r>
      <w:r>
        <w:rPr>
          <w:rFonts w:ascii="仿宋_GB2312" w:eastAsia="仿宋_GB2312" w:hAnsi="仿宋" w:hint="eastAsia"/>
          <w:b/>
          <w:bCs/>
          <w:sz w:val="32"/>
          <w:szCs w:val="32"/>
        </w:rPr>
        <w:t>2</w:t>
      </w:r>
      <w:r>
        <w:rPr>
          <w:rFonts w:ascii="仿宋_GB2312" w:eastAsia="仿宋_GB2312" w:hAnsi="仿宋" w:hint="eastAsia"/>
          <w:b/>
          <w:bCs/>
          <w:sz w:val="32"/>
          <w:szCs w:val="32"/>
        </w:rPr>
        <w:t>）按经济分类科目</w:t>
      </w:r>
      <w:r>
        <w:rPr>
          <w:rFonts w:ascii="仿宋_GB2312" w:eastAsia="仿宋_GB2312" w:hAnsi="仿宋" w:hint="eastAsia"/>
          <w:b/>
          <w:bCs/>
          <w:sz w:val="32"/>
          <w:szCs w:val="32"/>
        </w:rPr>
        <w:t>分析</w:t>
      </w:r>
    </w:p>
    <w:p w14:paraId="62C2D70C" w14:textId="77777777" w:rsidR="00000000" w:rsidRDefault="00763D17">
      <w:pPr>
        <w:snapToGrid w:val="0"/>
        <w:spacing w:line="560" w:lineRule="exact"/>
        <w:ind w:firstLine="640"/>
        <w:rPr>
          <w:rFonts w:ascii="仿宋_GB2312" w:eastAsia="仿宋_GB2312" w:hAnsi="仿宋"/>
          <w:b/>
          <w:bCs/>
          <w:sz w:val="32"/>
          <w:szCs w:val="32"/>
          <w:highlight w:val="yellow"/>
        </w:rPr>
      </w:pPr>
      <w:r>
        <w:rPr>
          <w:rFonts w:ascii="仿宋_GB2312" w:eastAsia="仿宋_GB2312" w:hint="eastAsia"/>
          <w:sz w:val="32"/>
          <w:szCs w:val="32"/>
        </w:rPr>
        <w:t>本年支出</w:t>
      </w:r>
      <w:r>
        <w:rPr>
          <w:rFonts w:ascii="仿宋_GB2312" w:eastAsia="仿宋_GB2312" w:hint="eastAsia"/>
          <w:sz w:val="32"/>
          <w:szCs w:val="32"/>
        </w:rPr>
        <w:t>456772.12</w:t>
      </w:r>
      <w:r>
        <w:rPr>
          <w:rFonts w:ascii="仿宋_GB2312" w:eastAsia="仿宋_GB2312" w:hint="eastAsia"/>
          <w:sz w:val="32"/>
          <w:szCs w:val="32"/>
        </w:rPr>
        <w:t>万元，较上年</w:t>
      </w:r>
      <w:r>
        <w:rPr>
          <w:rFonts w:ascii="仿宋_GB2312" w:eastAsia="仿宋_GB2312" w:hint="eastAsia"/>
          <w:sz w:val="32"/>
          <w:szCs w:val="32"/>
        </w:rPr>
        <w:t>493874.70</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37103.06</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5</w:t>
      </w:r>
      <w:r>
        <w:rPr>
          <w:rFonts w:ascii="仿宋_GB2312" w:eastAsia="仿宋_GB2312" w:hint="eastAsia"/>
          <w:sz w:val="32"/>
          <w:szCs w:val="32"/>
        </w:rPr>
        <w:t>%</w:t>
      </w:r>
      <w:r>
        <w:rPr>
          <w:rFonts w:ascii="仿宋_GB2312" w:eastAsia="仿宋_GB2312" w:hint="eastAsia"/>
          <w:sz w:val="32"/>
          <w:szCs w:val="32"/>
        </w:rPr>
        <w:t>。按照经济分类科目分析如下：本年工资福利支出</w:t>
      </w:r>
      <w:r>
        <w:rPr>
          <w:rFonts w:ascii="仿宋_GB2312" w:eastAsia="仿宋_GB2312" w:hint="eastAsia"/>
          <w:sz w:val="32"/>
          <w:szCs w:val="32"/>
        </w:rPr>
        <w:t>85985.95</w:t>
      </w:r>
      <w:r>
        <w:rPr>
          <w:rFonts w:ascii="仿宋_GB2312" w:eastAsia="仿宋_GB2312" w:hint="eastAsia"/>
          <w:sz w:val="32"/>
          <w:szCs w:val="32"/>
        </w:rPr>
        <w:t>万元，较上年</w:t>
      </w:r>
      <w:r>
        <w:rPr>
          <w:rFonts w:ascii="仿宋_GB2312" w:eastAsia="仿宋_GB2312" w:hint="eastAsia"/>
          <w:sz w:val="32"/>
          <w:szCs w:val="32"/>
        </w:rPr>
        <w:t>81652.68</w:t>
      </w:r>
      <w:r>
        <w:rPr>
          <w:rFonts w:ascii="仿宋_GB2312" w:eastAsia="仿宋_GB2312" w:hint="eastAsia"/>
          <w:sz w:val="32"/>
          <w:szCs w:val="32"/>
        </w:rPr>
        <w:t>万元，增加</w:t>
      </w:r>
      <w:r>
        <w:rPr>
          <w:rFonts w:ascii="仿宋_GB2312" w:eastAsia="仿宋_GB2312" w:hint="eastAsia"/>
          <w:sz w:val="32"/>
          <w:szCs w:val="32"/>
        </w:rPr>
        <w:t>4333.27</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5</w:t>
      </w:r>
      <w:r>
        <w:rPr>
          <w:rFonts w:ascii="仿宋_GB2312" w:eastAsia="仿宋_GB2312" w:hint="eastAsia"/>
          <w:sz w:val="32"/>
          <w:szCs w:val="32"/>
        </w:rPr>
        <w:t>%</w:t>
      </w:r>
      <w:r>
        <w:rPr>
          <w:rFonts w:ascii="仿宋_GB2312" w:eastAsia="仿宋_GB2312" w:hint="eastAsia"/>
          <w:sz w:val="32"/>
          <w:szCs w:val="32"/>
        </w:rPr>
        <w:t>；商品和服务支出</w:t>
      </w:r>
      <w:r>
        <w:rPr>
          <w:rFonts w:ascii="仿宋_GB2312" w:eastAsia="仿宋_GB2312" w:hint="eastAsia"/>
          <w:sz w:val="32"/>
          <w:szCs w:val="32"/>
        </w:rPr>
        <w:t>56195.49</w:t>
      </w:r>
      <w:r>
        <w:rPr>
          <w:rFonts w:ascii="仿宋_GB2312" w:eastAsia="仿宋_GB2312" w:hint="eastAsia"/>
          <w:sz w:val="32"/>
          <w:szCs w:val="32"/>
        </w:rPr>
        <w:t>万元，较上年</w:t>
      </w:r>
      <w:r>
        <w:rPr>
          <w:rFonts w:ascii="仿宋_GB2312" w:eastAsia="仿宋_GB2312" w:hint="eastAsia"/>
          <w:sz w:val="32"/>
          <w:szCs w:val="32"/>
        </w:rPr>
        <w:t>56571.37</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375.88</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w:t>
      </w:r>
      <w:r>
        <w:rPr>
          <w:rFonts w:ascii="仿宋_GB2312" w:eastAsia="仿宋_GB2312" w:hint="eastAsia"/>
          <w:sz w:val="32"/>
          <w:szCs w:val="32"/>
        </w:rPr>
        <w:t>%</w:t>
      </w:r>
      <w:r>
        <w:rPr>
          <w:rFonts w:ascii="仿宋_GB2312" w:eastAsia="仿宋_GB2312" w:hint="eastAsia"/>
          <w:sz w:val="32"/>
          <w:szCs w:val="32"/>
        </w:rPr>
        <w:t>；对个人和家庭补助支出</w:t>
      </w:r>
      <w:r>
        <w:rPr>
          <w:rFonts w:ascii="仿宋_GB2312" w:eastAsia="仿宋_GB2312" w:hint="eastAsia"/>
          <w:sz w:val="32"/>
          <w:szCs w:val="32"/>
        </w:rPr>
        <w:t>67720.18</w:t>
      </w:r>
      <w:r>
        <w:rPr>
          <w:rFonts w:ascii="仿宋_GB2312" w:eastAsia="仿宋_GB2312" w:hint="eastAsia"/>
          <w:sz w:val="32"/>
          <w:szCs w:val="32"/>
        </w:rPr>
        <w:t>万元，较上年</w:t>
      </w:r>
      <w:r>
        <w:rPr>
          <w:rFonts w:ascii="仿宋_GB2312" w:eastAsia="仿宋_GB2312" w:hint="eastAsia"/>
          <w:sz w:val="32"/>
          <w:szCs w:val="32"/>
        </w:rPr>
        <w:t>78942.25</w:t>
      </w:r>
      <w:r>
        <w:rPr>
          <w:rFonts w:ascii="仿宋_GB2312" w:eastAsia="仿宋_GB2312" w:hint="eastAsia"/>
          <w:sz w:val="32"/>
          <w:szCs w:val="32"/>
        </w:rPr>
        <w:t>万</w:t>
      </w:r>
      <w:r>
        <w:rPr>
          <w:rFonts w:ascii="仿宋_GB2312" w:eastAsia="仿宋_GB2312" w:hint="eastAsia"/>
          <w:sz w:val="32"/>
          <w:szCs w:val="32"/>
        </w:rPr>
        <w:t>元，</w:t>
      </w:r>
      <w:r>
        <w:rPr>
          <w:rFonts w:ascii="仿宋_GB2312" w:eastAsia="仿宋_GB2312" w:hint="eastAsia"/>
          <w:sz w:val="32"/>
          <w:szCs w:val="32"/>
        </w:rPr>
        <w:t>减少</w:t>
      </w:r>
      <w:r>
        <w:rPr>
          <w:rFonts w:ascii="仿宋_GB2312" w:eastAsia="仿宋_GB2312" w:hint="eastAsia"/>
          <w:sz w:val="32"/>
          <w:szCs w:val="32"/>
        </w:rPr>
        <w:t>11222.07</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14</w:t>
      </w:r>
      <w:r>
        <w:rPr>
          <w:rFonts w:ascii="仿宋_GB2312" w:eastAsia="仿宋_GB2312" w:hint="eastAsia"/>
          <w:sz w:val="32"/>
          <w:szCs w:val="32"/>
        </w:rPr>
        <w:t>%</w:t>
      </w:r>
      <w:r>
        <w:rPr>
          <w:rFonts w:ascii="仿宋_GB2312" w:eastAsia="仿宋_GB2312" w:hint="eastAsia"/>
          <w:sz w:val="32"/>
          <w:szCs w:val="32"/>
        </w:rPr>
        <w:t>；资本性支出（基本建设）</w:t>
      </w:r>
      <w:r>
        <w:rPr>
          <w:rFonts w:ascii="仿宋_GB2312" w:eastAsia="仿宋_GB2312" w:hint="eastAsia"/>
          <w:sz w:val="32"/>
          <w:szCs w:val="32"/>
        </w:rPr>
        <w:t>63033.06</w:t>
      </w:r>
      <w:r>
        <w:rPr>
          <w:rFonts w:ascii="仿宋_GB2312" w:eastAsia="仿宋_GB2312" w:hint="eastAsia"/>
          <w:sz w:val="32"/>
          <w:szCs w:val="32"/>
        </w:rPr>
        <w:t>万元，较上年</w:t>
      </w:r>
      <w:r>
        <w:rPr>
          <w:rFonts w:ascii="仿宋_GB2312" w:eastAsia="仿宋_GB2312" w:hint="eastAsia"/>
          <w:sz w:val="32"/>
          <w:szCs w:val="32"/>
        </w:rPr>
        <w:t>88996.92</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25963.86</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29</w:t>
      </w:r>
      <w:r>
        <w:rPr>
          <w:rFonts w:ascii="仿宋_GB2312" w:eastAsia="仿宋_GB2312" w:hint="eastAsia"/>
          <w:sz w:val="32"/>
          <w:szCs w:val="32"/>
        </w:rPr>
        <w:t>%</w:t>
      </w:r>
      <w:r>
        <w:rPr>
          <w:rFonts w:ascii="仿宋_GB2312" w:eastAsia="仿宋_GB2312" w:hint="eastAsia"/>
          <w:sz w:val="32"/>
          <w:szCs w:val="32"/>
        </w:rPr>
        <w:t>；资本性支出</w:t>
      </w:r>
      <w:r>
        <w:rPr>
          <w:rFonts w:ascii="仿宋_GB2312" w:eastAsia="仿宋_GB2312" w:hint="eastAsia"/>
          <w:sz w:val="32"/>
          <w:szCs w:val="32"/>
        </w:rPr>
        <w:t>153771.53</w:t>
      </w:r>
      <w:r>
        <w:rPr>
          <w:rFonts w:ascii="仿宋_GB2312" w:eastAsia="仿宋_GB2312" w:hint="eastAsia"/>
          <w:sz w:val="32"/>
          <w:szCs w:val="32"/>
        </w:rPr>
        <w:t>万元，较上年</w:t>
      </w:r>
      <w:r>
        <w:rPr>
          <w:rFonts w:ascii="仿宋_GB2312" w:eastAsia="仿宋_GB2312" w:hint="eastAsia"/>
          <w:sz w:val="32"/>
          <w:szCs w:val="32"/>
        </w:rPr>
        <w:t>168489.38</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14717.85</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9</w:t>
      </w:r>
      <w:r>
        <w:rPr>
          <w:rFonts w:ascii="仿宋_GB2312" w:eastAsia="仿宋_GB2312" w:hint="eastAsia"/>
          <w:sz w:val="32"/>
          <w:szCs w:val="32"/>
        </w:rPr>
        <w:t>%</w:t>
      </w:r>
      <w:r>
        <w:rPr>
          <w:rFonts w:ascii="仿宋_GB2312" w:eastAsia="仿宋_GB2312" w:hint="eastAsia"/>
          <w:sz w:val="32"/>
          <w:szCs w:val="32"/>
        </w:rPr>
        <w:t>；对企业补助</w:t>
      </w:r>
      <w:r>
        <w:rPr>
          <w:rFonts w:ascii="仿宋_GB2312" w:eastAsia="仿宋_GB2312" w:hint="eastAsia"/>
          <w:sz w:val="32"/>
          <w:szCs w:val="32"/>
        </w:rPr>
        <w:t>（</w:t>
      </w:r>
      <w:r>
        <w:rPr>
          <w:rFonts w:ascii="仿宋_GB2312" w:eastAsia="仿宋_GB2312" w:hint="eastAsia"/>
          <w:sz w:val="32"/>
          <w:szCs w:val="32"/>
        </w:rPr>
        <w:t>基本建设</w:t>
      </w:r>
      <w:r>
        <w:rPr>
          <w:rFonts w:ascii="仿宋_GB2312" w:eastAsia="仿宋_GB2312" w:hint="eastAsia"/>
          <w:sz w:val="32"/>
          <w:szCs w:val="32"/>
        </w:rPr>
        <w:t>）</w:t>
      </w:r>
      <w:r>
        <w:rPr>
          <w:rFonts w:ascii="仿宋_GB2312" w:eastAsia="仿宋_GB2312" w:hint="eastAsia"/>
          <w:sz w:val="32"/>
          <w:szCs w:val="32"/>
        </w:rPr>
        <w:t>4900</w:t>
      </w:r>
      <w:r>
        <w:rPr>
          <w:rFonts w:ascii="仿宋_GB2312" w:eastAsia="仿宋_GB2312" w:hint="eastAsia"/>
          <w:sz w:val="32"/>
          <w:szCs w:val="32"/>
        </w:rPr>
        <w:t>万元，较上年</w:t>
      </w:r>
      <w:r>
        <w:rPr>
          <w:rFonts w:ascii="仿宋_GB2312" w:eastAsia="仿宋_GB2312" w:hint="eastAsia"/>
          <w:sz w:val="32"/>
          <w:szCs w:val="32"/>
        </w:rPr>
        <w:t>0</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4900</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100</w:t>
      </w:r>
      <w:r>
        <w:rPr>
          <w:rFonts w:ascii="仿宋_GB2312" w:eastAsia="仿宋_GB2312" w:hint="eastAsia"/>
          <w:sz w:val="32"/>
          <w:szCs w:val="32"/>
        </w:rPr>
        <w:t>%</w:t>
      </w:r>
      <w:r>
        <w:rPr>
          <w:rFonts w:ascii="仿宋_GB2312" w:eastAsia="仿宋_GB2312" w:hint="eastAsia"/>
          <w:sz w:val="32"/>
          <w:szCs w:val="32"/>
        </w:rPr>
        <w:t>；对企业补助</w:t>
      </w:r>
      <w:r>
        <w:rPr>
          <w:rFonts w:ascii="仿宋_GB2312" w:eastAsia="仿宋_GB2312" w:hint="eastAsia"/>
          <w:sz w:val="32"/>
          <w:szCs w:val="32"/>
        </w:rPr>
        <w:t>13770</w:t>
      </w:r>
      <w:r>
        <w:rPr>
          <w:rFonts w:ascii="仿宋_GB2312" w:eastAsia="仿宋_GB2312" w:hint="eastAsia"/>
          <w:sz w:val="32"/>
          <w:szCs w:val="32"/>
        </w:rPr>
        <w:t>万元，较上年</w:t>
      </w:r>
      <w:r>
        <w:rPr>
          <w:rFonts w:ascii="仿宋_GB2312" w:eastAsia="仿宋_GB2312" w:hint="eastAsia"/>
          <w:sz w:val="32"/>
          <w:szCs w:val="32"/>
        </w:rPr>
        <w:t>17,625.59</w:t>
      </w:r>
      <w:r>
        <w:rPr>
          <w:rFonts w:ascii="仿宋_GB2312" w:eastAsia="仿宋_GB2312" w:hint="eastAsia"/>
          <w:sz w:val="32"/>
          <w:szCs w:val="32"/>
        </w:rPr>
        <w:t>万元，减少</w:t>
      </w:r>
      <w:r>
        <w:rPr>
          <w:rFonts w:ascii="仿宋_GB2312" w:eastAsia="仿宋_GB2312" w:hint="eastAsia"/>
          <w:sz w:val="32"/>
          <w:szCs w:val="32"/>
        </w:rPr>
        <w:t>3855.59</w:t>
      </w:r>
      <w:r>
        <w:rPr>
          <w:rFonts w:ascii="仿宋_GB2312" w:eastAsia="仿宋_GB2312" w:hint="eastAsia"/>
          <w:sz w:val="32"/>
          <w:szCs w:val="32"/>
        </w:rPr>
        <w:t>万</w:t>
      </w:r>
      <w:r>
        <w:rPr>
          <w:rFonts w:ascii="仿宋_GB2312" w:eastAsia="仿宋_GB2312" w:hint="eastAsia"/>
          <w:sz w:val="32"/>
          <w:szCs w:val="32"/>
        </w:rPr>
        <w:t>元，下降</w:t>
      </w:r>
      <w:r>
        <w:rPr>
          <w:rFonts w:ascii="仿宋_GB2312" w:eastAsia="仿宋_GB2312" w:hint="eastAsia"/>
          <w:sz w:val="32"/>
          <w:szCs w:val="32"/>
        </w:rPr>
        <w:t>22%</w:t>
      </w:r>
      <w:r>
        <w:rPr>
          <w:rFonts w:ascii="仿宋_GB2312" w:eastAsia="仿宋_GB2312" w:hint="eastAsia"/>
          <w:sz w:val="32"/>
          <w:szCs w:val="32"/>
        </w:rPr>
        <w:t>；</w:t>
      </w:r>
      <w:r>
        <w:rPr>
          <w:rFonts w:ascii="仿宋_GB2312" w:eastAsia="仿宋_GB2312" w:hint="eastAsia"/>
          <w:sz w:val="32"/>
          <w:szCs w:val="32"/>
        </w:rPr>
        <w:t>其他支出</w:t>
      </w:r>
      <w:r>
        <w:rPr>
          <w:rFonts w:ascii="仿宋_GB2312" w:eastAsia="仿宋_GB2312" w:hint="eastAsia"/>
          <w:sz w:val="32"/>
          <w:szCs w:val="32"/>
        </w:rPr>
        <w:t>1881.92</w:t>
      </w:r>
      <w:r>
        <w:rPr>
          <w:rFonts w:ascii="仿宋_GB2312" w:eastAsia="仿宋_GB2312" w:hint="eastAsia"/>
          <w:sz w:val="32"/>
          <w:szCs w:val="32"/>
        </w:rPr>
        <w:t>万元，较上年</w:t>
      </w:r>
      <w:r>
        <w:rPr>
          <w:rFonts w:ascii="仿宋_GB2312" w:eastAsia="仿宋_GB2312" w:hint="eastAsia"/>
          <w:sz w:val="32"/>
          <w:szCs w:val="32"/>
        </w:rPr>
        <w:t>1596.52</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285.4</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18</w:t>
      </w:r>
      <w:r>
        <w:rPr>
          <w:rFonts w:ascii="仿宋_GB2312" w:eastAsia="仿宋_GB2312" w:hint="eastAsia"/>
          <w:sz w:val="32"/>
          <w:szCs w:val="32"/>
        </w:rPr>
        <w:t>%</w:t>
      </w:r>
      <w:r>
        <w:rPr>
          <w:rFonts w:ascii="仿宋_GB2312" w:eastAsia="仿宋_GB2312" w:hint="eastAsia"/>
          <w:sz w:val="32"/>
          <w:szCs w:val="32"/>
        </w:rPr>
        <w:t>。</w:t>
      </w:r>
    </w:p>
    <w:p w14:paraId="67C0C265" w14:textId="77777777" w:rsidR="00000000" w:rsidRDefault="00763D17">
      <w:pPr>
        <w:numPr>
          <w:ilvl w:val="0"/>
          <w:numId w:val="5"/>
        </w:numPr>
        <w:snapToGrid w:val="0"/>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本地区“三公”经费、会议费、培训费等重点经济分类支出分析，进行上下年对比，人均支出情况分析等。</w:t>
      </w:r>
    </w:p>
    <w:p w14:paraId="68EE9121"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本年“三公”经费支出</w:t>
      </w:r>
      <w:r>
        <w:rPr>
          <w:rFonts w:ascii="仿宋_GB2312" w:eastAsia="仿宋_GB2312" w:hint="eastAsia"/>
          <w:sz w:val="32"/>
          <w:szCs w:val="32"/>
        </w:rPr>
        <w:t>1530.88</w:t>
      </w:r>
      <w:r>
        <w:rPr>
          <w:rFonts w:ascii="仿宋_GB2312" w:eastAsia="仿宋_GB2312" w:hint="eastAsia"/>
          <w:sz w:val="32"/>
          <w:szCs w:val="32"/>
        </w:rPr>
        <w:t>万元，较上年</w:t>
      </w:r>
      <w:r>
        <w:rPr>
          <w:rFonts w:ascii="仿宋_GB2312" w:eastAsia="仿宋_GB2312" w:hint="eastAsia"/>
          <w:sz w:val="32"/>
          <w:szCs w:val="32"/>
        </w:rPr>
        <w:t>1302.11</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lastRenderedPageBreak/>
        <w:t>228.77</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18</w:t>
      </w:r>
      <w:r>
        <w:rPr>
          <w:rFonts w:ascii="仿宋_GB2312" w:eastAsia="仿宋_GB2312" w:hint="eastAsia"/>
          <w:sz w:val="32"/>
          <w:szCs w:val="32"/>
        </w:rPr>
        <w:t>%</w:t>
      </w:r>
      <w:r>
        <w:rPr>
          <w:rFonts w:ascii="仿宋_GB2312" w:eastAsia="仿宋_GB2312" w:hint="eastAsia"/>
          <w:sz w:val="32"/>
          <w:szCs w:val="32"/>
        </w:rPr>
        <w:t>。其中：因公出国（境）费用本年支出</w:t>
      </w:r>
      <w:r>
        <w:rPr>
          <w:rFonts w:ascii="仿宋_GB2312" w:eastAsia="仿宋_GB2312" w:hint="eastAsia"/>
          <w:sz w:val="32"/>
          <w:szCs w:val="32"/>
        </w:rPr>
        <w:t>21.17</w:t>
      </w:r>
      <w:r>
        <w:rPr>
          <w:rFonts w:ascii="仿宋_GB2312" w:eastAsia="仿宋_GB2312" w:hint="eastAsia"/>
          <w:sz w:val="32"/>
          <w:szCs w:val="32"/>
        </w:rPr>
        <w:t>万元，</w:t>
      </w:r>
      <w:r>
        <w:rPr>
          <w:rFonts w:ascii="仿宋_GB2312" w:eastAsia="仿宋_GB2312" w:hint="eastAsia"/>
          <w:sz w:val="32"/>
          <w:szCs w:val="32"/>
        </w:rPr>
        <w:t>较上年</w:t>
      </w:r>
      <w:r>
        <w:rPr>
          <w:rFonts w:ascii="仿宋_GB2312" w:eastAsia="仿宋_GB2312" w:hint="eastAsia"/>
          <w:sz w:val="32"/>
          <w:szCs w:val="32"/>
        </w:rPr>
        <w:t>0</w:t>
      </w:r>
      <w:r>
        <w:rPr>
          <w:rFonts w:ascii="仿宋_GB2312" w:eastAsia="仿宋_GB2312" w:hint="eastAsia"/>
          <w:sz w:val="32"/>
          <w:szCs w:val="32"/>
        </w:rPr>
        <w:t>万元，增长</w:t>
      </w:r>
      <w:r>
        <w:rPr>
          <w:rFonts w:ascii="仿宋_GB2312" w:eastAsia="仿宋_GB2312" w:hint="eastAsia"/>
          <w:sz w:val="32"/>
          <w:szCs w:val="32"/>
        </w:rPr>
        <w:t>100%</w:t>
      </w:r>
      <w:r>
        <w:rPr>
          <w:rFonts w:ascii="仿宋_GB2312" w:eastAsia="仿宋_GB2312" w:hint="eastAsia"/>
          <w:sz w:val="32"/>
          <w:szCs w:val="32"/>
        </w:rPr>
        <w:t>；公务接待费本年支出</w:t>
      </w:r>
      <w:r>
        <w:rPr>
          <w:rFonts w:ascii="仿宋_GB2312" w:eastAsia="仿宋_GB2312" w:hint="eastAsia"/>
          <w:sz w:val="32"/>
          <w:szCs w:val="32"/>
        </w:rPr>
        <w:t>232.45</w:t>
      </w:r>
      <w:r>
        <w:rPr>
          <w:rFonts w:ascii="仿宋_GB2312" w:eastAsia="仿宋_GB2312" w:hint="eastAsia"/>
          <w:sz w:val="32"/>
          <w:szCs w:val="32"/>
        </w:rPr>
        <w:t>万元，较上年</w:t>
      </w:r>
      <w:r>
        <w:rPr>
          <w:rFonts w:ascii="仿宋_GB2312" w:eastAsia="仿宋_GB2312" w:hint="eastAsia"/>
          <w:sz w:val="32"/>
          <w:szCs w:val="32"/>
        </w:rPr>
        <w:t>279.92</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47.47</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17</w:t>
      </w:r>
      <w:r>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主要是落实过紧日子压减三公经费支出；</w:t>
      </w:r>
      <w:r>
        <w:rPr>
          <w:rFonts w:ascii="仿宋_GB2312" w:eastAsia="仿宋_GB2312" w:hint="eastAsia"/>
          <w:sz w:val="32"/>
          <w:szCs w:val="32"/>
        </w:rPr>
        <w:t>公务用车</w:t>
      </w:r>
      <w:r>
        <w:rPr>
          <w:rFonts w:ascii="仿宋_GB2312" w:eastAsia="仿宋_GB2312" w:hint="eastAsia"/>
          <w:sz w:val="32"/>
          <w:szCs w:val="32"/>
        </w:rPr>
        <w:t>运行维护费</w:t>
      </w:r>
      <w:r>
        <w:rPr>
          <w:rFonts w:ascii="仿宋_GB2312" w:eastAsia="仿宋_GB2312" w:hint="eastAsia"/>
          <w:sz w:val="32"/>
          <w:szCs w:val="32"/>
        </w:rPr>
        <w:t>660.58</w:t>
      </w:r>
      <w:r>
        <w:rPr>
          <w:rFonts w:ascii="仿宋_GB2312" w:eastAsia="仿宋_GB2312" w:hint="eastAsia"/>
          <w:sz w:val="32"/>
          <w:szCs w:val="32"/>
        </w:rPr>
        <w:t>万元，较上年</w:t>
      </w:r>
      <w:r>
        <w:rPr>
          <w:rFonts w:ascii="仿宋_GB2312" w:eastAsia="仿宋_GB2312" w:hint="eastAsia"/>
          <w:sz w:val="32"/>
          <w:szCs w:val="32"/>
        </w:rPr>
        <w:t>685.67</w:t>
      </w:r>
      <w:r>
        <w:rPr>
          <w:rFonts w:ascii="仿宋_GB2312" w:eastAsia="仿宋_GB2312" w:hint="eastAsia"/>
          <w:sz w:val="32"/>
          <w:szCs w:val="32"/>
        </w:rPr>
        <w:t>元，</w:t>
      </w:r>
      <w:r>
        <w:rPr>
          <w:rFonts w:ascii="仿宋_GB2312" w:eastAsia="仿宋_GB2312" w:hint="eastAsia"/>
          <w:sz w:val="32"/>
          <w:szCs w:val="32"/>
        </w:rPr>
        <w:t>减少</w:t>
      </w:r>
      <w:r>
        <w:rPr>
          <w:rFonts w:ascii="仿宋_GB2312" w:eastAsia="仿宋_GB2312" w:hint="eastAsia"/>
          <w:sz w:val="32"/>
          <w:szCs w:val="32"/>
        </w:rPr>
        <w:t>25.09</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4</w:t>
      </w:r>
      <w:r>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2022</w:t>
      </w:r>
      <w:r>
        <w:rPr>
          <w:rFonts w:ascii="仿宋_GB2312" w:eastAsia="仿宋_GB2312" w:hint="eastAsia"/>
          <w:sz w:val="32"/>
          <w:szCs w:val="32"/>
        </w:rPr>
        <w:t>年师压减工作经费，加强过紧日子；</w:t>
      </w:r>
      <w:r>
        <w:rPr>
          <w:rFonts w:ascii="仿宋_GB2312" w:eastAsia="仿宋_GB2312" w:hint="eastAsia"/>
          <w:sz w:val="32"/>
          <w:szCs w:val="32"/>
        </w:rPr>
        <w:t>公务公车购置本年支出</w:t>
      </w:r>
      <w:r>
        <w:rPr>
          <w:rFonts w:ascii="仿宋_GB2312" w:eastAsia="仿宋_GB2312" w:hint="eastAsia"/>
          <w:sz w:val="32"/>
          <w:szCs w:val="32"/>
        </w:rPr>
        <w:t>616.68</w:t>
      </w:r>
      <w:r>
        <w:rPr>
          <w:rFonts w:ascii="仿宋_GB2312" w:eastAsia="仿宋_GB2312" w:hint="eastAsia"/>
          <w:sz w:val="32"/>
          <w:szCs w:val="32"/>
        </w:rPr>
        <w:t>万元，较上年</w:t>
      </w:r>
      <w:r>
        <w:rPr>
          <w:rFonts w:ascii="仿宋_GB2312" w:eastAsia="仿宋_GB2312" w:hint="eastAsia"/>
          <w:sz w:val="32"/>
          <w:szCs w:val="32"/>
        </w:rPr>
        <w:t>336.52</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280.17</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增长</w:t>
      </w:r>
      <w:r>
        <w:rPr>
          <w:rFonts w:ascii="仿宋_GB2312" w:eastAsia="仿宋_GB2312" w:hint="eastAsia"/>
          <w:sz w:val="32"/>
          <w:szCs w:val="32"/>
        </w:rPr>
        <w:t>83.26%</w:t>
      </w:r>
      <w:r>
        <w:rPr>
          <w:rFonts w:ascii="仿宋_GB2312" w:eastAsia="仿宋_GB2312" w:hint="eastAsia"/>
          <w:sz w:val="32"/>
          <w:szCs w:val="32"/>
        </w:rPr>
        <w:t>。</w:t>
      </w:r>
      <w:r>
        <w:rPr>
          <w:rFonts w:ascii="仿宋_GB2312" w:eastAsia="仿宋_GB2312" w:hint="eastAsia"/>
          <w:sz w:val="32"/>
          <w:szCs w:val="32"/>
        </w:rPr>
        <w:t>主要是师公安局老旧车辆报废，为保障正常运行新购车辆较多。</w:t>
      </w:r>
    </w:p>
    <w:p w14:paraId="2342832B"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本年会议费支出</w:t>
      </w:r>
      <w:r>
        <w:rPr>
          <w:rFonts w:ascii="仿宋_GB2312" w:eastAsia="仿宋_GB2312" w:hint="eastAsia"/>
          <w:sz w:val="32"/>
          <w:szCs w:val="32"/>
        </w:rPr>
        <w:t>89.8</w:t>
      </w:r>
      <w:r>
        <w:rPr>
          <w:rFonts w:ascii="仿宋_GB2312" w:eastAsia="仿宋_GB2312" w:hint="eastAsia"/>
          <w:sz w:val="32"/>
          <w:szCs w:val="32"/>
        </w:rPr>
        <w:t>万元，较上年</w:t>
      </w:r>
      <w:r>
        <w:rPr>
          <w:rFonts w:ascii="仿宋_GB2312" w:eastAsia="仿宋_GB2312" w:hint="eastAsia"/>
          <w:sz w:val="32"/>
          <w:szCs w:val="32"/>
        </w:rPr>
        <w:t>54.16</w:t>
      </w:r>
      <w:r>
        <w:rPr>
          <w:rFonts w:ascii="仿宋_GB2312" w:eastAsia="仿宋_GB2312" w:hint="eastAsia"/>
          <w:sz w:val="32"/>
          <w:szCs w:val="32"/>
        </w:rPr>
        <w:t>万元，</w:t>
      </w:r>
      <w:r>
        <w:rPr>
          <w:rFonts w:ascii="仿宋_GB2312" w:eastAsia="仿宋_GB2312" w:hint="eastAsia"/>
          <w:sz w:val="32"/>
          <w:szCs w:val="32"/>
        </w:rPr>
        <w:t>减少了</w:t>
      </w:r>
      <w:r>
        <w:rPr>
          <w:rFonts w:ascii="仿宋_GB2312" w:eastAsia="仿宋_GB2312" w:hint="eastAsia"/>
          <w:sz w:val="32"/>
          <w:szCs w:val="32"/>
        </w:rPr>
        <w:t>1.54</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2.76</w:t>
      </w:r>
      <w:r>
        <w:rPr>
          <w:rFonts w:ascii="仿宋_GB2312" w:eastAsia="仿宋_GB2312" w:hint="eastAsia"/>
          <w:sz w:val="32"/>
          <w:szCs w:val="32"/>
        </w:rPr>
        <w:t>%</w:t>
      </w:r>
      <w:r>
        <w:rPr>
          <w:rFonts w:ascii="仿宋_GB2312" w:eastAsia="仿宋_GB2312" w:hint="eastAsia"/>
          <w:sz w:val="32"/>
          <w:szCs w:val="32"/>
        </w:rPr>
        <w:t>，主要因</w:t>
      </w:r>
      <w:r>
        <w:rPr>
          <w:rFonts w:ascii="仿宋_GB2312" w:eastAsia="仿宋_GB2312" w:hint="eastAsia"/>
          <w:sz w:val="32"/>
          <w:szCs w:val="32"/>
        </w:rPr>
        <w:t>与上年对比增加</w:t>
      </w:r>
      <w:r>
        <w:rPr>
          <w:rFonts w:ascii="仿宋_GB2312" w:eastAsia="仿宋_GB2312" w:hint="eastAsia"/>
          <w:sz w:val="32"/>
          <w:szCs w:val="32"/>
        </w:rPr>
        <w:t>线下会议。</w:t>
      </w:r>
    </w:p>
    <w:p w14:paraId="49AEDCD7"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本年培训费支出</w:t>
      </w:r>
      <w:r>
        <w:rPr>
          <w:rFonts w:ascii="仿宋_GB2312" w:eastAsia="仿宋_GB2312" w:hint="eastAsia"/>
          <w:sz w:val="32"/>
          <w:szCs w:val="32"/>
        </w:rPr>
        <w:t>836.51</w:t>
      </w:r>
      <w:r>
        <w:rPr>
          <w:rFonts w:ascii="仿宋_GB2312" w:eastAsia="仿宋_GB2312" w:hint="eastAsia"/>
          <w:sz w:val="32"/>
          <w:szCs w:val="32"/>
        </w:rPr>
        <w:t>万元，较上年</w:t>
      </w:r>
      <w:r>
        <w:rPr>
          <w:rFonts w:ascii="仿宋_GB2312" w:eastAsia="仿宋_GB2312" w:hint="eastAsia"/>
          <w:sz w:val="32"/>
          <w:szCs w:val="32"/>
        </w:rPr>
        <w:t>554.28</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58.38</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减少</w:t>
      </w:r>
      <w:r>
        <w:rPr>
          <w:rFonts w:ascii="仿宋_GB2312" w:eastAsia="仿宋_GB2312" w:hint="eastAsia"/>
          <w:sz w:val="32"/>
          <w:szCs w:val="32"/>
        </w:rPr>
        <w:t>9.53%</w:t>
      </w:r>
      <w:r>
        <w:rPr>
          <w:rFonts w:ascii="仿宋_GB2312" w:eastAsia="仿宋_GB2312" w:hint="eastAsia"/>
          <w:sz w:val="32"/>
          <w:szCs w:val="32"/>
        </w:rPr>
        <w:t>，</w:t>
      </w:r>
      <w:r>
        <w:rPr>
          <w:rFonts w:ascii="仿宋_GB2312" w:eastAsia="仿宋_GB2312" w:hint="eastAsia"/>
          <w:sz w:val="32"/>
          <w:szCs w:val="32"/>
        </w:rPr>
        <w:t>主要因</w:t>
      </w:r>
      <w:r>
        <w:rPr>
          <w:rFonts w:ascii="仿宋_GB2312" w:eastAsia="仿宋_GB2312" w:hint="eastAsia"/>
          <w:sz w:val="32"/>
          <w:szCs w:val="32"/>
        </w:rPr>
        <w:t>受疫情影响，各单</w:t>
      </w:r>
      <w:r>
        <w:rPr>
          <w:rFonts w:ascii="仿宋_GB2312" w:eastAsia="仿宋_GB2312" w:hint="eastAsia"/>
          <w:sz w:val="32"/>
          <w:szCs w:val="32"/>
        </w:rPr>
        <w:t>位线下培训减少</w:t>
      </w:r>
      <w:r>
        <w:rPr>
          <w:rFonts w:ascii="仿宋_GB2312" w:eastAsia="仿宋_GB2312" w:hint="eastAsia"/>
          <w:sz w:val="32"/>
          <w:szCs w:val="32"/>
        </w:rPr>
        <w:t>。</w:t>
      </w:r>
    </w:p>
    <w:p w14:paraId="545B043D" w14:textId="77777777" w:rsidR="00000000" w:rsidRDefault="00763D17">
      <w:pPr>
        <w:snapToGrid w:val="0"/>
        <w:spacing w:line="580" w:lineRule="exact"/>
        <w:ind w:firstLineChars="200" w:firstLine="640"/>
        <w:rPr>
          <w:rFonts w:ascii="仿宋_GB2312" w:eastAsia="仿宋_GB2312" w:hAnsi="仿宋" w:hint="eastAsia"/>
          <w:sz w:val="32"/>
          <w:szCs w:val="32"/>
        </w:rPr>
      </w:pPr>
      <w:r>
        <w:rPr>
          <w:rFonts w:ascii="仿宋_GB2312" w:eastAsia="仿宋_GB2312" w:hint="eastAsia"/>
          <w:sz w:val="32"/>
          <w:szCs w:val="32"/>
        </w:rPr>
        <w:t>本年年末在职人数</w:t>
      </w:r>
      <w:r>
        <w:rPr>
          <w:rFonts w:ascii="仿宋_GB2312" w:eastAsia="仿宋_GB2312" w:hint="eastAsia"/>
          <w:sz w:val="32"/>
          <w:szCs w:val="32"/>
        </w:rPr>
        <w:t>3931</w:t>
      </w:r>
      <w:r>
        <w:rPr>
          <w:rFonts w:ascii="仿宋_GB2312" w:eastAsia="仿宋_GB2312" w:hint="eastAsia"/>
          <w:sz w:val="32"/>
          <w:szCs w:val="32"/>
        </w:rPr>
        <w:t>人，人均工资福利支出</w:t>
      </w:r>
      <w:r>
        <w:rPr>
          <w:rFonts w:ascii="仿宋_GB2312" w:eastAsia="仿宋_GB2312" w:hint="eastAsia"/>
          <w:sz w:val="32"/>
          <w:szCs w:val="32"/>
        </w:rPr>
        <w:t>16.63</w:t>
      </w:r>
      <w:r>
        <w:rPr>
          <w:rFonts w:ascii="仿宋_GB2312" w:eastAsia="仿宋_GB2312" w:hint="eastAsia"/>
          <w:sz w:val="32"/>
          <w:szCs w:val="32"/>
        </w:rPr>
        <w:t>万元，其中：基本工资、津贴补贴、奖金、绩效工资人均</w:t>
      </w:r>
      <w:r>
        <w:rPr>
          <w:rFonts w:ascii="仿宋_GB2312" w:eastAsia="仿宋_GB2312" w:hint="eastAsia"/>
          <w:sz w:val="32"/>
          <w:szCs w:val="32"/>
        </w:rPr>
        <w:t>13.41</w:t>
      </w:r>
      <w:r>
        <w:rPr>
          <w:rFonts w:ascii="仿宋_GB2312" w:eastAsia="仿宋_GB2312" w:hint="eastAsia"/>
          <w:sz w:val="32"/>
          <w:szCs w:val="32"/>
        </w:rPr>
        <w:t>万元，养老保险、职业年金、医疗保险、医疗补助、其他社保缴费人均</w:t>
      </w:r>
      <w:r>
        <w:rPr>
          <w:rFonts w:ascii="仿宋_GB2312" w:eastAsia="仿宋_GB2312" w:hint="eastAsia"/>
          <w:sz w:val="32"/>
          <w:szCs w:val="32"/>
        </w:rPr>
        <w:t>3.91</w:t>
      </w:r>
      <w:r>
        <w:rPr>
          <w:rFonts w:ascii="仿宋_GB2312" w:eastAsia="仿宋_GB2312" w:hint="eastAsia"/>
          <w:sz w:val="32"/>
          <w:szCs w:val="32"/>
        </w:rPr>
        <w:t>万元，工资福利支出其他人均</w:t>
      </w:r>
      <w:r>
        <w:rPr>
          <w:rFonts w:ascii="仿宋_GB2312" w:eastAsia="仿宋_GB2312" w:hint="eastAsia"/>
          <w:sz w:val="32"/>
          <w:szCs w:val="32"/>
        </w:rPr>
        <w:t>3.3</w:t>
      </w:r>
      <w:r>
        <w:rPr>
          <w:rFonts w:ascii="仿宋_GB2312" w:eastAsia="仿宋_GB2312" w:hint="eastAsia"/>
          <w:sz w:val="32"/>
          <w:szCs w:val="32"/>
        </w:rPr>
        <w:t>万元。人均基本支出</w:t>
      </w:r>
      <w:r>
        <w:rPr>
          <w:rFonts w:ascii="仿宋_GB2312" w:eastAsia="仿宋_GB2312" w:hint="eastAsia"/>
          <w:sz w:val="32"/>
          <w:szCs w:val="32"/>
        </w:rPr>
        <w:t>21.63</w:t>
      </w:r>
      <w:r>
        <w:rPr>
          <w:rFonts w:ascii="仿宋_GB2312" w:eastAsia="仿宋_GB2312" w:hint="eastAsia"/>
          <w:sz w:val="32"/>
          <w:szCs w:val="32"/>
        </w:rPr>
        <w:t>万元，其中：人员经费人均</w:t>
      </w:r>
      <w:r>
        <w:rPr>
          <w:rFonts w:ascii="仿宋_GB2312" w:eastAsia="仿宋_GB2312" w:hint="eastAsia"/>
          <w:sz w:val="32"/>
          <w:szCs w:val="32"/>
        </w:rPr>
        <w:t>17.61</w:t>
      </w:r>
      <w:r>
        <w:rPr>
          <w:rFonts w:ascii="仿宋_GB2312" w:eastAsia="仿宋_GB2312" w:hint="eastAsia"/>
          <w:sz w:val="32"/>
          <w:szCs w:val="32"/>
        </w:rPr>
        <w:t>万元（工资福利支出人均</w:t>
      </w:r>
      <w:r>
        <w:rPr>
          <w:rFonts w:ascii="仿宋_GB2312" w:eastAsia="仿宋_GB2312" w:hint="eastAsia"/>
          <w:sz w:val="32"/>
          <w:szCs w:val="32"/>
        </w:rPr>
        <w:t>15.32</w:t>
      </w:r>
      <w:r>
        <w:rPr>
          <w:rFonts w:ascii="仿宋_GB2312" w:eastAsia="仿宋_GB2312" w:hint="eastAsia"/>
          <w:sz w:val="32"/>
          <w:szCs w:val="32"/>
        </w:rPr>
        <w:t>万元），公用经费人均</w:t>
      </w:r>
      <w:r>
        <w:rPr>
          <w:rFonts w:ascii="仿宋_GB2312" w:eastAsia="仿宋_GB2312" w:hint="eastAsia"/>
          <w:sz w:val="32"/>
          <w:szCs w:val="32"/>
        </w:rPr>
        <w:t>5.22</w:t>
      </w:r>
      <w:r>
        <w:rPr>
          <w:rFonts w:ascii="仿宋_GB2312" w:eastAsia="仿宋_GB2312" w:hint="eastAsia"/>
          <w:sz w:val="32"/>
          <w:szCs w:val="32"/>
        </w:rPr>
        <w:t>万元。</w:t>
      </w:r>
      <w:r>
        <w:rPr>
          <w:rFonts w:ascii="仿宋_GB2312" w:eastAsia="仿宋_GB2312" w:hint="eastAsia"/>
          <w:sz w:val="32"/>
          <w:szCs w:val="32"/>
        </w:rPr>
        <w:t>主要是包括项目安排的公用经费，所以人均公用经费偏高。</w:t>
      </w:r>
    </w:p>
    <w:p w14:paraId="42BE73B9"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（二）部门收入、支出预决算对比情况。</w:t>
      </w:r>
    </w:p>
    <w:p w14:paraId="1F6A58B3" w14:textId="77777777" w:rsidR="00000000" w:rsidRDefault="00763D17">
      <w:pPr>
        <w:spacing w:line="640" w:lineRule="exact"/>
        <w:ind w:firstLineChars="200" w:firstLine="640"/>
        <w:rPr>
          <w:rFonts w:ascii="仿宋_GB2312" w:eastAsia="仿宋_GB2312" w:hint="eastAsia"/>
          <w:sz w:val="32"/>
          <w:szCs w:val="32"/>
        </w:rPr>
      </w:pPr>
      <w:r>
        <w:rPr>
          <w:rFonts w:ascii="仿宋_GB2312" w:eastAsia="仿宋_GB2312" w:hint="eastAsia"/>
          <w:sz w:val="32"/>
          <w:szCs w:val="32"/>
        </w:rPr>
        <w:t>2023</w:t>
      </w:r>
      <w:r>
        <w:rPr>
          <w:rFonts w:ascii="仿宋_GB2312" w:eastAsia="仿宋_GB2312" w:hint="eastAsia"/>
          <w:sz w:val="32"/>
          <w:szCs w:val="32"/>
        </w:rPr>
        <w:t>年度九师</w:t>
      </w:r>
      <w:r>
        <w:rPr>
          <w:rFonts w:eastAsia="仿宋_GB2312"/>
          <w:bCs/>
          <w:sz w:val="32"/>
          <w:szCs w:val="32"/>
        </w:rPr>
        <w:t>部门预算单位总收入预算数为</w:t>
      </w:r>
      <w:r>
        <w:rPr>
          <w:rFonts w:ascii="仿宋_GB2312" w:eastAsia="仿宋_GB2312" w:hint="eastAsia"/>
          <w:sz w:val="32"/>
          <w:szCs w:val="32"/>
        </w:rPr>
        <w:t>316966.8</w:t>
      </w:r>
      <w:r>
        <w:rPr>
          <w:rFonts w:ascii="仿宋_GB2312" w:eastAsia="仿宋_GB2312" w:hint="eastAsia"/>
          <w:sz w:val="32"/>
          <w:szCs w:val="32"/>
        </w:rPr>
        <w:t>3</w:t>
      </w:r>
      <w:r>
        <w:rPr>
          <w:rFonts w:ascii="仿宋_GB2312" w:eastAsia="仿宋_GB2312" w:hint="eastAsia"/>
          <w:sz w:val="32"/>
          <w:szCs w:val="32"/>
        </w:rPr>
        <w:t>万元，</w:t>
      </w:r>
      <w:r>
        <w:rPr>
          <w:rFonts w:ascii="仿宋_GB2312" w:eastAsia="仿宋_GB2312" w:hint="eastAsia"/>
          <w:sz w:val="32"/>
          <w:szCs w:val="32"/>
        </w:rPr>
        <w:t>决算数</w:t>
      </w:r>
      <w:r>
        <w:rPr>
          <w:rFonts w:ascii="仿宋_GB2312" w:eastAsia="仿宋_GB2312" w:hint="eastAsia"/>
          <w:sz w:val="32"/>
          <w:szCs w:val="32"/>
        </w:rPr>
        <w:t>460582.81</w:t>
      </w:r>
      <w:r>
        <w:rPr>
          <w:rFonts w:ascii="仿宋_GB2312" w:eastAsia="仿宋_GB2312" w:hint="eastAsia"/>
          <w:sz w:val="32"/>
          <w:szCs w:val="32"/>
        </w:rPr>
        <w:t>万元，</w:t>
      </w:r>
      <w:r>
        <w:rPr>
          <w:rFonts w:eastAsia="仿宋_GB2312"/>
          <w:bCs/>
          <w:sz w:val="32"/>
          <w:szCs w:val="32"/>
        </w:rPr>
        <w:t>总收入预决算</w:t>
      </w:r>
      <w:r>
        <w:rPr>
          <w:rFonts w:ascii="仿宋_GB2312" w:eastAsia="仿宋_GB2312" w:hint="eastAsia"/>
          <w:sz w:val="32"/>
          <w:szCs w:val="32"/>
        </w:rPr>
        <w:t>差异率</w:t>
      </w:r>
      <w:r>
        <w:rPr>
          <w:rFonts w:ascii="仿宋_GB2312" w:eastAsia="仿宋_GB2312" w:hint="eastAsia"/>
          <w:sz w:val="32"/>
          <w:szCs w:val="32"/>
        </w:rPr>
        <w:t>49.65%</w:t>
      </w:r>
      <w:r>
        <w:rPr>
          <w:rFonts w:ascii="仿宋_GB2312" w:eastAsia="仿宋_GB2312" w:hint="eastAsia"/>
          <w:sz w:val="32"/>
          <w:szCs w:val="32"/>
        </w:rPr>
        <w:t>。</w:t>
      </w:r>
    </w:p>
    <w:p w14:paraId="4DD9925C" w14:textId="77777777" w:rsidR="00000000" w:rsidRDefault="00763D17">
      <w:pPr>
        <w:spacing w:line="640" w:lineRule="exact"/>
        <w:ind w:firstLineChars="200" w:firstLine="640"/>
        <w:rPr>
          <w:rFonts w:eastAsia="仿宋_GB2312"/>
          <w:bCs/>
          <w:sz w:val="32"/>
          <w:szCs w:val="32"/>
        </w:rPr>
      </w:pPr>
      <w:r>
        <w:rPr>
          <w:rFonts w:eastAsia="仿宋_GB2312" w:hint="eastAsia"/>
          <w:bCs/>
          <w:sz w:val="32"/>
          <w:szCs w:val="32"/>
        </w:rPr>
        <w:t>其中：</w:t>
      </w:r>
      <w:r>
        <w:rPr>
          <w:rFonts w:eastAsia="仿宋_GB2312"/>
          <w:bCs/>
          <w:sz w:val="32"/>
          <w:szCs w:val="32"/>
        </w:rPr>
        <w:t>本年收入预算数为</w:t>
      </w:r>
      <w:r>
        <w:rPr>
          <w:rFonts w:eastAsia="仿宋_GB2312" w:hint="eastAsia"/>
          <w:bCs/>
          <w:sz w:val="32"/>
          <w:szCs w:val="32"/>
        </w:rPr>
        <w:t>315344.3</w:t>
      </w:r>
      <w:r>
        <w:rPr>
          <w:rFonts w:eastAsia="仿宋_GB2312"/>
          <w:bCs/>
          <w:sz w:val="32"/>
          <w:szCs w:val="32"/>
        </w:rPr>
        <w:t>万元，决算数</w:t>
      </w:r>
      <w:r>
        <w:rPr>
          <w:rFonts w:eastAsia="仿宋_GB2312" w:hint="eastAsia"/>
          <w:bCs/>
          <w:sz w:val="32"/>
          <w:szCs w:val="32"/>
        </w:rPr>
        <w:t>458961.07</w:t>
      </w:r>
      <w:r>
        <w:rPr>
          <w:rFonts w:eastAsia="仿宋_GB2312"/>
          <w:bCs/>
          <w:sz w:val="32"/>
          <w:szCs w:val="32"/>
        </w:rPr>
        <w:t>万元，本</w:t>
      </w:r>
      <w:r>
        <w:rPr>
          <w:rFonts w:eastAsia="仿宋_GB2312"/>
          <w:bCs/>
          <w:sz w:val="32"/>
          <w:szCs w:val="32"/>
        </w:rPr>
        <w:t>年收入预决算差异率</w:t>
      </w:r>
      <w:r>
        <w:rPr>
          <w:rFonts w:eastAsia="仿宋_GB2312" w:hint="eastAsia"/>
          <w:bCs/>
          <w:sz w:val="32"/>
          <w:szCs w:val="32"/>
        </w:rPr>
        <w:t>49.91</w:t>
      </w:r>
      <w:r>
        <w:rPr>
          <w:rFonts w:eastAsia="仿宋_GB2312"/>
          <w:bCs/>
          <w:sz w:val="32"/>
          <w:szCs w:val="32"/>
        </w:rPr>
        <w:t>%</w:t>
      </w:r>
      <w:r>
        <w:rPr>
          <w:rFonts w:eastAsia="仿宋_GB2312"/>
          <w:bCs/>
          <w:sz w:val="32"/>
          <w:szCs w:val="32"/>
        </w:rPr>
        <w:t>；（其中：财政拨款收入预算数为</w:t>
      </w:r>
      <w:r>
        <w:rPr>
          <w:rFonts w:eastAsia="仿宋_GB2312" w:hint="eastAsia"/>
          <w:bCs/>
          <w:sz w:val="32"/>
          <w:szCs w:val="32"/>
        </w:rPr>
        <w:t>416729.65</w:t>
      </w:r>
      <w:r>
        <w:rPr>
          <w:rFonts w:eastAsia="仿宋_GB2312"/>
          <w:bCs/>
          <w:sz w:val="32"/>
          <w:szCs w:val="32"/>
        </w:rPr>
        <w:t>万元，决算数</w:t>
      </w:r>
      <w:r>
        <w:rPr>
          <w:rFonts w:eastAsia="仿宋_GB2312" w:hint="eastAsia"/>
          <w:bCs/>
          <w:sz w:val="32"/>
          <w:szCs w:val="32"/>
        </w:rPr>
        <w:t>416729.65</w:t>
      </w:r>
      <w:r>
        <w:rPr>
          <w:rFonts w:eastAsia="仿宋_GB2312"/>
          <w:bCs/>
          <w:sz w:val="32"/>
          <w:szCs w:val="32"/>
        </w:rPr>
        <w:t>万元，财政拨款收入预决算差异率</w:t>
      </w:r>
      <w:r>
        <w:rPr>
          <w:rFonts w:eastAsia="仿宋_GB2312" w:hint="eastAsia"/>
          <w:bCs/>
          <w:sz w:val="32"/>
          <w:szCs w:val="32"/>
        </w:rPr>
        <w:t>57.09</w:t>
      </w:r>
      <w:r>
        <w:rPr>
          <w:rFonts w:eastAsia="仿宋_GB2312"/>
          <w:bCs/>
          <w:sz w:val="32"/>
          <w:szCs w:val="32"/>
        </w:rPr>
        <w:t>%</w:t>
      </w:r>
      <w:r>
        <w:rPr>
          <w:rFonts w:eastAsia="仿宋_GB2312"/>
          <w:bCs/>
          <w:sz w:val="32"/>
          <w:szCs w:val="32"/>
        </w:rPr>
        <w:t>；非财政拨款收入预算数为</w:t>
      </w:r>
      <w:r>
        <w:rPr>
          <w:rFonts w:eastAsia="仿宋_GB2312" w:hint="eastAsia"/>
          <w:bCs/>
          <w:sz w:val="32"/>
          <w:szCs w:val="32"/>
        </w:rPr>
        <w:t>41293.06</w:t>
      </w:r>
      <w:r>
        <w:rPr>
          <w:rFonts w:eastAsia="仿宋_GB2312"/>
          <w:bCs/>
          <w:sz w:val="32"/>
          <w:szCs w:val="32"/>
        </w:rPr>
        <w:t>万元，决算数</w:t>
      </w:r>
      <w:r>
        <w:rPr>
          <w:rFonts w:eastAsia="仿宋_GB2312" w:hint="eastAsia"/>
          <w:bCs/>
          <w:sz w:val="32"/>
          <w:szCs w:val="32"/>
        </w:rPr>
        <w:t>42231.42</w:t>
      </w:r>
      <w:r>
        <w:rPr>
          <w:rFonts w:eastAsia="仿宋_GB2312"/>
          <w:bCs/>
          <w:sz w:val="32"/>
          <w:szCs w:val="32"/>
        </w:rPr>
        <w:t>万元，非财政拨款收入预决算差异率</w:t>
      </w:r>
      <w:r>
        <w:rPr>
          <w:rFonts w:eastAsia="仿宋_GB2312" w:hint="eastAsia"/>
          <w:bCs/>
          <w:sz w:val="32"/>
          <w:szCs w:val="32"/>
        </w:rPr>
        <w:t>2.27</w:t>
      </w:r>
      <w:r>
        <w:rPr>
          <w:rFonts w:eastAsia="仿宋_GB2312"/>
          <w:bCs/>
          <w:sz w:val="32"/>
          <w:szCs w:val="32"/>
        </w:rPr>
        <w:t>%</w:t>
      </w:r>
      <w:r>
        <w:rPr>
          <w:rFonts w:eastAsia="仿宋_GB2312"/>
          <w:bCs/>
          <w:sz w:val="32"/>
          <w:szCs w:val="32"/>
        </w:rPr>
        <w:t>）；年初结转和结余预算数</w:t>
      </w:r>
      <w:r>
        <w:rPr>
          <w:rFonts w:eastAsia="仿宋_GB2312" w:hint="eastAsia"/>
          <w:bCs/>
          <w:sz w:val="32"/>
          <w:szCs w:val="32"/>
        </w:rPr>
        <w:t>1622.53</w:t>
      </w:r>
      <w:r>
        <w:rPr>
          <w:rFonts w:eastAsia="仿宋_GB2312"/>
          <w:bCs/>
          <w:sz w:val="32"/>
          <w:szCs w:val="32"/>
        </w:rPr>
        <w:t>万元，年初结转和结余决算数</w:t>
      </w:r>
      <w:r>
        <w:rPr>
          <w:rFonts w:eastAsia="仿宋_GB2312" w:hint="eastAsia"/>
          <w:bCs/>
          <w:sz w:val="32"/>
          <w:szCs w:val="32"/>
        </w:rPr>
        <w:t>1621.74</w:t>
      </w:r>
      <w:r>
        <w:rPr>
          <w:rFonts w:eastAsia="仿宋_GB2312"/>
          <w:bCs/>
          <w:sz w:val="32"/>
          <w:szCs w:val="32"/>
        </w:rPr>
        <w:t>万元，年初结转和结余预决算</w:t>
      </w:r>
      <w:r>
        <w:rPr>
          <w:rFonts w:eastAsia="仿宋_GB2312"/>
          <w:bCs/>
          <w:sz w:val="32"/>
          <w:szCs w:val="32"/>
        </w:rPr>
        <w:t>差异率</w:t>
      </w:r>
      <w:r>
        <w:rPr>
          <w:rFonts w:eastAsia="仿宋_GB2312" w:hint="eastAsia"/>
          <w:bCs/>
          <w:sz w:val="32"/>
          <w:szCs w:val="32"/>
        </w:rPr>
        <w:t>0.05</w:t>
      </w:r>
      <w:r>
        <w:rPr>
          <w:rFonts w:eastAsia="仿宋_GB2312"/>
          <w:bCs/>
          <w:sz w:val="32"/>
          <w:szCs w:val="32"/>
        </w:rPr>
        <w:t>%</w:t>
      </w:r>
      <w:r>
        <w:rPr>
          <w:rFonts w:eastAsia="仿宋_GB2312"/>
          <w:bCs/>
          <w:sz w:val="32"/>
          <w:szCs w:val="32"/>
        </w:rPr>
        <w:t>。</w:t>
      </w:r>
    </w:p>
    <w:p w14:paraId="2ED0AA44" w14:textId="77777777" w:rsidR="00000000" w:rsidRDefault="00763D17">
      <w:pPr>
        <w:ind w:right="560"/>
        <w:jc w:val="center"/>
        <w:rPr>
          <w:rFonts w:eastAsia="方正楷体_GBK" w:hint="eastAsia"/>
          <w:b/>
          <w:sz w:val="28"/>
          <w:szCs w:val="28"/>
        </w:rPr>
      </w:pPr>
    </w:p>
    <w:p w14:paraId="1620BA30" w14:textId="77777777" w:rsidR="00000000" w:rsidRDefault="00763D17">
      <w:pPr>
        <w:ind w:right="560"/>
        <w:jc w:val="center"/>
        <w:rPr>
          <w:rFonts w:eastAsia="方正楷体_GBK" w:hint="eastAsia"/>
          <w:b/>
          <w:sz w:val="28"/>
          <w:szCs w:val="28"/>
        </w:rPr>
      </w:pPr>
    </w:p>
    <w:p w14:paraId="009381DB" w14:textId="77777777" w:rsidR="00000000" w:rsidRDefault="00763D17">
      <w:pPr>
        <w:ind w:right="560"/>
        <w:jc w:val="center"/>
        <w:rPr>
          <w:rFonts w:eastAsia="方正楷体_GBK"/>
          <w:b/>
          <w:sz w:val="28"/>
          <w:szCs w:val="28"/>
        </w:rPr>
      </w:pPr>
      <w:r>
        <w:rPr>
          <w:rFonts w:eastAsia="方正楷体_GBK" w:hint="eastAsia"/>
          <w:b/>
          <w:sz w:val="28"/>
          <w:szCs w:val="28"/>
        </w:rPr>
        <w:t>表</w:t>
      </w:r>
      <w:r>
        <w:rPr>
          <w:rFonts w:eastAsia="方正楷体_GBK" w:hint="eastAsia"/>
          <w:b/>
          <w:sz w:val="28"/>
          <w:szCs w:val="28"/>
        </w:rPr>
        <w:t>5</w:t>
      </w:r>
      <w:r>
        <w:rPr>
          <w:rFonts w:eastAsia="方正楷体_GBK" w:hint="eastAsia"/>
          <w:b/>
          <w:sz w:val="28"/>
          <w:szCs w:val="28"/>
        </w:rPr>
        <w:t>：</w:t>
      </w:r>
      <w:r>
        <w:rPr>
          <w:rFonts w:eastAsia="方正楷体_GBK"/>
          <w:b/>
          <w:sz w:val="28"/>
          <w:szCs w:val="28"/>
        </w:rPr>
        <w:t>20</w:t>
      </w:r>
      <w:r>
        <w:rPr>
          <w:rFonts w:eastAsia="方正楷体_GBK"/>
          <w:b/>
          <w:sz w:val="28"/>
          <w:szCs w:val="28"/>
        </w:rPr>
        <w:t>2</w:t>
      </w:r>
      <w:r>
        <w:rPr>
          <w:rFonts w:eastAsia="方正楷体_GBK" w:hint="eastAsia"/>
          <w:b/>
          <w:sz w:val="28"/>
          <w:szCs w:val="28"/>
        </w:rPr>
        <w:t>3</w:t>
      </w:r>
      <w:r>
        <w:rPr>
          <w:rFonts w:eastAsia="方正楷体_GBK"/>
          <w:b/>
          <w:sz w:val="28"/>
          <w:szCs w:val="28"/>
        </w:rPr>
        <w:t>年度收入预决算情况（万元）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4"/>
        <w:gridCol w:w="2320"/>
        <w:gridCol w:w="2320"/>
        <w:gridCol w:w="2154"/>
      </w:tblGrid>
      <w:tr w:rsidR="00000000" w14:paraId="20A85540" w14:textId="77777777">
        <w:trPr>
          <w:trHeight w:val="510"/>
        </w:trPr>
        <w:tc>
          <w:tcPr>
            <w:tcW w:w="3374" w:type="dxa"/>
          </w:tcPr>
          <w:p w14:paraId="35E96DCD" w14:textId="77777777" w:rsidR="00000000" w:rsidRDefault="00763D17">
            <w:pPr>
              <w:rPr>
                <w:sz w:val="22"/>
                <w:szCs w:val="21"/>
              </w:rPr>
            </w:pPr>
          </w:p>
        </w:tc>
        <w:tc>
          <w:tcPr>
            <w:tcW w:w="2320" w:type="dxa"/>
            <w:vAlign w:val="center"/>
          </w:tcPr>
          <w:p w14:paraId="572610A3" w14:textId="77777777" w:rsidR="00000000" w:rsidRDefault="00763D17">
            <w:pPr>
              <w:jc w:val="center"/>
              <w:rPr>
                <w:b/>
                <w:sz w:val="22"/>
                <w:szCs w:val="21"/>
              </w:rPr>
            </w:pPr>
            <w:r>
              <w:rPr>
                <w:b/>
                <w:sz w:val="22"/>
                <w:szCs w:val="21"/>
              </w:rPr>
              <w:t>预算数</w:t>
            </w:r>
          </w:p>
        </w:tc>
        <w:tc>
          <w:tcPr>
            <w:tcW w:w="2320" w:type="dxa"/>
            <w:vAlign w:val="center"/>
          </w:tcPr>
          <w:p w14:paraId="6A59273C" w14:textId="77777777" w:rsidR="00000000" w:rsidRDefault="00763D17">
            <w:pPr>
              <w:jc w:val="center"/>
              <w:rPr>
                <w:b/>
                <w:sz w:val="22"/>
                <w:szCs w:val="21"/>
              </w:rPr>
            </w:pPr>
            <w:r>
              <w:rPr>
                <w:b/>
                <w:sz w:val="22"/>
                <w:szCs w:val="21"/>
              </w:rPr>
              <w:t>决算数</w:t>
            </w:r>
          </w:p>
        </w:tc>
        <w:tc>
          <w:tcPr>
            <w:tcW w:w="2154" w:type="dxa"/>
            <w:vAlign w:val="center"/>
          </w:tcPr>
          <w:p w14:paraId="794329D2" w14:textId="77777777" w:rsidR="00000000" w:rsidRDefault="00763D17">
            <w:pPr>
              <w:jc w:val="center"/>
              <w:rPr>
                <w:b/>
                <w:sz w:val="22"/>
                <w:szCs w:val="21"/>
              </w:rPr>
            </w:pPr>
            <w:r>
              <w:rPr>
                <w:b/>
                <w:sz w:val="22"/>
                <w:szCs w:val="21"/>
              </w:rPr>
              <w:t>差异率</w:t>
            </w:r>
          </w:p>
        </w:tc>
      </w:tr>
      <w:tr w:rsidR="00000000" w14:paraId="32372277" w14:textId="77777777">
        <w:trPr>
          <w:trHeight w:val="510"/>
        </w:trPr>
        <w:tc>
          <w:tcPr>
            <w:tcW w:w="3374" w:type="dxa"/>
            <w:shd w:val="clear" w:color="auto" w:fill="FFFFFF"/>
            <w:vAlign w:val="center"/>
          </w:tcPr>
          <w:p w14:paraId="74DB4ABE" w14:textId="77777777" w:rsidR="00000000" w:rsidRDefault="00763D17">
            <w:pPr>
              <w:rPr>
                <w:sz w:val="22"/>
                <w:szCs w:val="21"/>
              </w:rPr>
            </w:pPr>
            <w:r>
              <w:rPr>
                <w:sz w:val="22"/>
                <w:szCs w:val="21"/>
              </w:rPr>
              <w:t>本年收入</w:t>
            </w:r>
          </w:p>
        </w:tc>
        <w:tc>
          <w:tcPr>
            <w:tcW w:w="2320" w:type="dxa"/>
            <w:shd w:val="clear" w:color="auto" w:fill="FFFFFF"/>
            <w:vAlign w:val="center"/>
          </w:tcPr>
          <w:p w14:paraId="1BCF5AB4" w14:textId="77777777" w:rsidR="00000000" w:rsidRDefault="00763D17">
            <w:pPr>
              <w:ind w:firstLineChars="300" w:firstLine="660"/>
              <w:rPr>
                <w:rFonts w:eastAsia="宋体"/>
                <w:sz w:val="22"/>
                <w:szCs w:val="21"/>
              </w:rPr>
            </w:pPr>
            <w:r>
              <w:rPr>
                <w:rFonts w:eastAsia="宋体" w:hint="eastAsia"/>
                <w:sz w:val="22"/>
                <w:szCs w:val="21"/>
              </w:rPr>
              <w:t>315344.3</w:t>
            </w:r>
          </w:p>
        </w:tc>
        <w:tc>
          <w:tcPr>
            <w:tcW w:w="2320" w:type="dxa"/>
            <w:shd w:val="clear" w:color="auto" w:fill="FFFFFF"/>
            <w:vAlign w:val="center"/>
          </w:tcPr>
          <w:p w14:paraId="7CD772A5" w14:textId="77777777" w:rsidR="00000000" w:rsidRDefault="00763D17">
            <w:pPr>
              <w:ind w:firstLineChars="300" w:firstLine="660"/>
              <w:rPr>
                <w:rFonts w:eastAsia="宋体"/>
                <w:sz w:val="22"/>
                <w:szCs w:val="21"/>
              </w:rPr>
            </w:pPr>
            <w:r>
              <w:rPr>
                <w:rFonts w:eastAsia="宋体" w:hint="eastAsia"/>
                <w:sz w:val="22"/>
                <w:szCs w:val="21"/>
              </w:rPr>
              <w:t>472731.07</w:t>
            </w:r>
          </w:p>
        </w:tc>
        <w:tc>
          <w:tcPr>
            <w:tcW w:w="2154" w:type="dxa"/>
            <w:shd w:val="clear" w:color="auto" w:fill="FFFFFF"/>
            <w:vAlign w:val="center"/>
          </w:tcPr>
          <w:p w14:paraId="70561A2D" w14:textId="77777777" w:rsidR="00000000" w:rsidRDefault="00763D17">
            <w:pPr>
              <w:ind w:firstLineChars="300" w:firstLine="660"/>
              <w:rPr>
                <w:rFonts w:eastAsia="宋体"/>
                <w:sz w:val="22"/>
                <w:szCs w:val="21"/>
              </w:rPr>
            </w:pPr>
            <w:r>
              <w:rPr>
                <w:rFonts w:eastAsia="宋体" w:hint="eastAsia"/>
                <w:sz w:val="22"/>
                <w:szCs w:val="21"/>
              </w:rPr>
              <w:t>49.91</w:t>
            </w:r>
            <w:r>
              <w:rPr>
                <w:rFonts w:eastAsia="宋体"/>
                <w:sz w:val="22"/>
                <w:szCs w:val="21"/>
              </w:rPr>
              <w:t>%</w:t>
            </w:r>
          </w:p>
        </w:tc>
      </w:tr>
      <w:tr w:rsidR="00000000" w14:paraId="0A793401" w14:textId="77777777">
        <w:trPr>
          <w:trHeight w:val="510"/>
        </w:trPr>
        <w:tc>
          <w:tcPr>
            <w:tcW w:w="3374" w:type="dxa"/>
            <w:vAlign w:val="center"/>
          </w:tcPr>
          <w:p w14:paraId="0831FB49" w14:textId="77777777" w:rsidR="00000000" w:rsidRDefault="00763D17">
            <w:pPr>
              <w:rPr>
                <w:sz w:val="22"/>
                <w:szCs w:val="21"/>
              </w:rPr>
            </w:pPr>
            <w:r>
              <w:rPr>
                <w:sz w:val="22"/>
                <w:szCs w:val="21"/>
              </w:rPr>
              <w:t>其中：财政拨款收入</w:t>
            </w:r>
          </w:p>
        </w:tc>
        <w:tc>
          <w:tcPr>
            <w:tcW w:w="2320" w:type="dxa"/>
            <w:vAlign w:val="center"/>
          </w:tcPr>
          <w:p w14:paraId="0081E103" w14:textId="77777777" w:rsidR="00000000" w:rsidRDefault="00763D17">
            <w:pPr>
              <w:jc w:val="center"/>
              <w:rPr>
                <w:sz w:val="22"/>
                <w:szCs w:val="21"/>
              </w:rPr>
            </w:pPr>
            <w:r>
              <w:rPr>
                <w:rFonts w:hint="eastAsia"/>
                <w:sz w:val="22"/>
                <w:szCs w:val="21"/>
              </w:rPr>
              <w:t>274051.24</w:t>
            </w:r>
          </w:p>
        </w:tc>
        <w:tc>
          <w:tcPr>
            <w:tcW w:w="2320" w:type="dxa"/>
            <w:vAlign w:val="center"/>
          </w:tcPr>
          <w:p w14:paraId="11A1DA21" w14:textId="77777777" w:rsidR="00000000" w:rsidRDefault="00763D17">
            <w:pPr>
              <w:jc w:val="center"/>
              <w:rPr>
                <w:rFonts w:eastAsia="宋体"/>
                <w:sz w:val="22"/>
                <w:szCs w:val="21"/>
              </w:rPr>
            </w:pPr>
            <w:r>
              <w:rPr>
                <w:rFonts w:eastAsia="宋体" w:hint="eastAsia"/>
                <w:sz w:val="22"/>
                <w:szCs w:val="21"/>
              </w:rPr>
              <w:t>430499.65</w:t>
            </w:r>
          </w:p>
        </w:tc>
        <w:tc>
          <w:tcPr>
            <w:tcW w:w="2154" w:type="dxa"/>
            <w:vAlign w:val="center"/>
          </w:tcPr>
          <w:p w14:paraId="0939D3A6" w14:textId="77777777" w:rsidR="00000000" w:rsidRDefault="00763D17">
            <w:pPr>
              <w:jc w:val="center"/>
              <w:rPr>
                <w:rFonts w:eastAsia="宋体"/>
                <w:sz w:val="22"/>
                <w:szCs w:val="21"/>
              </w:rPr>
            </w:pPr>
            <w:r>
              <w:rPr>
                <w:rFonts w:eastAsia="宋体" w:hint="eastAsia"/>
                <w:sz w:val="22"/>
                <w:szCs w:val="21"/>
              </w:rPr>
              <w:t>57.09</w:t>
            </w:r>
            <w:r>
              <w:rPr>
                <w:rFonts w:eastAsia="宋体"/>
                <w:sz w:val="22"/>
                <w:szCs w:val="21"/>
              </w:rPr>
              <w:t>%</w:t>
            </w:r>
          </w:p>
        </w:tc>
      </w:tr>
      <w:tr w:rsidR="00000000" w14:paraId="71AECE12" w14:textId="77777777">
        <w:trPr>
          <w:trHeight w:val="510"/>
        </w:trPr>
        <w:tc>
          <w:tcPr>
            <w:tcW w:w="3374" w:type="dxa"/>
            <w:vAlign w:val="center"/>
          </w:tcPr>
          <w:p w14:paraId="66CCB808" w14:textId="77777777" w:rsidR="00000000" w:rsidRDefault="00763D17">
            <w:pPr>
              <w:ind w:firstLineChars="300" w:firstLine="660"/>
              <w:rPr>
                <w:sz w:val="22"/>
                <w:szCs w:val="21"/>
              </w:rPr>
            </w:pPr>
            <w:r>
              <w:rPr>
                <w:sz w:val="22"/>
                <w:szCs w:val="21"/>
              </w:rPr>
              <w:t>非财政拨款收入</w:t>
            </w:r>
          </w:p>
        </w:tc>
        <w:tc>
          <w:tcPr>
            <w:tcW w:w="2320" w:type="dxa"/>
            <w:vAlign w:val="center"/>
          </w:tcPr>
          <w:p w14:paraId="56BCECCD" w14:textId="77777777" w:rsidR="00000000" w:rsidRDefault="00763D17">
            <w:pPr>
              <w:jc w:val="center"/>
              <w:rPr>
                <w:rFonts w:eastAsia="宋体"/>
                <w:sz w:val="22"/>
                <w:szCs w:val="21"/>
              </w:rPr>
            </w:pPr>
            <w:r>
              <w:rPr>
                <w:rFonts w:hint="eastAsia"/>
                <w:sz w:val="22"/>
                <w:szCs w:val="21"/>
              </w:rPr>
              <w:t>41293.06</w:t>
            </w:r>
          </w:p>
        </w:tc>
        <w:tc>
          <w:tcPr>
            <w:tcW w:w="2320" w:type="dxa"/>
            <w:vAlign w:val="center"/>
          </w:tcPr>
          <w:p w14:paraId="28D54732" w14:textId="77777777" w:rsidR="00000000" w:rsidRDefault="00763D17">
            <w:pPr>
              <w:jc w:val="center"/>
              <w:rPr>
                <w:sz w:val="22"/>
                <w:szCs w:val="21"/>
              </w:rPr>
            </w:pPr>
            <w:r>
              <w:rPr>
                <w:rFonts w:hint="eastAsia"/>
                <w:sz w:val="22"/>
                <w:szCs w:val="21"/>
              </w:rPr>
              <w:t>42231.42</w:t>
            </w:r>
          </w:p>
        </w:tc>
        <w:tc>
          <w:tcPr>
            <w:tcW w:w="2154" w:type="dxa"/>
            <w:vAlign w:val="center"/>
          </w:tcPr>
          <w:p w14:paraId="19191106" w14:textId="77777777" w:rsidR="00000000" w:rsidRDefault="00763D17">
            <w:pPr>
              <w:jc w:val="center"/>
              <w:rPr>
                <w:rFonts w:eastAsia="宋体"/>
                <w:sz w:val="22"/>
                <w:szCs w:val="21"/>
              </w:rPr>
            </w:pPr>
            <w:r>
              <w:rPr>
                <w:rFonts w:eastAsia="宋体" w:hint="eastAsia"/>
                <w:sz w:val="22"/>
                <w:szCs w:val="21"/>
              </w:rPr>
              <w:t>2.27</w:t>
            </w:r>
            <w:r>
              <w:rPr>
                <w:rFonts w:eastAsia="宋体"/>
                <w:sz w:val="22"/>
                <w:szCs w:val="21"/>
              </w:rPr>
              <w:t>%</w:t>
            </w:r>
          </w:p>
        </w:tc>
      </w:tr>
    </w:tbl>
    <w:p w14:paraId="5A247FE6" w14:textId="77777777" w:rsidR="00000000" w:rsidRDefault="00763D17">
      <w:pPr>
        <w:spacing w:line="640" w:lineRule="exact"/>
        <w:ind w:firstLineChars="200" w:firstLine="640"/>
        <w:rPr>
          <w:rFonts w:eastAsia="仿宋_GB2312"/>
          <w:bCs/>
          <w:sz w:val="32"/>
          <w:szCs w:val="32"/>
        </w:rPr>
      </w:pPr>
      <w:r>
        <w:rPr>
          <w:rFonts w:eastAsia="仿宋_GB2312"/>
          <w:bCs/>
          <w:sz w:val="32"/>
          <w:szCs w:val="32"/>
        </w:rPr>
        <w:t>总收入主要由年初结转和结余、财政拨款收入、非财政拨款收入三部分构成。总收入预决算差异</w:t>
      </w:r>
      <w:r>
        <w:rPr>
          <w:rFonts w:eastAsia="仿宋_GB2312" w:hint="eastAsia"/>
          <w:bCs/>
          <w:sz w:val="32"/>
          <w:szCs w:val="32"/>
        </w:rPr>
        <w:t>157386.77</w:t>
      </w:r>
      <w:r>
        <w:rPr>
          <w:rFonts w:eastAsia="仿宋_GB2312"/>
          <w:bCs/>
          <w:sz w:val="32"/>
          <w:szCs w:val="32"/>
        </w:rPr>
        <w:t>万元，其中：年初结转和结余差异</w:t>
      </w:r>
      <w:r>
        <w:rPr>
          <w:rFonts w:eastAsia="仿宋_GB2312" w:hint="eastAsia"/>
          <w:bCs/>
          <w:sz w:val="32"/>
          <w:szCs w:val="32"/>
        </w:rPr>
        <w:t>0.79</w:t>
      </w:r>
      <w:r>
        <w:rPr>
          <w:rFonts w:eastAsia="仿宋_GB2312"/>
          <w:bCs/>
          <w:sz w:val="32"/>
          <w:szCs w:val="32"/>
        </w:rPr>
        <w:t>万元，占差异总计的</w:t>
      </w:r>
      <w:r>
        <w:rPr>
          <w:rFonts w:eastAsia="仿宋_GB2312" w:hint="eastAsia"/>
          <w:bCs/>
          <w:sz w:val="32"/>
          <w:szCs w:val="32"/>
        </w:rPr>
        <w:t>0.01</w:t>
      </w:r>
      <w:r>
        <w:rPr>
          <w:rFonts w:eastAsia="仿宋_GB2312"/>
          <w:bCs/>
          <w:sz w:val="32"/>
          <w:szCs w:val="32"/>
        </w:rPr>
        <w:t>%</w:t>
      </w:r>
      <w:r>
        <w:rPr>
          <w:rFonts w:eastAsia="仿宋_GB2312"/>
          <w:bCs/>
          <w:sz w:val="32"/>
          <w:szCs w:val="32"/>
        </w:rPr>
        <w:t>；财政拨款收入差异</w:t>
      </w:r>
      <w:r>
        <w:rPr>
          <w:rFonts w:eastAsia="仿宋_GB2312" w:hint="eastAsia"/>
          <w:bCs/>
          <w:sz w:val="32"/>
          <w:szCs w:val="32"/>
        </w:rPr>
        <w:t>156448.41</w:t>
      </w:r>
      <w:r>
        <w:rPr>
          <w:rFonts w:eastAsia="仿宋_GB2312"/>
          <w:bCs/>
          <w:sz w:val="32"/>
          <w:szCs w:val="32"/>
        </w:rPr>
        <w:t>万元，占</w:t>
      </w:r>
      <w:r>
        <w:rPr>
          <w:rFonts w:eastAsia="仿宋_GB2312"/>
          <w:bCs/>
          <w:sz w:val="32"/>
          <w:szCs w:val="32"/>
        </w:rPr>
        <w:t>差异总计的</w:t>
      </w:r>
      <w:r>
        <w:rPr>
          <w:rFonts w:eastAsia="仿宋_GB2312" w:hint="eastAsia"/>
          <w:bCs/>
          <w:sz w:val="32"/>
          <w:szCs w:val="32"/>
        </w:rPr>
        <w:t>99.4</w:t>
      </w:r>
      <w:r>
        <w:rPr>
          <w:rFonts w:eastAsia="仿宋_GB2312"/>
          <w:bCs/>
          <w:sz w:val="32"/>
          <w:szCs w:val="32"/>
        </w:rPr>
        <w:t>%</w:t>
      </w:r>
      <w:r>
        <w:rPr>
          <w:rFonts w:eastAsia="仿宋_GB2312"/>
          <w:bCs/>
          <w:sz w:val="32"/>
          <w:szCs w:val="32"/>
        </w:rPr>
        <w:t>；非财政拨款收入差异</w:t>
      </w:r>
      <w:r>
        <w:rPr>
          <w:rFonts w:eastAsia="仿宋_GB2312" w:hint="eastAsia"/>
          <w:bCs/>
          <w:sz w:val="32"/>
          <w:szCs w:val="32"/>
        </w:rPr>
        <w:t>938.36</w:t>
      </w:r>
      <w:r>
        <w:rPr>
          <w:rFonts w:eastAsia="仿宋_GB2312"/>
          <w:bCs/>
          <w:sz w:val="32"/>
          <w:szCs w:val="32"/>
        </w:rPr>
        <w:t>万元，占差异总计的</w:t>
      </w:r>
      <w:r>
        <w:rPr>
          <w:rFonts w:eastAsia="仿宋_GB2312" w:hint="eastAsia"/>
          <w:bCs/>
          <w:sz w:val="32"/>
          <w:szCs w:val="32"/>
        </w:rPr>
        <w:t>0.01</w:t>
      </w:r>
      <w:r>
        <w:rPr>
          <w:rFonts w:eastAsia="仿宋_GB2312"/>
          <w:bCs/>
          <w:sz w:val="32"/>
          <w:szCs w:val="32"/>
        </w:rPr>
        <w:t>%</w:t>
      </w:r>
      <w:r>
        <w:rPr>
          <w:rFonts w:eastAsia="仿宋_GB2312"/>
          <w:bCs/>
          <w:sz w:val="32"/>
          <w:szCs w:val="32"/>
        </w:rPr>
        <w:t>，收入预决算差异受财政拨款收入影响较大。</w:t>
      </w:r>
    </w:p>
    <w:p w14:paraId="454B8208" w14:textId="77777777" w:rsidR="00000000" w:rsidRDefault="00763D17">
      <w:pPr>
        <w:spacing w:line="640" w:lineRule="exact"/>
        <w:ind w:firstLineChars="200" w:firstLine="640"/>
        <w:rPr>
          <w:rFonts w:eastAsia="仿宋_GB2312"/>
          <w:bCs/>
          <w:sz w:val="32"/>
          <w:szCs w:val="32"/>
        </w:rPr>
      </w:pPr>
      <w:r>
        <w:rPr>
          <w:rFonts w:ascii="仿宋_GB2312" w:eastAsia="仿宋_GB2312" w:hint="eastAsia"/>
          <w:sz w:val="32"/>
          <w:szCs w:val="32"/>
        </w:rPr>
        <w:t xml:space="preserve"> </w:t>
      </w:r>
      <w:r>
        <w:rPr>
          <w:rFonts w:eastAsia="仿宋_GB2312"/>
          <w:bCs/>
          <w:sz w:val="32"/>
          <w:szCs w:val="32"/>
        </w:rPr>
        <w:t>预决算差异原因：</w:t>
      </w:r>
      <w:r>
        <w:rPr>
          <w:rFonts w:ascii="仿宋_GB2312" w:eastAsia="仿宋_GB2312" w:hAnsi="仿宋" w:hint="eastAsia"/>
          <w:bCs/>
          <w:kern w:val="10"/>
          <w:sz w:val="32"/>
          <w:szCs w:val="32"/>
        </w:rPr>
        <w:t>全师预决算对比差异较大，主要因为：</w:t>
      </w:r>
      <w:r>
        <w:rPr>
          <w:rFonts w:ascii="仿宋_GB2312" w:eastAsia="仿宋_GB2312" w:hAnsi="仿宋" w:hint="eastAsia"/>
          <w:bCs/>
          <w:kern w:val="10"/>
          <w:sz w:val="32"/>
          <w:szCs w:val="32"/>
        </w:rPr>
        <w:t>一</w:t>
      </w:r>
      <w:r>
        <w:rPr>
          <w:rFonts w:ascii="仿宋_GB2312" w:eastAsia="仿宋_GB2312" w:hAnsi="仿宋" w:hint="eastAsia"/>
          <w:bCs/>
          <w:kern w:val="10"/>
          <w:sz w:val="32"/>
          <w:szCs w:val="32"/>
        </w:rPr>
        <w:t>是部分追加项目支出未在预算编制范围内，在年度中间根据具体项目的实施逐步进行划转；</w:t>
      </w:r>
      <w:r>
        <w:rPr>
          <w:rFonts w:ascii="仿宋_GB2312" w:eastAsia="仿宋_GB2312" w:hAnsi="仿宋" w:hint="eastAsia"/>
          <w:bCs/>
          <w:kern w:val="10"/>
          <w:sz w:val="32"/>
          <w:szCs w:val="32"/>
        </w:rPr>
        <w:t>二是</w:t>
      </w:r>
      <w:r>
        <w:rPr>
          <w:rFonts w:eastAsia="仿宋_GB2312"/>
          <w:bCs/>
          <w:sz w:val="32"/>
          <w:szCs w:val="32"/>
        </w:rPr>
        <w:t>各部门拨入医院学校等单位事业收入、经营收入、拨入援疆资金等收入具有临时性、偶然性，未纳入部门预算，因此导致其他收入</w:t>
      </w:r>
      <w:r>
        <w:rPr>
          <w:rFonts w:eastAsia="仿宋_GB2312"/>
          <w:bCs/>
          <w:sz w:val="32"/>
          <w:szCs w:val="32"/>
        </w:rPr>
        <w:lastRenderedPageBreak/>
        <w:t>预决算差异较大。</w:t>
      </w:r>
    </w:p>
    <w:p w14:paraId="7CC840D3" w14:textId="77777777" w:rsidR="00000000" w:rsidRDefault="00763D17">
      <w:pPr>
        <w:spacing w:line="640" w:lineRule="exact"/>
        <w:ind w:firstLineChars="200" w:firstLine="643"/>
        <w:rPr>
          <w:rFonts w:eastAsia="方正楷体_GBK"/>
          <w:bCs/>
          <w:sz w:val="32"/>
          <w:szCs w:val="32"/>
        </w:rPr>
      </w:pPr>
      <w:r>
        <w:rPr>
          <w:rFonts w:ascii="楷体_GB2312" w:eastAsia="楷体_GB2312" w:hAnsi="楷体_GB2312" w:cs="楷体_GB2312" w:hint="eastAsia"/>
          <w:b/>
          <w:bCs/>
          <w:sz w:val="32"/>
          <w:szCs w:val="32"/>
        </w:rPr>
        <w:t>1</w:t>
      </w:r>
      <w:r>
        <w:rPr>
          <w:rFonts w:ascii="楷体_GB2312" w:eastAsia="楷体_GB2312" w:hAnsi="楷体_GB2312" w:cs="楷体_GB2312" w:hint="eastAsia"/>
          <w:b/>
          <w:bCs/>
          <w:sz w:val="32"/>
          <w:szCs w:val="32"/>
        </w:rPr>
        <w:t>.</w:t>
      </w:r>
      <w:r>
        <w:rPr>
          <w:rFonts w:eastAsia="方正楷体_GBK"/>
          <w:bCs/>
          <w:sz w:val="32"/>
          <w:szCs w:val="32"/>
        </w:rPr>
        <w:t>支出预决算对比</w:t>
      </w:r>
    </w:p>
    <w:p w14:paraId="296BC947" w14:textId="77777777" w:rsidR="00000000" w:rsidRDefault="00763D17">
      <w:pPr>
        <w:spacing w:line="640" w:lineRule="exact"/>
        <w:ind w:firstLineChars="200" w:firstLine="640"/>
        <w:rPr>
          <w:rFonts w:eastAsia="仿宋_GB2312"/>
          <w:bCs/>
          <w:sz w:val="32"/>
          <w:szCs w:val="32"/>
        </w:rPr>
      </w:pPr>
      <w:r>
        <w:rPr>
          <w:rFonts w:eastAsia="仿宋_GB2312"/>
          <w:bCs/>
          <w:sz w:val="32"/>
          <w:szCs w:val="32"/>
        </w:rPr>
        <w:t>202</w:t>
      </w:r>
      <w:r>
        <w:rPr>
          <w:rFonts w:eastAsia="仿宋_GB2312" w:hint="eastAsia"/>
          <w:bCs/>
          <w:sz w:val="32"/>
          <w:szCs w:val="32"/>
        </w:rPr>
        <w:t>3</w:t>
      </w:r>
      <w:r>
        <w:rPr>
          <w:rFonts w:eastAsia="仿宋_GB2312"/>
          <w:bCs/>
          <w:sz w:val="32"/>
          <w:szCs w:val="32"/>
        </w:rPr>
        <w:t>年度，</w:t>
      </w:r>
      <w:r>
        <w:rPr>
          <w:rFonts w:eastAsia="仿宋_GB2312" w:hint="eastAsia"/>
          <w:bCs/>
          <w:sz w:val="32"/>
          <w:szCs w:val="32"/>
        </w:rPr>
        <w:t>九师</w:t>
      </w:r>
      <w:r>
        <w:rPr>
          <w:rFonts w:eastAsia="仿宋_GB2312"/>
          <w:bCs/>
          <w:sz w:val="32"/>
          <w:szCs w:val="32"/>
        </w:rPr>
        <w:t>部门预算单位本年支出预算</w:t>
      </w:r>
      <w:r>
        <w:rPr>
          <w:rFonts w:eastAsia="仿宋_GB2312" w:hint="eastAsia"/>
          <w:bCs/>
          <w:sz w:val="32"/>
          <w:szCs w:val="32"/>
        </w:rPr>
        <w:t>316966.83</w:t>
      </w:r>
      <w:r>
        <w:rPr>
          <w:rFonts w:eastAsia="仿宋_GB2312"/>
          <w:bCs/>
          <w:sz w:val="32"/>
          <w:szCs w:val="32"/>
        </w:rPr>
        <w:t>万元，本年支出决算</w:t>
      </w:r>
      <w:r>
        <w:rPr>
          <w:rFonts w:eastAsia="仿宋_GB2312" w:hint="eastAsia"/>
          <w:bCs/>
          <w:sz w:val="32"/>
          <w:szCs w:val="32"/>
        </w:rPr>
        <w:t>456772.12</w:t>
      </w:r>
      <w:r>
        <w:rPr>
          <w:rFonts w:eastAsia="仿宋_GB2312"/>
          <w:bCs/>
          <w:sz w:val="32"/>
          <w:szCs w:val="32"/>
        </w:rPr>
        <w:t>万元</w:t>
      </w:r>
      <w:r>
        <w:rPr>
          <w:rFonts w:eastAsia="仿宋_GB2312"/>
          <w:bCs/>
          <w:sz w:val="32"/>
          <w:szCs w:val="32"/>
        </w:rPr>
        <w:t>，差异率</w:t>
      </w:r>
      <w:r>
        <w:rPr>
          <w:rFonts w:eastAsia="仿宋_GB2312" w:hint="eastAsia"/>
          <w:bCs/>
          <w:sz w:val="32"/>
          <w:szCs w:val="32"/>
        </w:rPr>
        <w:t>48.45</w:t>
      </w:r>
      <w:r>
        <w:rPr>
          <w:rFonts w:eastAsia="仿宋_GB2312"/>
          <w:bCs/>
          <w:sz w:val="32"/>
          <w:szCs w:val="32"/>
        </w:rPr>
        <w:t>%</w:t>
      </w:r>
      <w:r>
        <w:rPr>
          <w:rFonts w:eastAsia="仿宋_GB2312"/>
          <w:bCs/>
          <w:sz w:val="32"/>
          <w:szCs w:val="32"/>
        </w:rPr>
        <w:t>。本年基本支出预算</w:t>
      </w:r>
      <w:r>
        <w:rPr>
          <w:rFonts w:eastAsia="仿宋_GB2312" w:hint="eastAsia"/>
          <w:bCs/>
          <w:sz w:val="32"/>
          <w:szCs w:val="32"/>
        </w:rPr>
        <w:t>109771.92</w:t>
      </w:r>
      <w:r>
        <w:rPr>
          <w:rFonts w:eastAsia="仿宋_GB2312"/>
          <w:bCs/>
          <w:sz w:val="32"/>
          <w:szCs w:val="32"/>
        </w:rPr>
        <w:t>万元，决算支出</w:t>
      </w:r>
      <w:r>
        <w:rPr>
          <w:rFonts w:eastAsia="仿宋_GB2312" w:hint="eastAsia"/>
          <w:bCs/>
          <w:sz w:val="32"/>
          <w:szCs w:val="32"/>
        </w:rPr>
        <w:t>111844.63</w:t>
      </w:r>
      <w:r>
        <w:rPr>
          <w:rFonts w:eastAsia="仿宋_GB2312"/>
          <w:bCs/>
          <w:sz w:val="32"/>
          <w:szCs w:val="32"/>
        </w:rPr>
        <w:t>万元，差异率为</w:t>
      </w:r>
      <w:r>
        <w:rPr>
          <w:rFonts w:eastAsia="仿宋_GB2312" w:hint="eastAsia"/>
          <w:bCs/>
          <w:sz w:val="32"/>
          <w:szCs w:val="32"/>
        </w:rPr>
        <w:t>6.5</w:t>
      </w:r>
      <w:r>
        <w:rPr>
          <w:rFonts w:eastAsia="仿宋_GB2312"/>
          <w:bCs/>
          <w:sz w:val="32"/>
          <w:szCs w:val="32"/>
        </w:rPr>
        <w:t>%</w:t>
      </w:r>
      <w:r>
        <w:rPr>
          <w:rFonts w:eastAsia="仿宋_GB2312"/>
          <w:bCs/>
          <w:sz w:val="32"/>
          <w:szCs w:val="32"/>
        </w:rPr>
        <w:t>；本年项目支出预算</w:t>
      </w:r>
      <w:r>
        <w:rPr>
          <w:rFonts w:eastAsia="仿宋_GB2312" w:hint="eastAsia"/>
          <w:bCs/>
          <w:sz w:val="32"/>
          <w:szCs w:val="32"/>
        </w:rPr>
        <w:t>202671.17</w:t>
      </w:r>
      <w:r>
        <w:rPr>
          <w:rFonts w:eastAsia="仿宋_GB2312"/>
          <w:bCs/>
          <w:sz w:val="32"/>
          <w:szCs w:val="32"/>
        </w:rPr>
        <w:t>万元，决算支出</w:t>
      </w:r>
      <w:r>
        <w:rPr>
          <w:rFonts w:eastAsia="仿宋_GB2312" w:hint="eastAsia"/>
          <w:bCs/>
          <w:sz w:val="32"/>
          <w:szCs w:val="32"/>
        </w:rPr>
        <w:t>340403.74</w:t>
      </w:r>
      <w:r>
        <w:rPr>
          <w:rFonts w:eastAsia="仿宋_GB2312"/>
          <w:bCs/>
          <w:sz w:val="32"/>
          <w:szCs w:val="32"/>
        </w:rPr>
        <w:t>万元，差异率为</w:t>
      </w:r>
      <w:r>
        <w:rPr>
          <w:rFonts w:eastAsia="仿宋_GB2312" w:hint="eastAsia"/>
          <w:bCs/>
          <w:sz w:val="32"/>
          <w:szCs w:val="32"/>
        </w:rPr>
        <w:t>74.75</w:t>
      </w:r>
      <w:r>
        <w:rPr>
          <w:rFonts w:eastAsia="仿宋_GB2312"/>
          <w:bCs/>
          <w:sz w:val="32"/>
          <w:szCs w:val="32"/>
        </w:rPr>
        <w:t>%</w:t>
      </w:r>
      <w:r>
        <w:rPr>
          <w:rFonts w:eastAsia="仿宋_GB2312"/>
          <w:bCs/>
          <w:sz w:val="32"/>
          <w:szCs w:val="32"/>
        </w:rPr>
        <w:t>。</w:t>
      </w:r>
    </w:p>
    <w:p w14:paraId="27156E8E"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2.</w:t>
      </w:r>
      <w:r>
        <w:rPr>
          <w:rFonts w:ascii="楷体_GB2312" w:eastAsia="楷体_GB2312" w:hAnsi="楷体_GB2312" w:cs="楷体_GB2312" w:hint="eastAsia"/>
          <w:b/>
          <w:bCs/>
          <w:sz w:val="32"/>
          <w:szCs w:val="32"/>
        </w:rPr>
        <w:t>按照功能分类分析</w:t>
      </w:r>
    </w:p>
    <w:p w14:paraId="7C3EF52E"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本年年初预算数</w:t>
      </w:r>
      <w:r>
        <w:rPr>
          <w:rFonts w:ascii="仿宋_GB2312" w:eastAsia="仿宋_GB2312" w:hint="eastAsia"/>
          <w:sz w:val="32"/>
          <w:szCs w:val="32"/>
        </w:rPr>
        <w:t>316966.83</w:t>
      </w:r>
      <w:r>
        <w:rPr>
          <w:rFonts w:ascii="仿宋_GB2312" w:eastAsia="仿宋_GB2312" w:hint="eastAsia"/>
          <w:sz w:val="32"/>
          <w:szCs w:val="32"/>
        </w:rPr>
        <w:t>万元，本年支出决算数</w:t>
      </w:r>
      <w:r>
        <w:rPr>
          <w:rFonts w:ascii="仿宋_GB2312" w:eastAsia="仿宋_GB2312" w:hint="eastAsia"/>
          <w:sz w:val="32"/>
          <w:szCs w:val="32"/>
        </w:rPr>
        <w:t>456772.12</w:t>
      </w:r>
      <w:r>
        <w:rPr>
          <w:rFonts w:ascii="仿宋_GB2312" w:eastAsia="仿宋_GB2312" w:hint="eastAsia"/>
          <w:sz w:val="32"/>
          <w:szCs w:val="32"/>
        </w:rPr>
        <w:t>万元。具体情况见下表：</w:t>
      </w:r>
    </w:p>
    <w:p w14:paraId="1650DD60" w14:textId="77777777" w:rsidR="00000000" w:rsidRDefault="00763D17">
      <w:pPr>
        <w:snapToGrid w:val="0"/>
        <w:spacing w:line="560" w:lineRule="exact"/>
        <w:ind w:firstLineChars="200" w:firstLine="640"/>
        <w:rPr>
          <w:rFonts w:ascii="仿宋_GB2312" w:eastAsia="仿宋_GB2312"/>
          <w:sz w:val="32"/>
          <w:szCs w:val="32"/>
        </w:rPr>
      </w:pPr>
    </w:p>
    <w:p w14:paraId="37496280" w14:textId="77777777" w:rsidR="00000000" w:rsidRDefault="00763D17">
      <w:pPr>
        <w:snapToGrid w:val="0"/>
        <w:spacing w:line="560" w:lineRule="exact"/>
        <w:ind w:firstLineChars="200" w:firstLine="640"/>
        <w:jc w:val="center"/>
        <w:rPr>
          <w:rFonts w:ascii="仿宋_GB2312" w:eastAsia="仿宋_GB2312"/>
          <w:b/>
          <w:bCs/>
          <w:sz w:val="32"/>
          <w:szCs w:val="32"/>
        </w:rPr>
      </w:pPr>
      <w:r>
        <w:rPr>
          <w:rFonts w:ascii="仿宋_GB2312" w:eastAsia="仿宋_GB2312" w:hint="eastAsia"/>
          <w:b/>
          <w:bCs/>
          <w:sz w:val="32"/>
          <w:szCs w:val="32"/>
        </w:rPr>
        <w:t>表</w:t>
      </w:r>
      <w:r>
        <w:rPr>
          <w:rFonts w:ascii="仿宋_GB2312" w:eastAsia="仿宋_GB2312" w:hint="eastAsia"/>
          <w:b/>
          <w:bCs/>
          <w:sz w:val="32"/>
          <w:szCs w:val="32"/>
        </w:rPr>
        <w:t>6</w:t>
      </w:r>
      <w:r>
        <w:rPr>
          <w:rFonts w:ascii="仿宋_GB2312" w:eastAsia="仿宋_GB2312" w:hint="eastAsia"/>
          <w:b/>
          <w:bCs/>
          <w:sz w:val="32"/>
          <w:szCs w:val="32"/>
        </w:rPr>
        <w:t>:</w:t>
      </w:r>
      <w:r>
        <w:rPr>
          <w:rFonts w:ascii="仿宋_GB2312" w:eastAsia="仿宋_GB2312" w:hint="eastAsia"/>
          <w:b/>
          <w:bCs/>
          <w:sz w:val="32"/>
          <w:szCs w:val="32"/>
        </w:rPr>
        <w:t>本年支出预决算按功能分类科目分析</w:t>
      </w:r>
    </w:p>
    <w:p w14:paraId="15548BF0" w14:textId="77777777" w:rsidR="00000000" w:rsidRDefault="00763D17">
      <w:pPr>
        <w:snapToGrid w:val="0"/>
        <w:spacing w:line="560" w:lineRule="exact"/>
        <w:ind w:firstLineChars="200" w:firstLine="640"/>
        <w:jc w:val="right"/>
        <w:rPr>
          <w:rFonts w:ascii="仿宋_GB2312" w:eastAsia="仿宋_GB2312"/>
          <w:sz w:val="32"/>
          <w:szCs w:val="32"/>
        </w:rPr>
      </w:pPr>
      <w:r>
        <w:rPr>
          <w:rFonts w:ascii="仿宋_GB2312" w:eastAsia="仿宋_GB2312" w:hint="eastAsia"/>
          <w:sz w:val="32"/>
          <w:szCs w:val="32"/>
        </w:rPr>
        <w:t>单位：万元</w:t>
      </w:r>
    </w:p>
    <w:tbl>
      <w:tblPr>
        <w:tblW w:w="9947" w:type="dxa"/>
        <w:tblInd w:w="96" w:type="dxa"/>
        <w:tblLayout w:type="fixed"/>
        <w:tblLook w:val="0000" w:firstRow="0" w:lastRow="0" w:firstColumn="0" w:lastColumn="0" w:noHBand="0" w:noVBand="0"/>
      </w:tblPr>
      <w:tblGrid>
        <w:gridCol w:w="3362"/>
        <w:gridCol w:w="1905"/>
        <w:gridCol w:w="1530"/>
        <w:gridCol w:w="1590"/>
        <w:gridCol w:w="1560"/>
      </w:tblGrid>
      <w:tr w:rsidR="00000000" w14:paraId="6EF424A2" w14:textId="77777777">
        <w:trPr>
          <w:trHeight w:val="660"/>
          <w:tblHeader/>
        </w:trPr>
        <w:tc>
          <w:tcPr>
            <w:tcW w:w="3362" w:type="dxa"/>
            <w:tcBorders>
              <w:top w:val="single" w:sz="8" w:space="0" w:color="000000"/>
              <w:left w:val="single" w:sz="8" w:space="0" w:color="000000"/>
              <w:bottom w:val="single" w:sz="8" w:space="0" w:color="000000"/>
              <w:right w:val="single" w:sz="8" w:space="0" w:color="000000"/>
            </w:tcBorders>
            <w:vAlign w:val="center"/>
          </w:tcPr>
          <w:p w14:paraId="67893BF2"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项目</w:t>
            </w:r>
          </w:p>
        </w:tc>
        <w:tc>
          <w:tcPr>
            <w:tcW w:w="1905" w:type="dxa"/>
            <w:tcBorders>
              <w:top w:val="single" w:sz="8" w:space="0" w:color="000000"/>
              <w:left w:val="nil"/>
              <w:bottom w:val="single" w:sz="8" w:space="0" w:color="000000"/>
              <w:right w:val="single" w:sz="8" w:space="0" w:color="000000"/>
            </w:tcBorders>
            <w:vAlign w:val="center"/>
          </w:tcPr>
          <w:p w14:paraId="16CD90E1"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年初预算数</w:t>
            </w:r>
          </w:p>
        </w:tc>
        <w:tc>
          <w:tcPr>
            <w:tcW w:w="1530" w:type="dxa"/>
            <w:tcBorders>
              <w:top w:val="single" w:sz="8" w:space="0" w:color="000000"/>
              <w:left w:val="nil"/>
              <w:bottom w:val="single" w:sz="8" w:space="0" w:color="000000"/>
              <w:right w:val="single" w:sz="8" w:space="0" w:color="000000"/>
            </w:tcBorders>
            <w:vAlign w:val="center"/>
          </w:tcPr>
          <w:p w14:paraId="673BB2AC"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决算数</w:t>
            </w:r>
          </w:p>
        </w:tc>
        <w:tc>
          <w:tcPr>
            <w:tcW w:w="1590" w:type="dxa"/>
            <w:tcBorders>
              <w:top w:val="single" w:sz="8" w:space="0" w:color="000000"/>
              <w:left w:val="nil"/>
              <w:bottom w:val="single" w:sz="8" w:space="0" w:color="000000"/>
              <w:right w:val="single" w:sz="8" w:space="0" w:color="000000"/>
            </w:tcBorders>
            <w:vAlign w:val="center"/>
          </w:tcPr>
          <w:p w14:paraId="78424D64"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差额</w:t>
            </w:r>
          </w:p>
        </w:tc>
        <w:tc>
          <w:tcPr>
            <w:tcW w:w="1560" w:type="dxa"/>
            <w:tcBorders>
              <w:top w:val="single" w:sz="8" w:space="0" w:color="000000"/>
              <w:left w:val="nil"/>
              <w:bottom w:val="single" w:sz="8" w:space="0" w:color="000000"/>
              <w:right w:val="single" w:sz="8" w:space="0" w:color="000000"/>
            </w:tcBorders>
            <w:vAlign w:val="center"/>
          </w:tcPr>
          <w:p w14:paraId="229FFE86" w14:textId="77777777" w:rsidR="00000000" w:rsidRDefault="00763D17">
            <w:pPr>
              <w:widowControl/>
              <w:jc w:val="center"/>
              <w:textAlignment w:val="center"/>
              <w:rPr>
                <w:rFonts w:ascii="宋体" w:eastAsia="宋体" w:hAnsi="宋体" w:cs="宋体" w:hint="eastAsia"/>
                <w:color w:val="000000"/>
                <w:sz w:val="24"/>
              </w:rPr>
            </w:pPr>
            <w:r>
              <w:rPr>
                <w:rFonts w:ascii="宋体" w:eastAsia="宋体" w:hAnsi="宋体" w:cs="宋体" w:hint="eastAsia"/>
                <w:color w:val="000000"/>
                <w:kern w:val="0"/>
                <w:sz w:val="24"/>
                <w:lang w:bidi="ar"/>
              </w:rPr>
              <w:t>增减比率</w:t>
            </w:r>
          </w:p>
        </w:tc>
      </w:tr>
      <w:tr w:rsidR="00000000" w14:paraId="5183C73A"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272E3F6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合计：</w:t>
            </w:r>
          </w:p>
        </w:tc>
        <w:tc>
          <w:tcPr>
            <w:tcW w:w="1905" w:type="dxa"/>
            <w:tcBorders>
              <w:top w:val="nil"/>
              <w:left w:val="nil"/>
              <w:bottom w:val="single" w:sz="8" w:space="0" w:color="000000"/>
              <w:right w:val="single" w:sz="8" w:space="0" w:color="000000"/>
            </w:tcBorders>
            <w:noWrap/>
            <w:vAlign w:val="center"/>
          </w:tcPr>
          <w:p w14:paraId="344349A1" w14:textId="77777777" w:rsidR="00000000" w:rsidRDefault="00763D1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316966.84</w:t>
            </w:r>
          </w:p>
        </w:tc>
        <w:tc>
          <w:tcPr>
            <w:tcW w:w="1530" w:type="dxa"/>
            <w:tcBorders>
              <w:top w:val="nil"/>
              <w:left w:val="nil"/>
              <w:bottom w:val="single" w:sz="8" w:space="0" w:color="000000"/>
              <w:right w:val="single" w:sz="8" w:space="0" w:color="000000"/>
            </w:tcBorders>
            <w:noWrap/>
            <w:vAlign w:val="center"/>
          </w:tcPr>
          <w:p w14:paraId="146C7EF5" w14:textId="77777777" w:rsidR="00000000" w:rsidRDefault="00763D1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456772.12</w:t>
            </w:r>
          </w:p>
        </w:tc>
        <w:tc>
          <w:tcPr>
            <w:tcW w:w="1590" w:type="dxa"/>
            <w:tcBorders>
              <w:top w:val="nil"/>
              <w:left w:val="nil"/>
              <w:bottom w:val="single" w:sz="8" w:space="0" w:color="000000"/>
              <w:right w:val="single" w:sz="8" w:space="0" w:color="000000"/>
            </w:tcBorders>
            <w:noWrap/>
            <w:vAlign w:val="center"/>
          </w:tcPr>
          <w:p w14:paraId="214F2BD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153575.25</w:t>
            </w:r>
          </w:p>
        </w:tc>
        <w:tc>
          <w:tcPr>
            <w:tcW w:w="1560" w:type="dxa"/>
            <w:tcBorders>
              <w:top w:val="nil"/>
              <w:left w:val="nil"/>
              <w:bottom w:val="single" w:sz="8" w:space="0" w:color="000000"/>
              <w:right w:val="single" w:sz="8" w:space="0" w:color="000000"/>
            </w:tcBorders>
            <w:noWrap/>
            <w:vAlign w:val="center"/>
          </w:tcPr>
          <w:p w14:paraId="7551785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48.45%</w:t>
            </w:r>
          </w:p>
        </w:tc>
      </w:tr>
      <w:tr w:rsidR="00000000" w14:paraId="5369A538"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477ED98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201</w:t>
            </w:r>
            <w:r>
              <w:rPr>
                <w:rFonts w:ascii="宋体" w:eastAsia="宋体" w:hAnsi="宋体" w:cs="宋体" w:hint="eastAsia"/>
                <w:color w:val="000000"/>
                <w:kern w:val="0"/>
                <w:sz w:val="22"/>
                <w:szCs w:val="22"/>
                <w:lang w:bidi="ar"/>
              </w:rPr>
              <w:t>一般公共服务支出</w:t>
            </w:r>
          </w:p>
        </w:tc>
        <w:tc>
          <w:tcPr>
            <w:tcW w:w="1905" w:type="dxa"/>
            <w:tcBorders>
              <w:top w:val="nil"/>
              <w:left w:val="nil"/>
              <w:bottom w:val="single" w:sz="8" w:space="0" w:color="000000"/>
              <w:right w:val="single" w:sz="8" w:space="0" w:color="000000"/>
            </w:tcBorders>
            <w:noWrap/>
            <w:vAlign w:val="center"/>
          </w:tcPr>
          <w:p w14:paraId="686B171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21075.67</w:t>
            </w:r>
          </w:p>
        </w:tc>
        <w:tc>
          <w:tcPr>
            <w:tcW w:w="1530" w:type="dxa"/>
            <w:tcBorders>
              <w:top w:val="nil"/>
              <w:left w:val="nil"/>
              <w:bottom w:val="single" w:sz="8" w:space="0" w:color="000000"/>
              <w:right w:val="single" w:sz="8" w:space="0" w:color="000000"/>
            </w:tcBorders>
            <w:noWrap/>
            <w:vAlign w:val="center"/>
          </w:tcPr>
          <w:p w14:paraId="6F6260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25760.26</w:t>
            </w:r>
          </w:p>
        </w:tc>
        <w:tc>
          <w:tcPr>
            <w:tcW w:w="1590" w:type="dxa"/>
            <w:tcBorders>
              <w:top w:val="nil"/>
              <w:left w:val="nil"/>
              <w:bottom w:val="single" w:sz="8" w:space="0" w:color="000000"/>
              <w:right w:val="single" w:sz="8" w:space="0" w:color="000000"/>
            </w:tcBorders>
            <w:noWrap/>
            <w:vAlign w:val="center"/>
          </w:tcPr>
          <w:p w14:paraId="2C1F7AE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4684.59</w:t>
            </w:r>
          </w:p>
        </w:tc>
        <w:tc>
          <w:tcPr>
            <w:tcW w:w="1560" w:type="dxa"/>
            <w:tcBorders>
              <w:top w:val="nil"/>
              <w:left w:val="nil"/>
              <w:bottom w:val="single" w:sz="8" w:space="0" w:color="000000"/>
              <w:right w:val="single" w:sz="8" w:space="0" w:color="000000"/>
            </w:tcBorders>
            <w:noWrap/>
            <w:vAlign w:val="center"/>
          </w:tcPr>
          <w:p w14:paraId="4EBA12A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22.23%</w:t>
            </w:r>
          </w:p>
        </w:tc>
      </w:tr>
      <w:tr w:rsidR="00000000" w14:paraId="4CDEB841"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16F4436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203</w:t>
            </w:r>
            <w:r>
              <w:rPr>
                <w:rFonts w:ascii="宋体" w:eastAsia="宋体" w:hAnsi="宋体" w:cs="宋体" w:hint="eastAsia"/>
                <w:color w:val="000000"/>
                <w:kern w:val="0"/>
                <w:sz w:val="22"/>
                <w:szCs w:val="22"/>
                <w:lang w:bidi="ar"/>
              </w:rPr>
              <w:t>国防支出</w:t>
            </w:r>
          </w:p>
        </w:tc>
        <w:tc>
          <w:tcPr>
            <w:tcW w:w="1905" w:type="dxa"/>
            <w:tcBorders>
              <w:top w:val="nil"/>
              <w:left w:val="nil"/>
              <w:bottom w:val="single" w:sz="8" w:space="0" w:color="000000"/>
              <w:right w:val="single" w:sz="8" w:space="0" w:color="000000"/>
            </w:tcBorders>
            <w:noWrap/>
            <w:vAlign w:val="center"/>
          </w:tcPr>
          <w:p w14:paraId="33CB0CD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2409.56</w:t>
            </w:r>
          </w:p>
        </w:tc>
        <w:tc>
          <w:tcPr>
            <w:tcW w:w="1530" w:type="dxa"/>
            <w:tcBorders>
              <w:top w:val="nil"/>
              <w:left w:val="nil"/>
              <w:bottom w:val="single" w:sz="8" w:space="0" w:color="000000"/>
              <w:right w:val="single" w:sz="8" w:space="0" w:color="000000"/>
            </w:tcBorders>
            <w:noWrap/>
            <w:vAlign w:val="center"/>
          </w:tcPr>
          <w:p w14:paraId="0FB7FA4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3651.35</w:t>
            </w:r>
          </w:p>
        </w:tc>
        <w:tc>
          <w:tcPr>
            <w:tcW w:w="1590" w:type="dxa"/>
            <w:tcBorders>
              <w:top w:val="nil"/>
              <w:left w:val="nil"/>
              <w:bottom w:val="single" w:sz="8" w:space="0" w:color="000000"/>
              <w:right w:val="single" w:sz="8" w:space="0" w:color="000000"/>
            </w:tcBorders>
            <w:noWrap/>
            <w:vAlign w:val="center"/>
          </w:tcPr>
          <w:p w14:paraId="2008764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1241.79</w:t>
            </w:r>
          </w:p>
        </w:tc>
        <w:tc>
          <w:tcPr>
            <w:tcW w:w="1560" w:type="dxa"/>
            <w:tcBorders>
              <w:top w:val="nil"/>
              <w:left w:val="nil"/>
              <w:bottom w:val="single" w:sz="8" w:space="0" w:color="000000"/>
              <w:right w:val="single" w:sz="8" w:space="0" w:color="000000"/>
            </w:tcBorders>
            <w:noWrap/>
            <w:vAlign w:val="center"/>
          </w:tcPr>
          <w:p w14:paraId="7FADE2B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51.54%</w:t>
            </w:r>
          </w:p>
        </w:tc>
      </w:tr>
      <w:tr w:rsidR="00000000" w14:paraId="27B075CF"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174F7D8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204</w:t>
            </w:r>
            <w:r>
              <w:rPr>
                <w:rFonts w:ascii="宋体" w:eastAsia="宋体" w:hAnsi="宋体" w:cs="宋体" w:hint="eastAsia"/>
                <w:color w:val="000000"/>
                <w:kern w:val="0"/>
                <w:sz w:val="22"/>
                <w:szCs w:val="22"/>
                <w:lang w:bidi="ar"/>
              </w:rPr>
              <w:t>公共安全支出</w:t>
            </w:r>
          </w:p>
        </w:tc>
        <w:tc>
          <w:tcPr>
            <w:tcW w:w="1905" w:type="dxa"/>
            <w:tcBorders>
              <w:top w:val="nil"/>
              <w:left w:val="nil"/>
              <w:bottom w:val="single" w:sz="8" w:space="0" w:color="000000"/>
              <w:right w:val="single" w:sz="8" w:space="0" w:color="000000"/>
            </w:tcBorders>
            <w:noWrap/>
            <w:vAlign w:val="center"/>
          </w:tcPr>
          <w:p w14:paraId="5F8FEE7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23526.29</w:t>
            </w:r>
          </w:p>
        </w:tc>
        <w:tc>
          <w:tcPr>
            <w:tcW w:w="1530" w:type="dxa"/>
            <w:tcBorders>
              <w:top w:val="nil"/>
              <w:left w:val="nil"/>
              <w:bottom w:val="single" w:sz="8" w:space="0" w:color="000000"/>
              <w:right w:val="single" w:sz="8" w:space="0" w:color="000000"/>
            </w:tcBorders>
            <w:noWrap/>
            <w:vAlign w:val="center"/>
          </w:tcPr>
          <w:p w14:paraId="2FBD766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35461.31</w:t>
            </w:r>
          </w:p>
        </w:tc>
        <w:tc>
          <w:tcPr>
            <w:tcW w:w="1590" w:type="dxa"/>
            <w:tcBorders>
              <w:top w:val="nil"/>
              <w:left w:val="nil"/>
              <w:bottom w:val="single" w:sz="8" w:space="0" w:color="000000"/>
              <w:right w:val="single" w:sz="8" w:space="0" w:color="000000"/>
            </w:tcBorders>
            <w:noWrap/>
            <w:vAlign w:val="center"/>
          </w:tcPr>
          <w:p w14:paraId="1273EE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11935.02</w:t>
            </w:r>
          </w:p>
        </w:tc>
        <w:tc>
          <w:tcPr>
            <w:tcW w:w="1560" w:type="dxa"/>
            <w:tcBorders>
              <w:top w:val="nil"/>
              <w:left w:val="nil"/>
              <w:bottom w:val="single" w:sz="8" w:space="0" w:color="000000"/>
              <w:right w:val="single" w:sz="8" w:space="0" w:color="000000"/>
            </w:tcBorders>
            <w:noWrap/>
            <w:vAlign w:val="center"/>
          </w:tcPr>
          <w:p w14:paraId="04A421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50.73%</w:t>
            </w:r>
          </w:p>
        </w:tc>
      </w:tr>
      <w:tr w:rsidR="00000000" w14:paraId="35A302C4"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37A4479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205</w:t>
            </w:r>
            <w:r>
              <w:rPr>
                <w:rFonts w:ascii="宋体" w:eastAsia="宋体" w:hAnsi="宋体" w:cs="宋体" w:hint="eastAsia"/>
                <w:color w:val="000000"/>
                <w:kern w:val="0"/>
                <w:sz w:val="22"/>
                <w:szCs w:val="22"/>
                <w:lang w:bidi="ar"/>
              </w:rPr>
              <w:t>教育支出</w:t>
            </w:r>
          </w:p>
        </w:tc>
        <w:tc>
          <w:tcPr>
            <w:tcW w:w="1905" w:type="dxa"/>
            <w:tcBorders>
              <w:top w:val="nil"/>
              <w:left w:val="nil"/>
              <w:bottom w:val="single" w:sz="8" w:space="0" w:color="000000"/>
              <w:right w:val="single" w:sz="8" w:space="0" w:color="000000"/>
            </w:tcBorders>
            <w:noWrap/>
            <w:vAlign w:val="center"/>
          </w:tcPr>
          <w:p w14:paraId="345C1B7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21775.52</w:t>
            </w:r>
          </w:p>
        </w:tc>
        <w:tc>
          <w:tcPr>
            <w:tcW w:w="1530" w:type="dxa"/>
            <w:tcBorders>
              <w:top w:val="nil"/>
              <w:left w:val="nil"/>
              <w:bottom w:val="single" w:sz="8" w:space="0" w:color="000000"/>
              <w:right w:val="single" w:sz="8" w:space="0" w:color="000000"/>
            </w:tcBorders>
            <w:noWrap/>
            <w:vAlign w:val="center"/>
          </w:tcPr>
          <w:p w14:paraId="4C967E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42949.63</w:t>
            </w:r>
          </w:p>
        </w:tc>
        <w:tc>
          <w:tcPr>
            <w:tcW w:w="1590" w:type="dxa"/>
            <w:tcBorders>
              <w:top w:val="nil"/>
              <w:left w:val="nil"/>
              <w:bottom w:val="single" w:sz="8" w:space="0" w:color="000000"/>
              <w:right w:val="single" w:sz="8" w:space="0" w:color="000000"/>
            </w:tcBorders>
            <w:noWrap/>
            <w:vAlign w:val="center"/>
          </w:tcPr>
          <w:p w14:paraId="447AC9B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21174.11</w:t>
            </w:r>
          </w:p>
        </w:tc>
        <w:tc>
          <w:tcPr>
            <w:tcW w:w="1560" w:type="dxa"/>
            <w:tcBorders>
              <w:top w:val="nil"/>
              <w:left w:val="nil"/>
              <w:bottom w:val="single" w:sz="8" w:space="0" w:color="000000"/>
              <w:right w:val="single" w:sz="8" w:space="0" w:color="000000"/>
            </w:tcBorders>
            <w:noWrap/>
            <w:vAlign w:val="center"/>
          </w:tcPr>
          <w:p w14:paraId="35987A9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97.24%</w:t>
            </w:r>
          </w:p>
        </w:tc>
      </w:tr>
      <w:tr w:rsidR="00000000" w14:paraId="7829C55D"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49ADD6D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206</w:t>
            </w:r>
            <w:r>
              <w:rPr>
                <w:rFonts w:ascii="宋体" w:eastAsia="宋体" w:hAnsi="宋体" w:cs="宋体" w:hint="eastAsia"/>
                <w:color w:val="000000"/>
                <w:kern w:val="0"/>
                <w:sz w:val="22"/>
                <w:szCs w:val="22"/>
                <w:lang w:bidi="ar"/>
              </w:rPr>
              <w:t>科学技术支出</w:t>
            </w:r>
          </w:p>
        </w:tc>
        <w:tc>
          <w:tcPr>
            <w:tcW w:w="1905" w:type="dxa"/>
            <w:tcBorders>
              <w:top w:val="nil"/>
              <w:left w:val="nil"/>
              <w:bottom w:val="single" w:sz="8" w:space="0" w:color="000000"/>
              <w:right w:val="single" w:sz="8" w:space="0" w:color="000000"/>
            </w:tcBorders>
            <w:noWrap/>
            <w:vAlign w:val="center"/>
          </w:tcPr>
          <w:p w14:paraId="2D18EF4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752.22</w:t>
            </w:r>
          </w:p>
        </w:tc>
        <w:tc>
          <w:tcPr>
            <w:tcW w:w="1530" w:type="dxa"/>
            <w:tcBorders>
              <w:top w:val="nil"/>
              <w:left w:val="nil"/>
              <w:bottom w:val="single" w:sz="8" w:space="0" w:color="000000"/>
              <w:right w:val="single" w:sz="8" w:space="0" w:color="000000"/>
            </w:tcBorders>
            <w:noWrap/>
            <w:vAlign w:val="center"/>
          </w:tcPr>
          <w:p w14:paraId="30A0F89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1527.82</w:t>
            </w:r>
          </w:p>
        </w:tc>
        <w:tc>
          <w:tcPr>
            <w:tcW w:w="1590" w:type="dxa"/>
            <w:tcBorders>
              <w:top w:val="nil"/>
              <w:left w:val="nil"/>
              <w:bottom w:val="single" w:sz="8" w:space="0" w:color="000000"/>
              <w:right w:val="single" w:sz="8" w:space="0" w:color="000000"/>
            </w:tcBorders>
            <w:noWrap/>
            <w:vAlign w:val="center"/>
          </w:tcPr>
          <w:p w14:paraId="2A6EC69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775.6</w:t>
            </w:r>
          </w:p>
        </w:tc>
        <w:tc>
          <w:tcPr>
            <w:tcW w:w="1560" w:type="dxa"/>
            <w:tcBorders>
              <w:top w:val="nil"/>
              <w:left w:val="nil"/>
              <w:bottom w:val="single" w:sz="8" w:space="0" w:color="000000"/>
              <w:right w:val="single" w:sz="8" w:space="0" w:color="000000"/>
            </w:tcBorders>
            <w:noWrap/>
            <w:vAlign w:val="center"/>
          </w:tcPr>
          <w:p w14:paraId="76C4D4E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103.11%</w:t>
            </w:r>
          </w:p>
        </w:tc>
      </w:tr>
      <w:tr w:rsidR="00000000" w14:paraId="447012C6"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75857A6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207</w:t>
            </w:r>
            <w:r>
              <w:rPr>
                <w:rFonts w:ascii="宋体" w:eastAsia="宋体" w:hAnsi="宋体" w:cs="宋体" w:hint="eastAsia"/>
                <w:color w:val="000000"/>
                <w:kern w:val="0"/>
                <w:sz w:val="22"/>
                <w:szCs w:val="22"/>
                <w:lang w:bidi="ar"/>
              </w:rPr>
              <w:t>文化旅游体育与传媒支出</w:t>
            </w:r>
          </w:p>
        </w:tc>
        <w:tc>
          <w:tcPr>
            <w:tcW w:w="1905" w:type="dxa"/>
            <w:tcBorders>
              <w:top w:val="nil"/>
              <w:left w:val="nil"/>
              <w:bottom w:val="single" w:sz="8" w:space="0" w:color="000000"/>
              <w:right w:val="single" w:sz="8" w:space="0" w:color="000000"/>
            </w:tcBorders>
            <w:noWrap/>
            <w:vAlign w:val="center"/>
          </w:tcPr>
          <w:p w14:paraId="1CB5470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4654.45</w:t>
            </w:r>
          </w:p>
        </w:tc>
        <w:tc>
          <w:tcPr>
            <w:tcW w:w="1530" w:type="dxa"/>
            <w:tcBorders>
              <w:top w:val="nil"/>
              <w:left w:val="nil"/>
              <w:bottom w:val="single" w:sz="8" w:space="0" w:color="000000"/>
              <w:right w:val="single" w:sz="8" w:space="0" w:color="000000"/>
            </w:tcBorders>
            <w:noWrap/>
            <w:vAlign w:val="center"/>
          </w:tcPr>
          <w:p w14:paraId="717316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6092.57</w:t>
            </w:r>
          </w:p>
        </w:tc>
        <w:tc>
          <w:tcPr>
            <w:tcW w:w="1590" w:type="dxa"/>
            <w:tcBorders>
              <w:top w:val="nil"/>
              <w:left w:val="nil"/>
              <w:bottom w:val="single" w:sz="8" w:space="0" w:color="000000"/>
              <w:right w:val="single" w:sz="8" w:space="0" w:color="000000"/>
            </w:tcBorders>
            <w:noWrap/>
            <w:vAlign w:val="center"/>
          </w:tcPr>
          <w:p w14:paraId="672320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1438.12</w:t>
            </w:r>
          </w:p>
        </w:tc>
        <w:tc>
          <w:tcPr>
            <w:tcW w:w="1560" w:type="dxa"/>
            <w:tcBorders>
              <w:top w:val="nil"/>
              <w:left w:val="nil"/>
              <w:bottom w:val="single" w:sz="8" w:space="0" w:color="000000"/>
              <w:right w:val="single" w:sz="8" w:space="0" w:color="000000"/>
            </w:tcBorders>
            <w:noWrap/>
            <w:vAlign w:val="center"/>
          </w:tcPr>
          <w:p w14:paraId="49A11A0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30.90%</w:t>
            </w:r>
          </w:p>
        </w:tc>
      </w:tr>
      <w:tr w:rsidR="00000000" w14:paraId="7F37FA52"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1A8D116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208</w:t>
            </w:r>
            <w:r>
              <w:rPr>
                <w:rFonts w:ascii="宋体" w:eastAsia="宋体" w:hAnsi="宋体" w:cs="宋体" w:hint="eastAsia"/>
                <w:color w:val="000000"/>
                <w:kern w:val="0"/>
                <w:sz w:val="22"/>
                <w:szCs w:val="22"/>
                <w:lang w:bidi="ar"/>
              </w:rPr>
              <w:t>社会保障和就业支出</w:t>
            </w:r>
          </w:p>
        </w:tc>
        <w:tc>
          <w:tcPr>
            <w:tcW w:w="1905" w:type="dxa"/>
            <w:tcBorders>
              <w:top w:val="nil"/>
              <w:left w:val="nil"/>
              <w:bottom w:val="single" w:sz="8" w:space="0" w:color="000000"/>
              <w:right w:val="single" w:sz="8" w:space="0" w:color="000000"/>
            </w:tcBorders>
            <w:noWrap/>
            <w:vAlign w:val="center"/>
          </w:tcPr>
          <w:p w14:paraId="30E2076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34546.5</w:t>
            </w:r>
          </w:p>
        </w:tc>
        <w:tc>
          <w:tcPr>
            <w:tcW w:w="1530" w:type="dxa"/>
            <w:tcBorders>
              <w:top w:val="nil"/>
              <w:left w:val="nil"/>
              <w:bottom w:val="single" w:sz="8" w:space="0" w:color="000000"/>
              <w:right w:val="single" w:sz="8" w:space="0" w:color="000000"/>
            </w:tcBorders>
            <w:noWrap/>
            <w:vAlign w:val="center"/>
          </w:tcPr>
          <w:p w14:paraId="6A42792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51380.72</w:t>
            </w:r>
          </w:p>
        </w:tc>
        <w:tc>
          <w:tcPr>
            <w:tcW w:w="1590" w:type="dxa"/>
            <w:tcBorders>
              <w:top w:val="nil"/>
              <w:left w:val="nil"/>
              <w:bottom w:val="single" w:sz="8" w:space="0" w:color="000000"/>
              <w:right w:val="single" w:sz="8" w:space="0" w:color="000000"/>
            </w:tcBorders>
            <w:noWrap/>
            <w:vAlign w:val="center"/>
          </w:tcPr>
          <w:p w14:paraId="132E56E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16834.22</w:t>
            </w:r>
          </w:p>
        </w:tc>
        <w:tc>
          <w:tcPr>
            <w:tcW w:w="1560" w:type="dxa"/>
            <w:tcBorders>
              <w:top w:val="nil"/>
              <w:left w:val="nil"/>
              <w:bottom w:val="single" w:sz="8" w:space="0" w:color="000000"/>
              <w:right w:val="single" w:sz="8" w:space="0" w:color="000000"/>
            </w:tcBorders>
            <w:noWrap/>
            <w:vAlign w:val="center"/>
          </w:tcPr>
          <w:p w14:paraId="73C8F3A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48.73%</w:t>
            </w:r>
          </w:p>
        </w:tc>
      </w:tr>
      <w:tr w:rsidR="00000000" w14:paraId="503F91F4"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218B25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210</w:t>
            </w:r>
            <w:r>
              <w:rPr>
                <w:rFonts w:ascii="宋体" w:eastAsia="宋体" w:hAnsi="宋体" w:cs="宋体" w:hint="eastAsia"/>
                <w:color w:val="000000"/>
                <w:kern w:val="0"/>
                <w:sz w:val="22"/>
                <w:szCs w:val="22"/>
                <w:lang w:bidi="ar"/>
              </w:rPr>
              <w:t>卫生健康支出</w:t>
            </w:r>
          </w:p>
        </w:tc>
        <w:tc>
          <w:tcPr>
            <w:tcW w:w="1905" w:type="dxa"/>
            <w:tcBorders>
              <w:top w:val="nil"/>
              <w:left w:val="nil"/>
              <w:bottom w:val="single" w:sz="8" w:space="0" w:color="000000"/>
              <w:right w:val="single" w:sz="8" w:space="0" w:color="000000"/>
            </w:tcBorders>
            <w:noWrap/>
            <w:vAlign w:val="center"/>
          </w:tcPr>
          <w:p w14:paraId="72391FF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44178.66</w:t>
            </w:r>
          </w:p>
        </w:tc>
        <w:tc>
          <w:tcPr>
            <w:tcW w:w="1530" w:type="dxa"/>
            <w:tcBorders>
              <w:top w:val="nil"/>
              <w:left w:val="nil"/>
              <w:bottom w:val="single" w:sz="8" w:space="0" w:color="000000"/>
              <w:right w:val="single" w:sz="8" w:space="0" w:color="000000"/>
            </w:tcBorders>
            <w:noWrap/>
            <w:vAlign w:val="center"/>
          </w:tcPr>
          <w:p w14:paraId="148B86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40769.39</w:t>
            </w:r>
          </w:p>
        </w:tc>
        <w:tc>
          <w:tcPr>
            <w:tcW w:w="1590" w:type="dxa"/>
            <w:tcBorders>
              <w:top w:val="nil"/>
              <w:left w:val="nil"/>
              <w:bottom w:val="single" w:sz="8" w:space="0" w:color="000000"/>
              <w:right w:val="single" w:sz="8" w:space="0" w:color="000000"/>
            </w:tcBorders>
            <w:noWrap/>
            <w:vAlign w:val="center"/>
          </w:tcPr>
          <w:p w14:paraId="47BCFC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-3409.27</w:t>
            </w:r>
          </w:p>
        </w:tc>
        <w:tc>
          <w:tcPr>
            <w:tcW w:w="1560" w:type="dxa"/>
            <w:tcBorders>
              <w:top w:val="nil"/>
              <w:left w:val="nil"/>
              <w:bottom w:val="single" w:sz="8" w:space="0" w:color="000000"/>
              <w:right w:val="single" w:sz="8" w:space="0" w:color="000000"/>
            </w:tcBorders>
            <w:noWrap/>
            <w:vAlign w:val="center"/>
          </w:tcPr>
          <w:p w14:paraId="382A77B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-7.72%</w:t>
            </w:r>
          </w:p>
        </w:tc>
      </w:tr>
      <w:tr w:rsidR="00000000" w14:paraId="3B3EBF7A"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31CF1BC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211</w:t>
            </w:r>
            <w:r>
              <w:rPr>
                <w:rFonts w:ascii="宋体" w:eastAsia="宋体" w:hAnsi="宋体" w:cs="宋体" w:hint="eastAsia"/>
                <w:color w:val="000000"/>
                <w:kern w:val="0"/>
                <w:sz w:val="22"/>
                <w:szCs w:val="22"/>
                <w:lang w:bidi="ar"/>
              </w:rPr>
              <w:t>节能环保支出</w:t>
            </w:r>
          </w:p>
        </w:tc>
        <w:tc>
          <w:tcPr>
            <w:tcW w:w="1905" w:type="dxa"/>
            <w:tcBorders>
              <w:top w:val="nil"/>
              <w:left w:val="nil"/>
              <w:bottom w:val="single" w:sz="8" w:space="0" w:color="000000"/>
              <w:right w:val="single" w:sz="8" w:space="0" w:color="000000"/>
            </w:tcBorders>
            <w:noWrap/>
            <w:vAlign w:val="center"/>
          </w:tcPr>
          <w:p w14:paraId="716873F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3142.07</w:t>
            </w:r>
          </w:p>
        </w:tc>
        <w:tc>
          <w:tcPr>
            <w:tcW w:w="1530" w:type="dxa"/>
            <w:tcBorders>
              <w:top w:val="nil"/>
              <w:left w:val="nil"/>
              <w:bottom w:val="single" w:sz="8" w:space="0" w:color="000000"/>
              <w:right w:val="single" w:sz="8" w:space="0" w:color="000000"/>
            </w:tcBorders>
            <w:noWrap/>
            <w:vAlign w:val="center"/>
          </w:tcPr>
          <w:p w14:paraId="4F365F3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4435.82</w:t>
            </w:r>
          </w:p>
        </w:tc>
        <w:tc>
          <w:tcPr>
            <w:tcW w:w="1590" w:type="dxa"/>
            <w:tcBorders>
              <w:top w:val="nil"/>
              <w:left w:val="nil"/>
              <w:bottom w:val="single" w:sz="8" w:space="0" w:color="000000"/>
              <w:right w:val="single" w:sz="8" w:space="0" w:color="000000"/>
            </w:tcBorders>
            <w:noWrap/>
            <w:vAlign w:val="center"/>
          </w:tcPr>
          <w:p w14:paraId="73EFA4B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1293.75</w:t>
            </w:r>
          </w:p>
        </w:tc>
        <w:tc>
          <w:tcPr>
            <w:tcW w:w="1560" w:type="dxa"/>
            <w:tcBorders>
              <w:top w:val="nil"/>
              <w:left w:val="nil"/>
              <w:bottom w:val="single" w:sz="8" w:space="0" w:color="000000"/>
              <w:right w:val="single" w:sz="8" w:space="0" w:color="000000"/>
            </w:tcBorders>
            <w:noWrap/>
            <w:vAlign w:val="center"/>
          </w:tcPr>
          <w:p w14:paraId="4B8EAAE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41.18%</w:t>
            </w:r>
          </w:p>
        </w:tc>
      </w:tr>
      <w:tr w:rsidR="00000000" w14:paraId="4CBAA065"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71446C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212</w:t>
            </w:r>
            <w:r>
              <w:rPr>
                <w:rFonts w:ascii="宋体" w:eastAsia="宋体" w:hAnsi="宋体" w:cs="宋体" w:hint="eastAsia"/>
                <w:color w:val="000000"/>
                <w:kern w:val="0"/>
                <w:sz w:val="22"/>
                <w:szCs w:val="22"/>
                <w:lang w:bidi="ar"/>
              </w:rPr>
              <w:t>城乡社区支出</w:t>
            </w:r>
          </w:p>
        </w:tc>
        <w:tc>
          <w:tcPr>
            <w:tcW w:w="1905" w:type="dxa"/>
            <w:tcBorders>
              <w:top w:val="nil"/>
              <w:left w:val="nil"/>
              <w:bottom w:val="single" w:sz="8" w:space="0" w:color="000000"/>
              <w:right w:val="single" w:sz="8" w:space="0" w:color="000000"/>
            </w:tcBorders>
            <w:noWrap/>
            <w:vAlign w:val="center"/>
          </w:tcPr>
          <w:p w14:paraId="68F812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28421.08</w:t>
            </w:r>
          </w:p>
        </w:tc>
        <w:tc>
          <w:tcPr>
            <w:tcW w:w="1530" w:type="dxa"/>
            <w:tcBorders>
              <w:top w:val="nil"/>
              <w:left w:val="nil"/>
              <w:bottom w:val="single" w:sz="8" w:space="0" w:color="000000"/>
              <w:right w:val="single" w:sz="8" w:space="0" w:color="000000"/>
            </w:tcBorders>
            <w:noWrap/>
            <w:vAlign w:val="center"/>
          </w:tcPr>
          <w:p w14:paraId="0FEFA18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81808.93</w:t>
            </w:r>
          </w:p>
        </w:tc>
        <w:tc>
          <w:tcPr>
            <w:tcW w:w="1590" w:type="dxa"/>
            <w:tcBorders>
              <w:top w:val="nil"/>
              <w:left w:val="nil"/>
              <w:bottom w:val="single" w:sz="8" w:space="0" w:color="000000"/>
              <w:right w:val="single" w:sz="8" w:space="0" w:color="000000"/>
            </w:tcBorders>
            <w:noWrap/>
            <w:vAlign w:val="center"/>
          </w:tcPr>
          <w:p w14:paraId="771569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53387.85</w:t>
            </w:r>
          </w:p>
        </w:tc>
        <w:tc>
          <w:tcPr>
            <w:tcW w:w="1560" w:type="dxa"/>
            <w:tcBorders>
              <w:top w:val="nil"/>
              <w:left w:val="nil"/>
              <w:bottom w:val="single" w:sz="8" w:space="0" w:color="000000"/>
              <w:right w:val="single" w:sz="8" w:space="0" w:color="000000"/>
            </w:tcBorders>
            <w:noWrap/>
            <w:vAlign w:val="center"/>
          </w:tcPr>
          <w:p w14:paraId="0B86C83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187.85%</w:t>
            </w:r>
          </w:p>
        </w:tc>
      </w:tr>
      <w:tr w:rsidR="00000000" w14:paraId="6EA02F93"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2EA81D0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213</w:t>
            </w:r>
            <w:r>
              <w:rPr>
                <w:rFonts w:ascii="宋体" w:eastAsia="宋体" w:hAnsi="宋体" w:cs="宋体" w:hint="eastAsia"/>
                <w:color w:val="000000"/>
                <w:kern w:val="0"/>
                <w:sz w:val="22"/>
                <w:szCs w:val="22"/>
                <w:lang w:bidi="ar"/>
              </w:rPr>
              <w:t>农林水支出</w:t>
            </w:r>
          </w:p>
        </w:tc>
        <w:tc>
          <w:tcPr>
            <w:tcW w:w="1905" w:type="dxa"/>
            <w:tcBorders>
              <w:top w:val="nil"/>
              <w:left w:val="nil"/>
              <w:bottom w:val="single" w:sz="8" w:space="0" w:color="000000"/>
              <w:right w:val="single" w:sz="8" w:space="0" w:color="000000"/>
            </w:tcBorders>
            <w:noWrap/>
            <w:vAlign w:val="center"/>
          </w:tcPr>
          <w:p w14:paraId="026F7E2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66466.13</w:t>
            </w:r>
          </w:p>
        </w:tc>
        <w:tc>
          <w:tcPr>
            <w:tcW w:w="1530" w:type="dxa"/>
            <w:tcBorders>
              <w:top w:val="nil"/>
              <w:left w:val="nil"/>
              <w:bottom w:val="single" w:sz="8" w:space="0" w:color="000000"/>
              <w:right w:val="single" w:sz="8" w:space="0" w:color="000000"/>
            </w:tcBorders>
            <w:noWrap/>
            <w:vAlign w:val="center"/>
          </w:tcPr>
          <w:p w14:paraId="0A4840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89615.31</w:t>
            </w:r>
          </w:p>
        </w:tc>
        <w:tc>
          <w:tcPr>
            <w:tcW w:w="1590" w:type="dxa"/>
            <w:tcBorders>
              <w:top w:val="nil"/>
              <w:left w:val="nil"/>
              <w:bottom w:val="single" w:sz="8" w:space="0" w:color="000000"/>
              <w:right w:val="single" w:sz="8" w:space="0" w:color="000000"/>
            </w:tcBorders>
            <w:noWrap/>
            <w:vAlign w:val="center"/>
          </w:tcPr>
          <w:p w14:paraId="10EE3BA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23149.18</w:t>
            </w:r>
          </w:p>
        </w:tc>
        <w:tc>
          <w:tcPr>
            <w:tcW w:w="1560" w:type="dxa"/>
            <w:tcBorders>
              <w:top w:val="nil"/>
              <w:left w:val="nil"/>
              <w:bottom w:val="single" w:sz="8" w:space="0" w:color="000000"/>
              <w:right w:val="single" w:sz="8" w:space="0" w:color="000000"/>
            </w:tcBorders>
            <w:noWrap/>
            <w:vAlign w:val="center"/>
          </w:tcPr>
          <w:p w14:paraId="1E744C4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34.83%</w:t>
            </w:r>
          </w:p>
        </w:tc>
      </w:tr>
      <w:tr w:rsidR="00000000" w14:paraId="23D8F1B6"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124E1DC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214</w:t>
            </w:r>
            <w:r>
              <w:rPr>
                <w:rFonts w:ascii="宋体" w:eastAsia="宋体" w:hAnsi="宋体" w:cs="宋体" w:hint="eastAsia"/>
                <w:color w:val="000000"/>
                <w:kern w:val="0"/>
                <w:sz w:val="22"/>
                <w:szCs w:val="22"/>
                <w:lang w:bidi="ar"/>
              </w:rPr>
              <w:t>交通运输支出</w:t>
            </w:r>
          </w:p>
        </w:tc>
        <w:tc>
          <w:tcPr>
            <w:tcW w:w="1905" w:type="dxa"/>
            <w:tcBorders>
              <w:top w:val="nil"/>
              <w:left w:val="nil"/>
              <w:bottom w:val="single" w:sz="8" w:space="0" w:color="000000"/>
              <w:right w:val="single" w:sz="8" w:space="0" w:color="000000"/>
            </w:tcBorders>
            <w:noWrap/>
            <w:vAlign w:val="center"/>
          </w:tcPr>
          <w:p w14:paraId="59D9A88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25968.11</w:t>
            </w:r>
          </w:p>
        </w:tc>
        <w:tc>
          <w:tcPr>
            <w:tcW w:w="1530" w:type="dxa"/>
            <w:tcBorders>
              <w:top w:val="nil"/>
              <w:left w:val="nil"/>
              <w:bottom w:val="single" w:sz="8" w:space="0" w:color="000000"/>
              <w:right w:val="single" w:sz="8" w:space="0" w:color="000000"/>
            </w:tcBorders>
            <w:noWrap/>
            <w:vAlign w:val="center"/>
          </w:tcPr>
          <w:p w14:paraId="0E22E3D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29740.06</w:t>
            </w:r>
          </w:p>
        </w:tc>
        <w:tc>
          <w:tcPr>
            <w:tcW w:w="1590" w:type="dxa"/>
            <w:tcBorders>
              <w:top w:val="nil"/>
              <w:left w:val="nil"/>
              <w:bottom w:val="single" w:sz="8" w:space="0" w:color="000000"/>
              <w:right w:val="single" w:sz="8" w:space="0" w:color="000000"/>
            </w:tcBorders>
            <w:noWrap/>
            <w:vAlign w:val="center"/>
          </w:tcPr>
          <w:p w14:paraId="6B8C5E3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r>
              <w:rPr>
                <w:rFonts w:ascii="宋体" w:eastAsia="宋体" w:hAnsi="宋体" w:cs="宋体" w:hint="eastAsia"/>
                <w:color w:val="000000"/>
                <w:kern w:val="0"/>
                <w:sz w:val="22"/>
                <w:szCs w:val="22"/>
                <w:lang w:bidi="ar"/>
              </w:rPr>
              <w:t>71.95</w:t>
            </w:r>
          </w:p>
        </w:tc>
        <w:tc>
          <w:tcPr>
            <w:tcW w:w="1560" w:type="dxa"/>
            <w:tcBorders>
              <w:top w:val="nil"/>
              <w:left w:val="nil"/>
              <w:bottom w:val="single" w:sz="8" w:space="0" w:color="000000"/>
              <w:right w:val="single" w:sz="8" w:space="0" w:color="000000"/>
            </w:tcBorders>
            <w:noWrap/>
            <w:vAlign w:val="center"/>
          </w:tcPr>
          <w:p w14:paraId="03064D8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14.53%</w:t>
            </w:r>
          </w:p>
        </w:tc>
      </w:tr>
      <w:tr w:rsidR="00000000" w14:paraId="021F0F87"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54BD996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215</w:t>
            </w:r>
            <w:r>
              <w:rPr>
                <w:rFonts w:ascii="宋体" w:eastAsia="宋体" w:hAnsi="宋体" w:cs="宋体" w:hint="eastAsia"/>
                <w:color w:val="000000"/>
                <w:kern w:val="0"/>
                <w:sz w:val="22"/>
                <w:szCs w:val="22"/>
                <w:lang w:bidi="ar"/>
              </w:rPr>
              <w:t>资源勘探工业信息等支出</w:t>
            </w:r>
          </w:p>
        </w:tc>
        <w:tc>
          <w:tcPr>
            <w:tcW w:w="1905" w:type="dxa"/>
            <w:tcBorders>
              <w:top w:val="nil"/>
              <w:left w:val="nil"/>
              <w:bottom w:val="single" w:sz="8" w:space="0" w:color="000000"/>
              <w:right w:val="single" w:sz="8" w:space="0" w:color="000000"/>
            </w:tcBorders>
            <w:noWrap/>
            <w:vAlign w:val="center"/>
          </w:tcPr>
          <w:p w14:paraId="08B2DD7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105.78</w:t>
            </w:r>
          </w:p>
        </w:tc>
        <w:tc>
          <w:tcPr>
            <w:tcW w:w="1530" w:type="dxa"/>
            <w:tcBorders>
              <w:top w:val="nil"/>
              <w:left w:val="nil"/>
              <w:bottom w:val="single" w:sz="8" w:space="0" w:color="000000"/>
              <w:right w:val="single" w:sz="8" w:space="0" w:color="000000"/>
            </w:tcBorders>
            <w:noWrap/>
            <w:vAlign w:val="center"/>
          </w:tcPr>
          <w:p w14:paraId="50E5BD1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108.69</w:t>
            </w:r>
          </w:p>
        </w:tc>
        <w:tc>
          <w:tcPr>
            <w:tcW w:w="1590" w:type="dxa"/>
            <w:tcBorders>
              <w:top w:val="nil"/>
              <w:left w:val="nil"/>
              <w:bottom w:val="single" w:sz="8" w:space="0" w:color="000000"/>
              <w:right w:val="single" w:sz="8" w:space="0" w:color="000000"/>
            </w:tcBorders>
            <w:noWrap/>
            <w:vAlign w:val="center"/>
          </w:tcPr>
          <w:p w14:paraId="18933BE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2.91</w:t>
            </w:r>
          </w:p>
        </w:tc>
        <w:tc>
          <w:tcPr>
            <w:tcW w:w="1560" w:type="dxa"/>
            <w:tcBorders>
              <w:top w:val="nil"/>
              <w:left w:val="nil"/>
              <w:bottom w:val="single" w:sz="8" w:space="0" w:color="000000"/>
              <w:right w:val="single" w:sz="8" w:space="0" w:color="000000"/>
            </w:tcBorders>
            <w:noWrap/>
            <w:vAlign w:val="center"/>
          </w:tcPr>
          <w:p w14:paraId="636DB0A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2.75%</w:t>
            </w:r>
          </w:p>
        </w:tc>
      </w:tr>
      <w:tr w:rsidR="00000000" w14:paraId="24C4C54B"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7CA350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216</w:t>
            </w:r>
            <w:r>
              <w:rPr>
                <w:rFonts w:ascii="宋体" w:eastAsia="宋体" w:hAnsi="宋体" w:cs="宋体" w:hint="eastAsia"/>
                <w:color w:val="000000"/>
                <w:kern w:val="0"/>
                <w:sz w:val="22"/>
                <w:szCs w:val="22"/>
                <w:lang w:bidi="ar"/>
              </w:rPr>
              <w:t>商业服务业等支出</w:t>
            </w:r>
          </w:p>
        </w:tc>
        <w:tc>
          <w:tcPr>
            <w:tcW w:w="1905" w:type="dxa"/>
            <w:tcBorders>
              <w:top w:val="nil"/>
              <w:left w:val="nil"/>
              <w:bottom w:val="single" w:sz="8" w:space="0" w:color="000000"/>
              <w:right w:val="single" w:sz="8" w:space="0" w:color="000000"/>
            </w:tcBorders>
            <w:noWrap/>
            <w:vAlign w:val="center"/>
          </w:tcPr>
          <w:p w14:paraId="20461AF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1274.76</w:t>
            </w:r>
          </w:p>
        </w:tc>
        <w:tc>
          <w:tcPr>
            <w:tcW w:w="1530" w:type="dxa"/>
            <w:tcBorders>
              <w:top w:val="nil"/>
              <w:left w:val="nil"/>
              <w:bottom w:val="single" w:sz="8" w:space="0" w:color="000000"/>
              <w:right w:val="single" w:sz="8" w:space="0" w:color="000000"/>
            </w:tcBorders>
            <w:noWrap/>
            <w:vAlign w:val="center"/>
          </w:tcPr>
          <w:p w14:paraId="3C866F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3143.83</w:t>
            </w:r>
          </w:p>
        </w:tc>
        <w:tc>
          <w:tcPr>
            <w:tcW w:w="1590" w:type="dxa"/>
            <w:tcBorders>
              <w:top w:val="nil"/>
              <w:left w:val="nil"/>
              <w:bottom w:val="single" w:sz="8" w:space="0" w:color="000000"/>
              <w:right w:val="single" w:sz="8" w:space="0" w:color="000000"/>
            </w:tcBorders>
            <w:noWrap/>
            <w:vAlign w:val="center"/>
          </w:tcPr>
          <w:p w14:paraId="0C79B4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1869.07</w:t>
            </w:r>
          </w:p>
        </w:tc>
        <w:tc>
          <w:tcPr>
            <w:tcW w:w="1560" w:type="dxa"/>
            <w:tcBorders>
              <w:top w:val="nil"/>
              <w:left w:val="nil"/>
              <w:bottom w:val="single" w:sz="8" w:space="0" w:color="000000"/>
              <w:right w:val="single" w:sz="8" w:space="0" w:color="000000"/>
            </w:tcBorders>
            <w:noWrap/>
            <w:vAlign w:val="center"/>
          </w:tcPr>
          <w:p w14:paraId="3407A80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146.62%</w:t>
            </w:r>
          </w:p>
        </w:tc>
      </w:tr>
      <w:tr w:rsidR="00000000" w14:paraId="355CCB65"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2BD1980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217</w:t>
            </w:r>
            <w:r>
              <w:rPr>
                <w:rFonts w:ascii="宋体" w:eastAsia="宋体" w:hAnsi="宋体" w:cs="宋体" w:hint="eastAsia"/>
                <w:color w:val="000000"/>
                <w:kern w:val="0"/>
                <w:sz w:val="22"/>
                <w:szCs w:val="22"/>
                <w:lang w:bidi="ar"/>
              </w:rPr>
              <w:t>金融支出</w:t>
            </w:r>
          </w:p>
        </w:tc>
        <w:tc>
          <w:tcPr>
            <w:tcW w:w="1905" w:type="dxa"/>
            <w:tcBorders>
              <w:top w:val="nil"/>
              <w:left w:val="nil"/>
              <w:bottom w:val="single" w:sz="8" w:space="0" w:color="000000"/>
              <w:right w:val="single" w:sz="8" w:space="0" w:color="000000"/>
            </w:tcBorders>
            <w:noWrap/>
            <w:vAlign w:val="center"/>
          </w:tcPr>
          <w:p w14:paraId="22C3015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1530" w:type="dxa"/>
            <w:tcBorders>
              <w:top w:val="nil"/>
              <w:left w:val="nil"/>
              <w:bottom w:val="single" w:sz="8" w:space="0" w:color="000000"/>
              <w:right w:val="single" w:sz="8" w:space="0" w:color="000000"/>
            </w:tcBorders>
            <w:noWrap/>
            <w:vAlign w:val="center"/>
          </w:tcPr>
          <w:p w14:paraId="2E173F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2.5</w:t>
            </w:r>
          </w:p>
        </w:tc>
        <w:tc>
          <w:tcPr>
            <w:tcW w:w="1590" w:type="dxa"/>
            <w:tcBorders>
              <w:top w:val="nil"/>
              <w:left w:val="nil"/>
              <w:bottom w:val="single" w:sz="8" w:space="0" w:color="000000"/>
              <w:right w:val="single" w:sz="8" w:space="0" w:color="000000"/>
            </w:tcBorders>
            <w:noWrap/>
            <w:vAlign w:val="center"/>
          </w:tcPr>
          <w:p w14:paraId="4CEDA8A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2.5</w:t>
            </w:r>
          </w:p>
        </w:tc>
        <w:tc>
          <w:tcPr>
            <w:tcW w:w="1560" w:type="dxa"/>
            <w:tcBorders>
              <w:top w:val="nil"/>
              <w:left w:val="nil"/>
              <w:bottom w:val="single" w:sz="8" w:space="0" w:color="000000"/>
              <w:right w:val="single" w:sz="8" w:space="0" w:color="000000"/>
            </w:tcBorders>
            <w:noWrap/>
            <w:vAlign w:val="center"/>
          </w:tcPr>
          <w:p w14:paraId="546B59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100.00%</w:t>
            </w:r>
          </w:p>
        </w:tc>
      </w:tr>
      <w:tr w:rsidR="00000000" w14:paraId="3A1B5087"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43F3B15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220</w:t>
            </w:r>
            <w:r>
              <w:rPr>
                <w:rFonts w:ascii="宋体" w:eastAsia="宋体" w:hAnsi="宋体" w:cs="宋体" w:hint="eastAsia"/>
                <w:color w:val="000000"/>
                <w:kern w:val="0"/>
                <w:sz w:val="22"/>
                <w:szCs w:val="22"/>
                <w:lang w:bidi="ar"/>
              </w:rPr>
              <w:t>自然资源海洋气象等支出</w:t>
            </w:r>
          </w:p>
        </w:tc>
        <w:tc>
          <w:tcPr>
            <w:tcW w:w="1905" w:type="dxa"/>
            <w:tcBorders>
              <w:top w:val="nil"/>
              <w:left w:val="nil"/>
              <w:bottom w:val="single" w:sz="8" w:space="0" w:color="000000"/>
              <w:right w:val="single" w:sz="8" w:space="0" w:color="000000"/>
            </w:tcBorders>
            <w:noWrap/>
            <w:vAlign w:val="center"/>
          </w:tcPr>
          <w:p w14:paraId="76E733A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975.43</w:t>
            </w:r>
          </w:p>
        </w:tc>
        <w:tc>
          <w:tcPr>
            <w:tcW w:w="1530" w:type="dxa"/>
            <w:tcBorders>
              <w:top w:val="nil"/>
              <w:left w:val="nil"/>
              <w:bottom w:val="single" w:sz="8" w:space="0" w:color="000000"/>
              <w:right w:val="single" w:sz="8" w:space="0" w:color="000000"/>
            </w:tcBorders>
            <w:noWrap/>
            <w:vAlign w:val="center"/>
          </w:tcPr>
          <w:p w14:paraId="1EB5F18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1128.82</w:t>
            </w:r>
          </w:p>
        </w:tc>
        <w:tc>
          <w:tcPr>
            <w:tcW w:w="1590" w:type="dxa"/>
            <w:tcBorders>
              <w:top w:val="nil"/>
              <w:left w:val="nil"/>
              <w:bottom w:val="single" w:sz="8" w:space="0" w:color="000000"/>
              <w:right w:val="single" w:sz="8" w:space="0" w:color="000000"/>
            </w:tcBorders>
            <w:noWrap/>
            <w:vAlign w:val="center"/>
          </w:tcPr>
          <w:p w14:paraId="44FF89C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153.39</w:t>
            </w:r>
          </w:p>
        </w:tc>
        <w:tc>
          <w:tcPr>
            <w:tcW w:w="1560" w:type="dxa"/>
            <w:tcBorders>
              <w:top w:val="nil"/>
              <w:left w:val="nil"/>
              <w:bottom w:val="single" w:sz="8" w:space="0" w:color="000000"/>
              <w:right w:val="single" w:sz="8" w:space="0" w:color="000000"/>
            </w:tcBorders>
            <w:noWrap/>
            <w:vAlign w:val="center"/>
          </w:tcPr>
          <w:p w14:paraId="1A54966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15.73%</w:t>
            </w:r>
          </w:p>
        </w:tc>
      </w:tr>
      <w:tr w:rsidR="00000000" w14:paraId="041F38CF"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44ED13B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221</w:t>
            </w:r>
            <w:r>
              <w:rPr>
                <w:rFonts w:ascii="宋体" w:eastAsia="宋体" w:hAnsi="宋体" w:cs="宋体" w:hint="eastAsia"/>
                <w:color w:val="000000"/>
                <w:kern w:val="0"/>
                <w:sz w:val="22"/>
                <w:szCs w:val="22"/>
                <w:lang w:bidi="ar"/>
              </w:rPr>
              <w:t>住房保障支出</w:t>
            </w:r>
          </w:p>
        </w:tc>
        <w:tc>
          <w:tcPr>
            <w:tcW w:w="1905" w:type="dxa"/>
            <w:tcBorders>
              <w:top w:val="nil"/>
              <w:left w:val="nil"/>
              <w:bottom w:val="single" w:sz="8" w:space="0" w:color="000000"/>
              <w:right w:val="single" w:sz="8" w:space="0" w:color="000000"/>
            </w:tcBorders>
            <w:noWrap/>
            <w:vAlign w:val="center"/>
          </w:tcPr>
          <w:p w14:paraId="561A816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9242.83</w:t>
            </w:r>
          </w:p>
        </w:tc>
        <w:tc>
          <w:tcPr>
            <w:tcW w:w="1530" w:type="dxa"/>
            <w:tcBorders>
              <w:top w:val="nil"/>
              <w:left w:val="nil"/>
              <w:bottom w:val="single" w:sz="8" w:space="0" w:color="000000"/>
              <w:right w:val="single" w:sz="8" w:space="0" w:color="000000"/>
            </w:tcBorders>
            <w:noWrap/>
            <w:vAlign w:val="center"/>
          </w:tcPr>
          <w:p w14:paraId="51E2A35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11790.29</w:t>
            </w:r>
          </w:p>
        </w:tc>
        <w:tc>
          <w:tcPr>
            <w:tcW w:w="1590" w:type="dxa"/>
            <w:tcBorders>
              <w:top w:val="nil"/>
              <w:left w:val="nil"/>
              <w:bottom w:val="single" w:sz="8" w:space="0" w:color="000000"/>
              <w:right w:val="single" w:sz="8" w:space="0" w:color="000000"/>
            </w:tcBorders>
            <w:noWrap/>
            <w:vAlign w:val="center"/>
          </w:tcPr>
          <w:p w14:paraId="7EA1C59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2547.46</w:t>
            </w:r>
          </w:p>
        </w:tc>
        <w:tc>
          <w:tcPr>
            <w:tcW w:w="1560" w:type="dxa"/>
            <w:tcBorders>
              <w:top w:val="nil"/>
              <w:left w:val="nil"/>
              <w:bottom w:val="single" w:sz="8" w:space="0" w:color="000000"/>
              <w:right w:val="single" w:sz="8" w:space="0" w:color="000000"/>
            </w:tcBorders>
            <w:noWrap/>
            <w:vAlign w:val="center"/>
          </w:tcPr>
          <w:p w14:paraId="1F25B1B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27.56%</w:t>
            </w:r>
          </w:p>
        </w:tc>
      </w:tr>
      <w:tr w:rsidR="00000000" w14:paraId="524A50AB"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3CD31EB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222</w:t>
            </w:r>
            <w:r>
              <w:rPr>
                <w:rFonts w:ascii="宋体" w:eastAsia="宋体" w:hAnsi="宋体" w:cs="宋体" w:hint="eastAsia"/>
                <w:color w:val="000000"/>
                <w:kern w:val="0"/>
                <w:sz w:val="22"/>
                <w:szCs w:val="22"/>
                <w:lang w:bidi="ar"/>
              </w:rPr>
              <w:t>粮油物资储备支出</w:t>
            </w:r>
          </w:p>
        </w:tc>
        <w:tc>
          <w:tcPr>
            <w:tcW w:w="1905" w:type="dxa"/>
            <w:tcBorders>
              <w:top w:val="nil"/>
              <w:left w:val="nil"/>
              <w:bottom w:val="single" w:sz="8" w:space="0" w:color="000000"/>
              <w:right w:val="single" w:sz="8" w:space="0" w:color="000000"/>
            </w:tcBorders>
            <w:noWrap/>
            <w:vAlign w:val="center"/>
          </w:tcPr>
          <w:p w14:paraId="0A4D165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1439.28</w:t>
            </w:r>
          </w:p>
        </w:tc>
        <w:tc>
          <w:tcPr>
            <w:tcW w:w="1530" w:type="dxa"/>
            <w:tcBorders>
              <w:top w:val="nil"/>
              <w:left w:val="nil"/>
              <w:bottom w:val="single" w:sz="8" w:space="0" w:color="000000"/>
              <w:right w:val="single" w:sz="8" w:space="0" w:color="000000"/>
            </w:tcBorders>
            <w:noWrap/>
            <w:vAlign w:val="center"/>
          </w:tcPr>
          <w:p w14:paraId="4A5EB74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3521.18</w:t>
            </w:r>
          </w:p>
        </w:tc>
        <w:tc>
          <w:tcPr>
            <w:tcW w:w="1590" w:type="dxa"/>
            <w:tcBorders>
              <w:top w:val="nil"/>
              <w:left w:val="nil"/>
              <w:bottom w:val="single" w:sz="8" w:space="0" w:color="000000"/>
              <w:right w:val="single" w:sz="8" w:space="0" w:color="000000"/>
            </w:tcBorders>
            <w:noWrap/>
            <w:vAlign w:val="center"/>
          </w:tcPr>
          <w:p w14:paraId="2EA94CE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2081.9</w:t>
            </w:r>
          </w:p>
        </w:tc>
        <w:tc>
          <w:tcPr>
            <w:tcW w:w="1560" w:type="dxa"/>
            <w:tcBorders>
              <w:top w:val="nil"/>
              <w:left w:val="nil"/>
              <w:bottom w:val="single" w:sz="8" w:space="0" w:color="000000"/>
              <w:right w:val="single" w:sz="8" w:space="0" w:color="000000"/>
            </w:tcBorders>
            <w:noWrap/>
            <w:vAlign w:val="center"/>
          </w:tcPr>
          <w:p w14:paraId="2FF7D8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144.65</w:t>
            </w:r>
            <w:r>
              <w:rPr>
                <w:rFonts w:ascii="宋体" w:eastAsia="宋体" w:hAnsi="宋体" w:cs="宋体" w:hint="eastAsia"/>
                <w:color w:val="000000"/>
                <w:kern w:val="0"/>
                <w:sz w:val="22"/>
                <w:szCs w:val="22"/>
                <w:lang w:bidi="ar"/>
              </w:rPr>
              <w:t>%</w:t>
            </w:r>
          </w:p>
        </w:tc>
      </w:tr>
      <w:tr w:rsidR="00000000" w14:paraId="1F5169B0"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0805960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223</w:t>
            </w:r>
            <w:r>
              <w:rPr>
                <w:rFonts w:ascii="宋体" w:eastAsia="宋体" w:hAnsi="宋体" w:cs="宋体" w:hint="eastAsia"/>
                <w:color w:val="000000"/>
                <w:kern w:val="0"/>
                <w:sz w:val="22"/>
                <w:szCs w:val="22"/>
                <w:lang w:bidi="ar"/>
              </w:rPr>
              <w:t>国有资本经营预算支出</w:t>
            </w:r>
          </w:p>
        </w:tc>
        <w:tc>
          <w:tcPr>
            <w:tcW w:w="1905" w:type="dxa"/>
            <w:tcBorders>
              <w:top w:val="nil"/>
              <w:left w:val="nil"/>
              <w:bottom w:val="single" w:sz="8" w:space="0" w:color="000000"/>
              <w:right w:val="single" w:sz="8" w:space="0" w:color="000000"/>
            </w:tcBorders>
            <w:noWrap/>
            <w:vAlign w:val="center"/>
          </w:tcPr>
          <w:p w14:paraId="59593F3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14701.81</w:t>
            </w:r>
          </w:p>
        </w:tc>
        <w:tc>
          <w:tcPr>
            <w:tcW w:w="1530" w:type="dxa"/>
            <w:tcBorders>
              <w:top w:val="nil"/>
              <w:left w:val="nil"/>
              <w:bottom w:val="single" w:sz="8" w:space="0" w:color="000000"/>
              <w:right w:val="single" w:sz="8" w:space="0" w:color="000000"/>
            </w:tcBorders>
            <w:noWrap/>
            <w:vAlign w:val="center"/>
          </w:tcPr>
          <w:p w14:paraId="4FDB156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14499.57</w:t>
            </w:r>
          </w:p>
        </w:tc>
        <w:tc>
          <w:tcPr>
            <w:tcW w:w="1590" w:type="dxa"/>
            <w:tcBorders>
              <w:top w:val="nil"/>
              <w:left w:val="nil"/>
              <w:bottom w:val="single" w:sz="8" w:space="0" w:color="000000"/>
              <w:right w:val="single" w:sz="8" w:space="0" w:color="000000"/>
            </w:tcBorders>
            <w:noWrap/>
            <w:vAlign w:val="center"/>
          </w:tcPr>
          <w:p w14:paraId="22D18E0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-202.24</w:t>
            </w:r>
          </w:p>
        </w:tc>
        <w:tc>
          <w:tcPr>
            <w:tcW w:w="1560" w:type="dxa"/>
            <w:tcBorders>
              <w:top w:val="nil"/>
              <w:left w:val="nil"/>
              <w:bottom w:val="single" w:sz="8" w:space="0" w:color="000000"/>
              <w:right w:val="single" w:sz="8" w:space="0" w:color="000000"/>
            </w:tcBorders>
            <w:noWrap/>
            <w:vAlign w:val="center"/>
          </w:tcPr>
          <w:p w14:paraId="5C435C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-1.38%</w:t>
            </w:r>
          </w:p>
        </w:tc>
      </w:tr>
      <w:tr w:rsidR="00000000" w14:paraId="114A09FD"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11503A2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224</w:t>
            </w:r>
            <w:r>
              <w:rPr>
                <w:rFonts w:ascii="宋体" w:eastAsia="宋体" w:hAnsi="宋体" w:cs="宋体" w:hint="eastAsia"/>
                <w:color w:val="000000"/>
                <w:kern w:val="0"/>
                <w:sz w:val="22"/>
                <w:szCs w:val="22"/>
                <w:lang w:bidi="ar"/>
              </w:rPr>
              <w:t>灾害防治及应急管理支出</w:t>
            </w:r>
          </w:p>
        </w:tc>
        <w:tc>
          <w:tcPr>
            <w:tcW w:w="1905" w:type="dxa"/>
            <w:tcBorders>
              <w:top w:val="nil"/>
              <w:left w:val="nil"/>
              <w:bottom w:val="single" w:sz="8" w:space="0" w:color="000000"/>
              <w:right w:val="single" w:sz="8" w:space="0" w:color="000000"/>
            </w:tcBorders>
            <w:noWrap/>
            <w:vAlign w:val="center"/>
          </w:tcPr>
          <w:p w14:paraId="4DD3293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871.87</w:t>
            </w:r>
          </w:p>
        </w:tc>
        <w:tc>
          <w:tcPr>
            <w:tcW w:w="1530" w:type="dxa"/>
            <w:tcBorders>
              <w:top w:val="nil"/>
              <w:left w:val="nil"/>
              <w:bottom w:val="single" w:sz="8" w:space="0" w:color="000000"/>
              <w:right w:val="single" w:sz="8" w:space="0" w:color="000000"/>
            </w:tcBorders>
            <w:noWrap/>
            <w:vAlign w:val="center"/>
          </w:tcPr>
          <w:p w14:paraId="38E09D9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1223.64</w:t>
            </w:r>
          </w:p>
        </w:tc>
        <w:tc>
          <w:tcPr>
            <w:tcW w:w="1590" w:type="dxa"/>
            <w:tcBorders>
              <w:top w:val="nil"/>
              <w:left w:val="nil"/>
              <w:bottom w:val="single" w:sz="8" w:space="0" w:color="000000"/>
              <w:right w:val="single" w:sz="8" w:space="0" w:color="000000"/>
            </w:tcBorders>
            <w:noWrap/>
            <w:vAlign w:val="center"/>
          </w:tcPr>
          <w:p w14:paraId="1C0A5A5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351.77</w:t>
            </w:r>
          </w:p>
        </w:tc>
        <w:tc>
          <w:tcPr>
            <w:tcW w:w="1560" w:type="dxa"/>
            <w:tcBorders>
              <w:top w:val="nil"/>
              <w:left w:val="nil"/>
              <w:bottom w:val="single" w:sz="8" w:space="0" w:color="000000"/>
              <w:right w:val="single" w:sz="8" w:space="0" w:color="000000"/>
            </w:tcBorders>
            <w:noWrap/>
            <w:vAlign w:val="center"/>
          </w:tcPr>
          <w:p w14:paraId="54385CB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40.35%</w:t>
            </w:r>
          </w:p>
        </w:tc>
      </w:tr>
      <w:tr w:rsidR="00000000" w14:paraId="1AE51AC1" w14:textId="77777777">
        <w:trPr>
          <w:trHeight w:val="660"/>
        </w:trPr>
        <w:tc>
          <w:tcPr>
            <w:tcW w:w="3362" w:type="dxa"/>
            <w:tcBorders>
              <w:top w:val="nil"/>
              <w:left w:val="single" w:sz="8" w:space="0" w:color="000000"/>
              <w:bottom w:val="single" w:sz="8" w:space="0" w:color="000000"/>
              <w:right w:val="single" w:sz="8" w:space="0" w:color="000000"/>
            </w:tcBorders>
            <w:noWrap/>
            <w:vAlign w:val="center"/>
          </w:tcPr>
          <w:p w14:paraId="606DEE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229</w:t>
            </w:r>
            <w:r>
              <w:rPr>
                <w:rFonts w:ascii="宋体" w:eastAsia="宋体" w:hAnsi="宋体" w:cs="宋体" w:hint="eastAsia"/>
                <w:color w:val="000000"/>
                <w:kern w:val="0"/>
                <w:sz w:val="22"/>
                <w:szCs w:val="22"/>
                <w:lang w:bidi="ar"/>
              </w:rPr>
              <w:t>其他支出</w:t>
            </w:r>
          </w:p>
        </w:tc>
        <w:tc>
          <w:tcPr>
            <w:tcW w:w="1905" w:type="dxa"/>
            <w:tcBorders>
              <w:top w:val="nil"/>
              <w:left w:val="nil"/>
              <w:bottom w:val="single" w:sz="8" w:space="0" w:color="000000"/>
              <w:right w:val="single" w:sz="8" w:space="0" w:color="000000"/>
            </w:tcBorders>
            <w:noWrap/>
            <w:vAlign w:val="center"/>
          </w:tcPr>
          <w:p w14:paraId="74560D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11438.82</w:t>
            </w:r>
          </w:p>
        </w:tc>
        <w:tc>
          <w:tcPr>
            <w:tcW w:w="1530" w:type="dxa"/>
            <w:tcBorders>
              <w:top w:val="nil"/>
              <w:left w:val="nil"/>
              <w:bottom w:val="single" w:sz="8" w:space="0" w:color="000000"/>
              <w:right w:val="single" w:sz="8" w:space="0" w:color="000000"/>
            </w:tcBorders>
            <w:noWrap/>
            <w:vAlign w:val="center"/>
          </w:tcPr>
          <w:p w14:paraId="244A547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21930.4</w:t>
            </w:r>
          </w:p>
        </w:tc>
        <w:tc>
          <w:tcPr>
            <w:tcW w:w="1590" w:type="dxa"/>
            <w:tcBorders>
              <w:top w:val="nil"/>
              <w:left w:val="nil"/>
              <w:bottom w:val="single" w:sz="8" w:space="0" w:color="000000"/>
              <w:right w:val="single" w:sz="8" w:space="0" w:color="000000"/>
            </w:tcBorders>
            <w:noWrap/>
            <w:vAlign w:val="center"/>
          </w:tcPr>
          <w:p w14:paraId="52962F8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10491.58</w:t>
            </w:r>
          </w:p>
        </w:tc>
        <w:tc>
          <w:tcPr>
            <w:tcW w:w="1560" w:type="dxa"/>
            <w:tcBorders>
              <w:top w:val="nil"/>
              <w:left w:val="nil"/>
              <w:bottom w:val="single" w:sz="8" w:space="0" w:color="000000"/>
              <w:right w:val="single" w:sz="8" w:space="0" w:color="000000"/>
            </w:tcBorders>
            <w:noWrap/>
            <w:vAlign w:val="center"/>
          </w:tcPr>
          <w:p w14:paraId="66A9CB3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91.72%</w:t>
            </w:r>
          </w:p>
        </w:tc>
      </w:tr>
    </w:tbl>
    <w:p w14:paraId="62400C91" w14:textId="77777777" w:rsidR="00000000" w:rsidRDefault="00763D17">
      <w:pPr>
        <w:pStyle w:val="2"/>
        <w:ind w:firstLine="552"/>
      </w:pPr>
    </w:p>
    <w:p w14:paraId="4E2F0831"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3.</w:t>
      </w:r>
      <w:r>
        <w:rPr>
          <w:rFonts w:ascii="楷体_GB2312" w:eastAsia="楷体_GB2312" w:hAnsi="楷体_GB2312" w:cs="楷体_GB2312" w:hint="eastAsia"/>
          <w:b/>
          <w:bCs/>
          <w:sz w:val="32"/>
          <w:szCs w:val="32"/>
        </w:rPr>
        <w:t>按照支出性质分析</w:t>
      </w:r>
    </w:p>
    <w:p w14:paraId="7D5A20C1"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本年年初预算数</w:t>
      </w:r>
      <w:r>
        <w:rPr>
          <w:rFonts w:ascii="仿宋_GB2312" w:eastAsia="仿宋_GB2312" w:hint="eastAsia"/>
          <w:sz w:val="32"/>
          <w:szCs w:val="32"/>
        </w:rPr>
        <w:t>316966.83</w:t>
      </w:r>
      <w:r>
        <w:rPr>
          <w:rFonts w:ascii="仿宋_GB2312" w:eastAsia="仿宋_GB2312" w:hint="eastAsia"/>
          <w:sz w:val="32"/>
          <w:szCs w:val="32"/>
        </w:rPr>
        <w:t>万元，其中：基本支出</w:t>
      </w:r>
      <w:r>
        <w:rPr>
          <w:rFonts w:ascii="仿宋_GB2312" w:eastAsia="仿宋_GB2312" w:hint="eastAsia"/>
          <w:sz w:val="32"/>
          <w:szCs w:val="32"/>
        </w:rPr>
        <w:t>109771.92</w:t>
      </w:r>
      <w:r>
        <w:rPr>
          <w:rFonts w:ascii="仿宋_GB2312" w:eastAsia="仿宋_GB2312" w:hint="eastAsia"/>
          <w:sz w:val="32"/>
          <w:szCs w:val="32"/>
        </w:rPr>
        <w:t>万元（其中人员经费</w:t>
      </w:r>
      <w:r>
        <w:rPr>
          <w:rFonts w:ascii="仿宋_GB2312" w:eastAsia="仿宋_GB2312" w:hint="eastAsia"/>
          <w:sz w:val="32"/>
          <w:szCs w:val="32"/>
        </w:rPr>
        <w:t>85504.09</w:t>
      </w:r>
      <w:r>
        <w:rPr>
          <w:rFonts w:ascii="仿宋_GB2312" w:eastAsia="仿宋_GB2312" w:hint="eastAsia"/>
          <w:sz w:val="32"/>
          <w:szCs w:val="32"/>
        </w:rPr>
        <w:t>万元，公用经费</w:t>
      </w:r>
      <w:r>
        <w:rPr>
          <w:rFonts w:ascii="仿宋_GB2312" w:eastAsia="仿宋_GB2312" w:hint="eastAsia"/>
          <w:sz w:val="32"/>
          <w:szCs w:val="32"/>
        </w:rPr>
        <w:t>24267.84</w:t>
      </w:r>
      <w:r>
        <w:rPr>
          <w:rFonts w:ascii="仿宋_GB2312" w:eastAsia="仿宋_GB2312" w:hint="eastAsia"/>
          <w:sz w:val="32"/>
          <w:szCs w:val="32"/>
        </w:rPr>
        <w:t>万元），项目支出</w:t>
      </w:r>
      <w:r>
        <w:rPr>
          <w:rFonts w:ascii="仿宋_GB2312" w:eastAsia="仿宋_GB2312" w:hint="eastAsia"/>
          <w:sz w:val="32"/>
          <w:szCs w:val="32"/>
        </w:rPr>
        <w:lastRenderedPageBreak/>
        <w:t>202671.17</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经营支出</w:t>
      </w:r>
      <w:r>
        <w:rPr>
          <w:rFonts w:ascii="仿宋_GB2312" w:eastAsia="仿宋_GB2312" w:hint="eastAsia"/>
          <w:sz w:val="32"/>
          <w:szCs w:val="32"/>
        </w:rPr>
        <w:t>4523.74</w:t>
      </w:r>
      <w:r>
        <w:rPr>
          <w:rFonts w:ascii="仿宋_GB2312" w:eastAsia="仿宋_GB2312" w:hint="eastAsia"/>
          <w:sz w:val="32"/>
          <w:szCs w:val="32"/>
        </w:rPr>
        <w:t>万元</w:t>
      </w:r>
      <w:r>
        <w:rPr>
          <w:rFonts w:ascii="仿宋_GB2312" w:eastAsia="仿宋_GB2312" w:hint="eastAsia"/>
          <w:sz w:val="32"/>
          <w:szCs w:val="32"/>
        </w:rPr>
        <w:t>。</w:t>
      </w:r>
    </w:p>
    <w:p w14:paraId="05A78DF8" w14:textId="2F189E79" w:rsidR="00000000" w:rsidRDefault="00B852E1">
      <w:pPr>
        <w:snapToGrid w:val="0"/>
      </w:pPr>
      <w:r>
        <w:rPr>
          <w:noProof/>
        </w:rPr>
        <w:drawing>
          <wp:inline distT="0" distB="0" distL="0" distR="0" wp14:anchorId="4A506BDD" wp14:editId="675B27F4">
            <wp:extent cx="5998845" cy="3605530"/>
            <wp:effectExtent l="38100" t="0" r="0" b="0"/>
            <wp:docPr id="12"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FE0E55" w14:textId="77777777" w:rsidR="00000000" w:rsidRDefault="00763D17">
      <w:pPr>
        <w:snapToGrid w:val="0"/>
      </w:pPr>
    </w:p>
    <w:p w14:paraId="38787EF0" w14:textId="77777777" w:rsidR="00000000" w:rsidRDefault="00763D17">
      <w:pPr>
        <w:snapToGrid w:val="0"/>
        <w:ind w:firstLineChars="200" w:firstLine="640"/>
        <w:rPr>
          <w:rFonts w:ascii="仿宋_GB2312" w:eastAsia="仿宋_GB2312" w:hint="eastAsia"/>
          <w:sz w:val="32"/>
          <w:szCs w:val="32"/>
        </w:rPr>
      </w:pPr>
      <w:r>
        <w:rPr>
          <w:rFonts w:ascii="仿宋_GB2312" w:eastAsia="仿宋_GB2312" w:hint="eastAsia"/>
          <w:sz w:val="32"/>
          <w:szCs w:val="32"/>
        </w:rPr>
        <w:t>本</w:t>
      </w:r>
      <w:r>
        <w:rPr>
          <w:rFonts w:ascii="仿宋_GB2312" w:eastAsia="仿宋_GB2312" w:hint="eastAsia"/>
          <w:sz w:val="32"/>
          <w:szCs w:val="32"/>
        </w:rPr>
        <w:t>年支出决算数</w:t>
      </w:r>
      <w:r>
        <w:rPr>
          <w:rFonts w:ascii="仿宋_GB2312" w:eastAsia="仿宋_GB2312" w:hint="eastAsia"/>
          <w:sz w:val="32"/>
          <w:szCs w:val="32"/>
        </w:rPr>
        <w:t>456772.12</w:t>
      </w:r>
      <w:r>
        <w:rPr>
          <w:rFonts w:ascii="仿宋_GB2312" w:eastAsia="仿宋_GB2312" w:hint="eastAsia"/>
          <w:sz w:val="32"/>
          <w:szCs w:val="32"/>
        </w:rPr>
        <w:t>万元，其中：基本支出</w:t>
      </w:r>
      <w:r>
        <w:rPr>
          <w:rFonts w:ascii="仿宋_GB2312" w:eastAsia="仿宋_GB2312" w:hint="eastAsia"/>
          <w:sz w:val="32"/>
          <w:szCs w:val="32"/>
        </w:rPr>
        <w:t>111844.63</w:t>
      </w:r>
      <w:r>
        <w:rPr>
          <w:rFonts w:ascii="仿宋_GB2312" w:eastAsia="仿宋_GB2312" w:hint="eastAsia"/>
          <w:sz w:val="32"/>
          <w:szCs w:val="32"/>
        </w:rPr>
        <w:t>万元（其中人员经费</w:t>
      </w:r>
      <w:r>
        <w:rPr>
          <w:rFonts w:ascii="仿宋_GB2312" w:eastAsia="仿宋_GB2312" w:hint="eastAsia"/>
          <w:sz w:val="32"/>
          <w:szCs w:val="32"/>
        </w:rPr>
        <w:t>91060.67</w:t>
      </w:r>
      <w:r>
        <w:rPr>
          <w:rFonts w:ascii="仿宋_GB2312" w:eastAsia="仿宋_GB2312" w:hint="eastAsia"/>
          <w:sz w:val="32"/>
          <w:szCs w:val="32"/>
        </w:rPr>
        <w:t>万元，公用经费</w:t>
      </w:r>
      <w:r>
        <w:rPr>
          <w:rFonts w:ascii="仿宋_GB2312" w:eastAsia="仿宋_GB2312" w:hint="eastAsia"/>
          <w:sz w:val="32"/>
          <w:szCs w:val="32"/>
        </w:rPr>
        <w:t>20783.96</w:t>
      </w:r>
      <w:r>
        <w:rPr>
          <w:rFonts w:ascii="仿宋_GB2312" w:eastAsia="仿宋_GB2312" w:hint="eastAsia"/>
          <w:sz w:val="32"/>
          <w:szCs w:val="32"/>
        </w:rPr>
        <w:t>万元），项目支出</w:t>
      </w:r>
      <w:r>
        <w:rPr>
          <w:rFonts w:ascii="仿宋_GB2312" w:eastAsia="仿宋_GB2312" w:hint="eastAsia"/>
          <w:sz w:val="32"/>
          <w:szCs w:val="32"/>
        </w:rPr>
        <w:t>340403.74</w:t>
      </w:r>
      <w:r>
        <w:rPr>
          <w:rFonts w:ascii="仿宋_GB2312" w:eastAsia="仿宋_GB2312" w:hint="eastAsia"/>
          <w:sz w:val="32"/>
          <w:szCs w:val="32"/>
        </w:rPr>
        <w:t>万元</w:t>
      </w:r>
      <w:r>
        <w:rPr>
          <w:rFonts w:ascii="仿宋_GB2312" w:eastAsia="仿宋_GB2312" w:hint="eastAsia"/>
          <w:sz w:val="32"/>
          <w:szCs w:val="32"/>
        </w:rPr>
        <w:t>，</w:t>
      </w:r>
      <w:r>
        <w:rPr>
          <w:rFonts w:ascii="仿宋_GB2312" w:eastAsia="仿宋_GB2312" w:hint="eastAsia"/>
          <w:sz w:val="32"/>
          <w:szCs w:val="32"/>
        </w:rPr>
        <w:t>经营支出</w:t>
      </w:r>
      <w:r>
        <w:rPr>
          <w:rFonts w:ascii="仿宋_GB2312" w:eastAsia="仿宋_GB2312" w:hint="eastAsia"/>
          <w:sz w:val="32"/>
          <w:szCs w:val="32"/>
        </w:rPr>
        <w:t>4523.74</w:t>
      </w:r>
      <w:r>
        <w:rPr>
          <w:rFonts w:ascii="仿宋_GB2312" w:eastAsia="仿宋_GB2312" w:hint="eastAsia"/>
          <w:sz w:val="32"/>
          <w:szCs w:val="32"/>
        </w:rPr>
        <w:t>万元</w:t>
      </w:r>
      <w:r>
        <w:rPr>
          <w:rFonts w:ascii="仿宋_GB2312" w:eastAsia="仿宋_GB2312" w:hint="eastAsia"/>
          <w:sz w:val="32"/>
          <w:szCs w:val="32"/>
        </w:rPr>
        <w:t>。</w:t>
      </w:r>
    </w:p>
    <w:p w14:paraId="01AA8F8A" w14:textId="54EAA04E" w:rsidR="00000000" w:rsidRDefault="00763D17">
      <w:pPr>
        <w:snapToGrid w:val="0"/>
        <w:rPr>
          <w:rFonts w:ascii="仿宋_GB2312" w:eastAsia="仿宋_GB2312" w:hint="eastAsia"/>
          <w:sz w:val="32"/>
          <w:szCs w:val="32"/>
        </w:rPr>
      </w:pPr>
      <w:r>
        <w:rPr>
          <w:rFonts w:hint="eastAsia"/>
        </w:rPr>
        <w:t xml:space="preserve"> </w:t>
      </w:r>
      <w:r w:rsidR="00B852E1">
        <w:rPr>
          <w:noProof/>
        </w:rPr>
        <w:drawing>
          <wp:inline distT="0" distB="0" distL="0" distR="0" wp14:anchorId="0A46CDFD" wp14:editId="55FFE46A">
            <wp:extent cx="5956300" cy="3710940"/>
            <wp:effectExtent l="38100" t="0" r="0" b="0"/>
            <wp:docPr id="13"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514627" w14:textId="77777777" w:rsidR="00000000" w:rsidRDefault="00763D17">
      <w:pPr>
        <w:spacing w:line="640" w:lineRule="exact"/>
        <w:ind w:firstLineChars="200" w:firstLine="640"/>
        <w:rPr>
          <w:rFonts w:eastAsia="仿宋_GB2312"/>
          <w:bCs/>
          <w:sz w:val="32"/>
          <w:szCs w:val="32"/>
        </w:rPr>
      </w:pPr>
      <w:r>
        <w:rPr>
          <w:rFonts w:eastAsia="仿宋_GB2312"/>
          <w:bCs/>
          <w:sz w:val="32"/>
          <w:szCs w:val="32"/>
        </w:rPr>
        <w:t>为保障和改善民生，守住保基本、保运转的底线，提供坚强的财力支撑，有力支持了兵团经济社会发展。</w:t>
      </w:r>
      <w:r>
        <w:rPr>
          <w:rFonts w:eastAsia="仿宋_GB2312" w:hint="eastAsia"/>
          <w:bCs/>
          <w:sz w:val="32"/>
          <w:szCs w:val="32"/>
        </w:rPr>
        <w:t>九师</w:t>
      </w:r>
      <w:r>
        <w:rPr>
          <w:rFonts w:eastAsia="仿宋_GB2312"/>
          <w:bCs/>
          <w:sz w:val="32"/>
          <w:szCs w:val="32"/>
        </w:rPr>
        <w:t>基本支出预决算差异率相对项目支出较低，在编制部门预算时，重点对人员经费及公用经费等基本支出进行了编制，差异主要是追加南疆工作补贴、绩效工资、精神文明奖、综合治理奖等人员支出造成的。</w:t>
      </w:r>
    </w:p>
    <w:p w14:paraId="53FCEF4E" w14:textId="77777777" w:rsidR="00000000" w:rsidRDefault="00763D17">
      <w:pPr>
        <w:pStyle w:val="a4"/>
        <w:ind w:firstLineChars="200" w:firstLine="640"/>
        <w:rPr>
          <w:rFonts w:hint="eastAsia"/>
        </w:rPr>
      </w:pPr>
      <w:r>
        <w:rPr>
          <w:rFonts w:ascii="Times New Roman" w:eastAsia="仿宋_GB2312" w:hAnsi="Times New Roman" w:cs="Times New Roman"/>
          <w:bCs/>
          <w:sz w:val="32"/>
          <w:szCs w:val="32"/>
        </w:rPr>
        <w:t>项目支出预决算差异率主要原</w:t>
      </w:r>
      <w:r>
        <w:rPr>
          <w:rFonts w:ascii="Times New Roman" w:eastAsia="仿宋_GB2312" w:hAnsi="Times New Roman" w:cs="Times New Roman"/>
          <w:bCs/>
          <w:sz w:val="32"/>
          <w:szCs w:val="32"/>
        </w:rPr>
        <w:t>因：一是部门预算编制不够完整，如在编制预算时，无法准确预知非财政拨款项目，故没有全部编入部门预算；二是中央加大了对兵团扶贫、建设、农业交通、畜牧、卫生、教育、安保等方面的资金投资力度，这些资金往往是在年度执行中间由上级财政部门专项拨付，导致项目支出预决算差异；三是</w:t>
      </w:r>
      <w:r>
        <w:rPr>
          <w:rFonts w:ascii="Times New Roman" w:eastAsia="仿宋_GB2312" w:hAnsi="Times New Roman" w:cs="Times New Roman" w:hint="eastAsia"/>
          <w:bCs/>
          <w:sz w:val="32"/>
          <w:szCs w:val="32"/>
        </w:rPr>
        <w:t>减少公共安全和疫情防控等项目支出，</w:t>
      </w:r>
      <w:r>
        <w:rPr>
          <w:rFonts w:ascii="Times New Roman" w:eastAsia="仿宋_GB2312" w:hAnsi="Times New Roman" w:cs="Times New Roman"/>
          <w:bCs/>
          <w:sz w:val="32"/>
          <w:szCs w:val="32"/>
        </w:rPr>
        <w:t>故项目支出的预决算差异较大。</w:t>
      </w:r>
    </w:p>
    <w:p w14:paraId="29756975"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lastRenderedPageBreak/>
        <w:t>（三）</w:t>
      </w:r>
      <w:r>
        <w:rPr>
          <w:rFonts w:ascii="楷体_GB2312" w:eastAsia="楷体_GB2312" w:hAnsi="仿宋" w:hint="eastAsia"/>
          <w:b/>
          <w:sz w:val="32"/>
          <w:szCs w:val="32"/>
        </w:rPr>
        <w:t>部门决算收入、支出和结余结转的特点和问题。</w:t>
      </w:r>
    </w:p>
    <w:p w14:paraId="185B67CD"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从部门决算收入结构来看，各部门的收入主要来源是财政拨款。因师人口少、经济不发达、企业少，导致地方财政收入少。为保障师团场各部门正常运转</w:t>
      </w:r>
      <w:r>
        <w:rPr>
          <w:rFonts w:ascii="仿宋_GB2312" w:eastAsia="仿宋_GB2312" w:hint="eastAsia"/>
          <w:sz w:val="32"/>
          <w:szCs w:val="32"/>
        </w:rPr>
        <w:t>，部门收入基本来源于财政拨款。</w:t>
      </w:r>
    </w:p>
    <w:p w14:paraId="05A9E317"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本年部门结转资金</w:t>
      </w:r>
      <w:r>
        <w:rPr>
          <w:rFonts w:ascii="仿宋_GB2312" w:eastAsia="仿宋_GB2312" w:hint="eastAsia"/>
          <w:sz w:val="32"/>
          <w:szCs w:val="32"/>
        </w:rPr>
        <w:t>1,621.75</w:t>
      </w:r>
      <w:r>
        <w:rPr>
          <w:rFonts w:ascii="仿宋_GB2312" w:eastAsia="仿宋_GB2312" w:hint="eastAsia"/>
          <w:sz w:val="32"/>
          <w:szCs w:val="32"/>
        </w:rPr>
        <w:t>万元，比上年</w:t>
      </w:r>
      <w:r>
        <w:rPr>
          <w:rFonts w:ascii="仿宋_GB2312" w:eastAsia="仿宋_GB2312" w:hint="eastAsia"/>
          <w:sz w:val="32"/>
          <w:szCs w:val="32"/>
        </w:rPr>
        <w:t>3,411.21</w:t>
      </w:r>
      <w:r>
        <w:rPr>
          <w:rFonts w:ascii="仿宋_GB2312" w:eastAsia="仿宋_GB2312" w:hint="eastAsia"/>
          <w:sz w:val="32"/>
          <w:szCs w:val="32"/>
        </w:rPr>
        <w:t>万元，</w:t>
      </w:r>
      <w:r>
        <w:rPr>
          <w:rFonts w:ascii="仿宋_GB2312" w:eastAsia="仿宋_GB2312" w:hint="eastAsia"/>
          <w:sz w:val="32"/>
          <w:szCs w:val="32"/>
        </w:rPr>
        <w:t>减少</w:t>
      </w:r>
      <w:r>
        <w:rPr>
          <w:rFonts w:ascii="仿宋_GB2312" w:eastAsia="仿宋_GB2312" w:hint="eastAsia"/>
          <w:sz w:val="32"/>
          <w:szCs w:val="32"/>
        </w:rPr>
        <w:t>1789.46</w:t>
      </w:r>
      <w:r>
        <w:rPr>
          <w:rFonts w:ascii="仿宋_GB2312" w:eastAsia="仿宋_GB2312" w:hint="eastAsia"/>
          <w:sz w:val="32"/>
          <w:szCs w:val="32"/>
        </w:rPr>
        <w:t>万元，</w:t>
      </w:r>
      <w:r>
        <w:rPr>
          <w:rFonts w:ascii="仿宋_GB2312" w:eastAsia="仿宋_GB2312" w:hint="eastAsia"/>
          <w:sz w:val="32"/>
          <w:szCs w:val="32"/>
        </w:rPr>
        <w:t>下降</w:t>
      </w:r>
      <w:r>
        <w:rPr>
          <w:rFonts w:ascii="仿宋_GB2312" w:eastAsia="仿宋_GB2312" w:hint="eastAsia"/>
          <w:sz w:val="32"/>
          <w:szCs w:val="32"/>
        </w:rPr>
        <w:t>52.46</w:t>
      </w:r>
      <w:r>
        <w:rPr>
          <w:rFonts w:ascii="仿宋_GB2312" w:eastAsia="仿宋_GB2312" w:hint="eastAsia"/>
          <w:sz w:val="32"/>
          <w:szCs w:val="32"/>
        </w:rPr>
        <w:t>%</w:t>
      </w:r>
      <w:r>
        <w:rPr>
          <w:rFonts w:ascii="仿宋_GB2312" w:eastAsia="仿宋_GB2312" w:hint="eastAsia"/>
          <w:sz w:val="32"/>
          <w:szCs w:val="32"/>
        </w:rPr>
        <w:t>。</w:t>
      </w:r>
    </w:p>
    <w:p w14:paraId="6179A4FF" w14:textId="77777777" w:rsidR="00000000" w:rsidRDefault="00763D17">
      <w:pPr>
        <w:snapToGrid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本年结转</w:t>
      </w:r>
      <w:r>
        <w:rPr>
          <w:rFonts w:ascii="仿宋_GB2312" w:eastAsia="仿宋_GB2312" w:hint="eastAsia"/>
          <w:sz w:val="32"/>
          <w:szCs w:val="32"/>
        </w:rPr>
        <w:t>3810.7</w:t>
      </w:r>
      <w:r>
        <w:rPr>
          <w:rFonts w:ascii="仿宋_GB2312" w:eastAsia="仿宋_GB2312" w:hint="eastAsia"/>
          <w:sz w:val="32"/>
          <w:szCs w:val="32"/>
        </w:rPr>
        <w:t>万元其中：基本支出结转</w:t>
      </w:r>
      <w:r>
        <w:rPr>
          <w:rFonts w:ascii="仿宋_GB2312" w:eastAsia="仿宋_GB2312" w:hint="eastAsia"/>
          <w:sz w:val="32"/>
          <w:szCs w:val="32"/>
        </w:rPr>
        <w:t>3695.2</w:t>
      </w:r>
      <w:r>
        <w:rPr>
          <w:rFonts w:ascii="仿宋_GB2312" w:eastAsia="仿宋_GB2312" w:hint="eastAsia"/>
          <w:sz w:val="32"/>
          <w:szCs w:val="32"/>
        </w:rPr>
        <w:t>万元，较上年</w:t>
      </w:r>
      <w:r>
        <w:rPr>
          <w:rFonts w:ascii="仿宋_GB2312" w:eastAsia="仿宋_GB2312" w:hint="eastAsia"/>
          <w:sz w:val="32"/>
          <w:szCs w:val="32"/>
        </w:rPr>
        <w:t>1525.32</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2169.88</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142</w:t>
      </w:r>
      <w:r>
        <w:rPr>
          <w:rFonts w:ascii="仿宋_GB2312" w:eastAsia="仿宋_GB2312" w:hint="eastAsia"/>
          <w:sz w:val="32"/>
          <w:szCs w:val="32"/>
        </w:rPr>
        <w:t>%</w:t>
      </w:r>
      <w:r>
        <w:rPr>
          <w:rFonts w:ascii="仿宋_GB2312" w:eastAsia="仿宋_GB2312" w:hint="eastAsia"/>
          <w:sz w:val="32"/>
          <w:szCs w:val="32"/>
        </w:rPr>
        <w:t>；项目支出结转</w:t>
      </w:r>
      <w:r>
        <w:rPr>
          <w:rFonts w:ascii="仿宋_GB2312" w:eastAsia="仿宋_GB2312" w:hint="eastAsia"/>
          <w:sz w:val="32"/>
          <w:szCs w:val="32"/>
        </w:rPr>
        <w:t>115.5</w:t>
      </w:r>
      <w:r>
        <w:rPr>
          <w:rFonts w:ascii="仿宋_GB2312" w:eastAsia="仿宋_GB2312" w:hint="eastAsia"/>
          <w:sz w:val="32"/>
          <w:szCs w:val="32"/>
        </w:rPr>
        <w:t>万元，较上年</w:t>
      </w:r>
      <w:r>
        <w:rPr>
          <w:rFonts w:ascii="仿宋_GB2312" w:eastAsia="仿宋_GB2312" w:hint="eastAsia"/>
          <w:sz w:val="32"/>
          <w:szCs w:val="32"/>
        </w:rPr>
        <w:t>96.43</w:t>
      </w:r>
      <w:r>
        <w:rPr>
          <w:rFonts w:ascii="仿宋_GB2312" w:eastAsia="仿宋_GB2312" w:hint="eastAsia"/>
          <w:sz w:val="32"/>
          <w:szCs w:val="32"/>
        </w:rPr>
        <w:t>万元，</w:t>
      </w:r>
      <w:r>
        <w:rPr>
          <w:rFonts w:ascii="仿宋_GB2312" w:eastAsia="仿宋_GB2312" w:hint="eastAsia"/>
          <w:sz w:val="32"/>
          <w:szCs w:val="32"/>
        </w:rPr>
        <w:t>增加</w:t>
      </w:r>
      <w:r>
        <w:rPr>
          <w:rFonts w:ascii="仿宋_GB2312" w:eastAsia="仿宋_GB2312" w:hint="eastAsia"/>
          <w:sz w:val="32"/>
          <w:szCs w:val="32"/>
        </w:rPr>
        <w:t>19.07</w:t>
      </w:r>
      <w:r>
        <w:rPr>
          <w:rFonts w:ascii="仿宋_GB2312" w:eastAsia="仿宋_GB2312"/>
          <w:sz w:val="32"/>
          <w:szCs w:val="32"/>
        </w:rPr>
        <w:t xml:space="preserve"> </w:t>
      </w:r>
      <w:r>
        <w:rPr>
          <w:rFonts w:ascii="仿宋_GB2312" w:eastAsia="仿宋_GB2312" w:hint="eastAsia"/>
          <w:sz w:val="32"/>
          <w:szCs w:val="32"/>
        </w:rPr>
        <w:t>万元，</w:t>
      </w:r>
      <w:r>
        <w:rPr>
          <w:rFonts w:ascii="仿宋_GB2312" w:eastAsia="仿宋_GB2312" w:hint="eastAsia"/>
          <w:sz w:val="32"/>
          <w:szCs w:val="32"/>
        </w:rPr>
        <w:t>增长</w:t>
      </w:r>
      <w:r>
        <w:rPr>
          <w:rFonts w:ascii="仿宋_GB2312" w:eastAsia="仿宋_GB2312" w:hint="eastAsia"/>
          <w:sz w:val="32"/>
          <w:szCs w:val="32"/>
        </w:rPr>
        <w:t>20</w:t>
      </w:r>
      <w:r>
        <w:rPr>
          <w:rFonts w:ascii="仿宋_GB2312" w:eastAsia="仿宋_GB2312" w:hint="eastAsia"/>
          <w:sz w:val="32"/>
          <w:szCs w:val="32"/>
        </w:rPr>
        <w:t>%</w:t>
      </w:r>
      <w:r>
        <w:rPr>
          <w:rFonts w:ascii="仿宋_GB2312" w:eastAsia="仿宋_GB2312" w:hint="eastAsia"/>
          <w:sz w:val="32"/>
          <w:szCs w:val="32"/>
        </w:rPr>
        <w:t>。</w:t>
      </w:r>
    </w:p>
    <w:p w14:paraId="12BBBAF5" w14:textId="77777777" w:rsidR="00000000" w:rsidRDefault="00763D17">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项目支出结转增长主要是</w:t>
      </w:r>
      <w:r>
        <w:rPr>
          <w:rFonts w:ascii="仿宋_GB2312" w:eastAsia="仿宋_GB2312" w:hint="eastAsia"/>
          <w:sz w:val="32"/>
          <w:szCs w:val="32"/>
        </w:rPr>
        <w:t>水利局的水费等。</w:t>
      </w:r>
    </w:p>
    <w:p w14:paraId="47000732" w14:textId="77777777" w:rsidR="00000000" w:rsidRDefault="00763D17">
      <w:pPr>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基本支出结转主要是</w:t>
      </w:r>
      <w:r>
        <w:rPr>
          <w:rFonts w:ascii="仿宋_GB2312" w:eastAsia="仿宋_GB2312" w:hint="eastAsia"/>
          <w:sz w:val="32"/>
          <w:szCs w:val="32"/>
        </w:rPr>
        <w:t>医院的医疗收入、学校的课后托管服务费</w:t>
      </w:r>
      <w:r>
        <w:rPr>
          <w:rFonts w:ascii="仿宋_GB2312" w:eastAsia="仿宋_GB2312" w:hint="eastAsia"/>
          <w:sz w:val="32"/>
          <w:szCs w:val="32"/>
        </w:rPr>
        <w:t>，主要用于人员经费支出和公用经费支出。</w:t>
      </w:r>
    </w:p>
    <w:p w14:paraId="6720D9DC" w14:textId="77777777" w:rsidR="00000000" w:rsidRDefault="00763D17">
      <w:pPr>
        <w:pStyle w:val="2"/>
        <w:ind w:leftChars="462" w:left="970" w:firstLineChars="0" w:firstLine="0"/>
        <w:rPr>
          <w:rFonts w:hint="eastAsia"/>
        </w:rPr>
      </w:pPr>
    </w:p>
    <w:p w14:paraId="7252BECF" w14:textId="77777777" w:rsidR="00000000" w:rsidRDefault="00763D17">
      <w:pPr>
        <w:snapToGrid w:val="0"/>
        <w:spacing w:line="580" w:lineRule="exact"/>
        <w:ind w:leftChars="200" w:left="420" w:firstLineChars="100" w:firstLine="321"/>
        <w:rPr>
          <w:rFonts w:ascii="楷体_GB2312" w:eastAsia="楷体_GB2312" w:hAnsi="仿宋" w:hint="eastAsia"/>
          <w:b/>
          <w:sz w:val="32"/>
          <w:szCs w:val="32"/>
        </w:rPr>
      </w:pPr>
      <w:r>
        <w:rPr>
          <w:rFonts w:ascii="楷体_GB2312" w:eastAsia="楷体_GB2312" w:hAnsi="仿宋" w:hint="eastAsia"/>
          <w:b/>
          <w:sz w:val="32"/>
          <w:szCs w:val="32"/>
        </w:rPr>
        <w:t>（四）</w:t>
      </w:r>
      <w:r>
        <w:rPr>
          <w:rFonts w:ascii="楷体_GB2312" w:eastAsia="楷体_GB2312" w:hAnsi="仿宋" w:hint="eastAsia"/>
          <w:b/>
          <w:sz w:val="32"/>
          <w:szCs w:val="32"/>
        </w:rPr>
        <w:t>针对本地区部门预算</w:t>
      </w:r>
      <w:r>
        <w:rPr>
          <w:rFonts w:ascii="楷体_GB2312" w:eastAsia="楷体_GB2312" w:hAnsi="仿宋" w:hint="eastAsia"/>
          <w:b/>
          <w:sz w:val="32"/>
          <w:szCs w:val="32"/>
        </w:rPr>
        <w:t>执行特点及存在问题提出对策建议。</w:t>
      </w:r>
    </w:p>
    <w:p w14:paraId="6B6F0EFF" w14:textId="77777777" w:rsidR="00000000" w:rsidRDefault="00763D17">
      <w:pPr>
        <w:snapToGrid w:val="0"/>
        <w:spacing w:line="560" w:lineRule="exact"/>
        <w:ind w:firstLineChars="200" w:firstLine="640"/>
        <w:rPr>
          <w:rFonts w:hint="eastAsia"/>
        </w:rPr>
      </w:pPr>
      <w:r>
        <w:rPr>
          <w:rFonts w:ascii="仿宋_GB2312" w:eastAsia="仿宋_GB2312" w:hint="eastAsia"/>
          <w:sz w:val="32"/>
          <w:szCs w:val="32"/>
        </w:rPr>
        <w:t>一是抓好招商引资和项目建设。引进资金、引进技术、引进人才与师市资源和基础产业有效融合，强化税收征管加大税收、非税收入征缴的工作力度，确保应缴尽缴；二是严格控制三公经费及会议费等一般支出，尽力降低行政成本。从年初预算编制到实际执行，确保向民生支出倾斜，落实各项改善民生政策，努力支持社会经济发展。牢固树立过紧日子的思想，增强财政保障能力，努力凸显公共财政职能；三是从预算开始科学化、精细化，并督促工程项目执行，从而</w:t>
      </w:r>
      <w:r>
        <w:rPr>
          <w:rFonts w:ascii="仿宋_GB2312" w:eastAsia="仿宋_GB2312" w:hint="eastAsia"/>
          <w:sz w:val="32"/>
          <w:szCs w:val="32"/>
        </w:rPr>
        <w:t>预决算执行力</w:t>
      </w:r>
      <w:r>
        <w:rPr>
          <w:rFonts w:ascii="仿宋_GB2312" w:eastAsia="仿宋_GB2312" w:hint="eastAsia"/>
          <w:sz w:val="32"/>
          <w:szCs w:val="32"/>
        </w:rPr>
        <w:t>。</w:t>
      </w:r>
    </w:p>
    <w:p w14:paraId="1E9F39F6"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w:t>
      </w:r>
      <w:r>
        <w:rPr>
          <w:rFonts w:ascii="楷体_GB2312" w:eastAsia="楷体_GB2312" w:hAnsi="仿宋" w:hint="eastAsia"/>
          <w:b/>
          <w:sz w:val="32"/>
          <w:szCs w:val="32"/>
        </w:rPr>
        <w:t>五）</w:t>
      </w:r>
      <w:r>
        <w:rPr>
          <w:rFonts w:ascii="楷体_GB2312" w:eastAsia="楷体_GB2312" w:hAnsi="仿宋" w:hint="eastAsia"/>
          <w:b/>
          <w:sz w:val="32"/>
          <w:szCs w:val="32"/>
        </w:rPr>
        <w:t>本地区预算绩效管理工作开展情况。</w:t>
      </w:r>
    </w:p>
    <w:p w14:paraId="5D7F4671" w14:textId="77777777" w:rsidR="00000000" w:rsidRDefault="00763D17">
      <w:pPr>
        <w:pStyle w:val="aa"/>
        <w:widowControl/>
        <w:spacing w:beforeAutospacing="0" w:afterAutospacing="0" w:line="560" w:lineRule="exact"/>
        <w:ind w:firstLineChars="200" w:firstLine="643"/>
        <w:rPr>
          <w:rFonts w:ascii="仿宋_GB2312" w:eastAsia="仿宋_GB2312" w:hAnsi="仿宋_GB2312" w:cs="仿宋_GB2312" w:hint="eastAsia"/>
          <w:sz w:val="32"/>
          <w:szCs w:val="32"/>
        </w:rPr>
      </w:pPr>
      <w:bookmarkStart w:id="3" w:name="YS060303"/>
      <w:bookmarkStart w:id="4" w:name="YS060305"/>
      <w:bookmarkEnd w:id="0"/>
      <w:r>
        <w:rPr>
          <w:rFonts w:ascii="楷体_GB2312" w:eastAsia="楷体_GB2312" w:hAnsi="仿宋" w:hint="eastAsia"/>
          <w:b/>
          <w:kern w:val="2"/>
          <w:sz w:val="32"/>
          <w:szCs w:val="32"/>
        </w:rPr>
        <w:t>1.</w:t>
      </w:r>
      <w:r>
        <w:rPr>
          <w:rFonts w:ascii="楷体_GB2312" w:eastAsia="楷体_GB2312" w:hAnsi="仿宋" w:hint="eastAsia"/>
          <w:b/>
          <w:kern w:val="2"/>
          <w:sz w:val="32"/>
          <w:szCs w:val="32"/>
        </w:rPr>
        <w:t>建章立</w:t>
      </w:r>
      <w:r>
        <w:rPr>
          <w:rFonts w:ascii="楷体_GB2312" w:eastAsia="楷体_GB2312" w:hAnsi="仿宋" w:hint="eastAsia"/>
          <w:b/>
          <w:kern w:val="2"/>
          <w:sz w:val="32"/>
          <w:szCs w:val="32"/>
        </w:rPr>
        <w:t>制、夯实基础。</w:t>
      </w:r>
      <w:r>
        <w:rPr>
          <w:rFonts w:ascii="仿宋_GB2312" w:eastAsia="仿宋_GB2312" w:hAnsi="仿宋_GB2312" w:cs="仿宋_GB2312" w:hint="eastAsia"/>
          <w:sz w:val="32"/>
          <w:szCs w:val="32"/>
        </w:rPr>
        <w:t>一是根据《兵团党委</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兵团关于全面实施预算绩效管理的实施意见》（新兵党发〔</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13</w:t>
      </w:r>
      <w:r>
        <w:rPr>
          <w:rFonts w:ascii="仿宋_GB2312" w:eastAsia="仿宋_GB2312" w:hAnsi="仿宋_GB2312" w:cs="仿宋_GB2312" w:hint="eastAsia"/>
          <w:sz w:val="32"/>
          <w:szCs w:val="32"/>
        </w:rPr>
        <w:t>号）和《第九师全面实施预算绩效管理实施办法》（师办发〔</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进一步加强预算管理，提高财政资金使用效益，优化财政资源配置，提升公共服务水平，加快建成全方位、全过程、全覆盖的预算绩效管理体系，印发《第九师全面推进预算绩效管理实施方案》。二是研究建立完善的绩效评价指标体系。一方面，在上级财政部门建立共性指标体系框架的基础上，丰富和充实共性指标；另一方面，研究制定个性指标，注重指标的收集和积累。借鉴</w:t>
      </w:r>
      <w:r>
        <w:rPr>
          <w:rFonts w:ascii="仿宋_GB2312" w:eastAsia="仿宋_GB2312" w:hAnsi="仿宋_GB2312" w:cs="仿宋_GB2312" w:hint="eastAsia"/>
          <w:sz w:val="32"/>
          <w:szCs w:val="32"/>
        </w:rPr>
        <w:t>自治区建立的指标库，结合师市实际，不断完善更新绩效评价指标和标准体系的设置，供师市预算部门选择使用。三是委托第三方机构参与预算绩效管理工作。目前财政部门牵头落实，财政部门协调其他部门开展相关工作，难度较大，难以达到预期效果。加之财政局没有专门力量从事预算绩效管理工作，现有的财政人员经验不足，对相关政策的研究不深。因此，根据《兵团委托第三方机构参与预算绩效管理工作暂行办法》（兵财预〔</w:t>
      </w:r>
      <w:r>
        <w:rPr>
          <w:rFonts w:ascii="仿宋_GB2312" w:eastAsia="仿宋_GB2312" w:hAnsi="仿宋_GB2312" w:cs="仿宋_GB2312" w:hint="eastAsia"/>
          <w:sz w:val="32"/>
          <w:szCs w:val="32"/>
        </w:rPr>
        <w:t>2021</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35</w:t>
      </w:r>
      <w:r>
        <w:rPr>
          <w:rFonts w:ascii="仿宋_GB2312" w:eastAsia="仿宋_GB2312" w:hAnsi="仿宋_GB2312" w:cs="仿宋_GB2312" w:hint="eastAsia"/>
          <w:sz w:val="32"/>
          <w:szCs w:val="32"/>
        </w:rPr>
        <w:t>号）有关规定，委托第三方中介机构参与预算绩效管理相关工作。</w:t>
      </w:r>
    </w:p>
    <w:p w14:paraId="76BE401A" w14:textId="77777777" w:rsidR="00000000" w:rsidRDefault="00763D17">
      <w:pPr>
        <w:pStyle w:val="aa"/>
        <w:widowControl/>
        <w:spacing w:beforeAutospacing="0" w:afterAutospacing="0" w:line="560" w:lineRule="exact"/>
        <w:ind w:firstLineChars="200" w:firstLine="643"/>
        <w:rPr>
          <w:rFonts w:ascii="仿宋_GB2312" w:eastAsia="仿宋_GB2312" w:hAnsi="仿宋_GB2312" w:cs="仿宋_GB2312" w:hint="eastAsia"/>
          <w:sz w:val="32"/>
          <w:szCs w:val="32"/>
        </w:rPr>
      </w:pPr>
      <w:r>
        <w:rPr>
          <w:rFonts w:ascii="楷体_GB2312" w:eastAsia="楷体_GB2312" w:hAnsi="仿宋" w:hint="eastAsia"/>
          <w:b/>
          <w:kern w:val="2"/>
          <w:sz w:val="32"/>
          <w:szCs w:val="32"/>
        </w:rPr>
        <w:t>2.</w:t>
      </w:r>
      <w:r>
        <w:rPr>
          <w:rFonts w:ascii="楷体_GB2312" w:eastAsia="楷体_GB2312" w:hAnsi="仿宋" w:hint="eastAsia"/>
          <w:b/>
          <w:kern w:val="2"/>
          <w:sz w:val="32"/>
          <w:szCs w:val="32"/>
        </w:rPr>
        <w:t>由点到面、循序渐进。</w:t>
      </w:r>
      <w:r>
        <w:rPr>
          <w:rFonts w:ascii="仿宋_GB2312" w:eastAsia="仿宋_GB2312" w:hAnsi="仿宋_GB2312" w:cs="仿宋_GB2312" w:hint="eastAsia"/>
          <w:sz w:val="32"/>
          <w:szCs w:val="32"/>
        </w:rPr>
        <w:t>从项目支出逐步扩大到专项支出、</w:t>
      </w:r>
      <w:r>
        <w:rPr>
          <w:rFonts w:ascii="仿宋_GB2312" w:eastAsia="仿宋_GB2312" w:hAnsi="仿宋_GB2312" w:cs="仿宋_GB2312" w:hint="eastAsia"/>
          <w:sz w:val="32"/>
          <w:szCs w:val="32"/>
        </w:rPr>
        <w:t>部门整体支出、政策支出等预算支出类型，逐步推动预算绩效管理扩围升级。全年组织培训</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场次，参与培训共计</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余人。</w:t>
      </w:r>
      <w:r>
        <w:rPr>
          <w:rFonts w:ascii="仿宋_GB2312" w:eastAsia="仿宋_GB2312" w:hAnsi="仿宋_GB2312" w:cs="仿宋_GB2312" w:hint="eastAsia"/>
          <w:sz w:val="32"/>
          <w:szCs w:val="32"/>
        </w:rPr>
        <w:t>项目支出绩效目标管理，师市自</w:t>
      </w:r>
      <w:r>
        <w:rPr>
          <w:rFonts w:ascii="仿宋_GB2312" w:eastAsia="仿宋_GB2312" w:hAnsi="仿宋_GB2312" w:cs="仿宋_GB2312" w:hint="eastAsia"/>
          <w:sz w:val="32"/>
          <w:szCs w:val="32"/>
        </w:rPr>
        <w:t>2021</w:t>
      </w:r>
      <w:r>
        <w:rPr>
          <w:rFonts w:ascii="仿宋_GB2312" w:eastAsia="仿宋_GB2312" w:hAnsi="仿宋_GB2312" w:cs="仿宋_GB2312" w:hint="eastAsia"/>
          <w:sz w:val="32"/>
          <w:szCs w:val="32"/>
        </w:rPr>
        <w:t>年编制部门预算时实现全覆盖项目支出绩效目标管理，各预算单位均在预算管理一体化平台中填报。</w:t>
      </w:r>
      <w:r>
        <w:rPr>
          <w:rFonts w:ascii="仿宋_GB2312" w:eastAsia="仿宋_GB2312" w:hAnsi="仿宋_GB2312" w:cs="仿宋_GB2312" w:hint="eastAsia"/>
          <w:sz w:val="32"/>
          <w:szCs w:val="32"/>
        </w:rPr>
        <w:t>2023</w:t>
      </w:r>
      <w:r>
        <w:rPr>
          <w:rFonts w:ascii="仿宋_GB2312" w:eastAsia="仿宋_GB2312" w:hAnsi="仿宋_GB2312" w:cs="仿宋_GB2312" w:hint="eastAsia"/>
          <w:sz w:val="32"/>
          <w:szCs w:val="32"/>
        </w:rPr>
        <w:t>年，已审核项目绩效目标</w:t>
      </w:r>
      <w:r>
        <w:rPr>
          <w:rFonts w:ascii="仿宋_GB2312" w:eastAsia="仿宋_GB2312" w:hAnsi="仿宋_GB2312" w:cs="仿宋_GB2312" w:hint="eastAsia"/>
          <w:sz w:val="32"/>
          <w:szCs w:val="32"/>
        </w:rPr>
        <w:t>381</w:t>
      </w:r>
      <w:r>
        <w:rPr>
          <w:rFonts w:ascii="仿宋_GB2312" w:eastAsia="仿宋_GB2312" w:hAnsi="仿宋_GB2312" w:cs="仿宋_GB2312" w:hint="eastAsia"/>
          <w:sz w:val="32"/>
          <w:szCs w:val="32"/>
        </w:rPr>
        <w:t>个，涉及资金</w:t>
      </w:r>
      <w:r>
        <w:rPr>
          <w:rFonts w:ascii="仿宋_GB2312" w:eastAsia="仿宋_GB2312" w:hAnsi="仿宋_GB2312" w:cs="仿宋_GB2312" w:hint="eastAsia"/>
          <w:sz w:val="32"/>
          <w:szCs w:val="32"/>
        </w:rPr>
        <w:t>17.29</w:t>
      </w:r>
      <w:r>
        <w:rPr>
          <w:rFonts w:ascii="仿宋_GB2312" w:eastAsia="仿宋_GB2312" w:hAnsi="仿宋_GB2312" w:cs="仿宋_GB2312" w:hint="eastAsia"/>
          <w:sz w:val="32"/>
          <w:szCs w:val="32"/>
        </w:rPr>
        <w:t>亿元。部门整体绩效目标管理，自编制</w:t>
      </w:r>
      <w:r>
        <w:rPr>
          <w:rFonts w:ascii="仿宋_GB2312" w:eastAsia="仿宋_GB2312" w:hAnsi="仿宋_GB2312" w:cs="仿宋_GB2312" w:hint="eastAsia"/>
          <w:sz w:val="32"/>
          <w:szCs w:val="32"/>
        </w:rPr>
        <w:t>2023</w:t>
      </w:r>
      <w:r>
        <w:rPr>
          <w:rFonts w:ascii="仿宋_GB2312" w:eastAsia="仿宋_GB2312" w:hAnsi="仿宋_GB2312" w:cs="仿宋_GB2312" w:hint="eastAsia"/>
          <w:sz w:val="32"/>
          <w:szCs w:val="32"/>
        </w:rPr>
        <w:t>年部门预算起，设定师市本级部门整体支出绩效目标。</w:t>
      </w:r>
      <w:r>
        <w:rPr>
          <w:rFonts w:ascii="仿宋_GB2312" w:eastAsia="仿宋_GB2312" w:hAnsi="仿宋_GB2312" w:cs="仿宋_GB2312" w:hint="eastAsia"/>
          <w:sz w:val="32"/>
          <w:szCs w:val="32"/>
        </w:rPr>
        <w:t>2023</w:t>
      </w:r>
      <w:r>
        <w:rPr>
          <w:rFonts w:ascii="仿宋_GB2312" w:eastAsia="仿宋_GB2312" w:hAnsi="仿宋_GB2312" w:cs="仿宋_GB2312" w:hint="eastAsia"/>
          <w:sz w:val="32"/>
          <w:szCs w:val="32"/>
        </w:rPr>
        <w:t>年，共有</w:t>
      </w:r>
      <w:r>
        <w:rPr>
          <w:rFonts w:ascii="仿宋_GB2312" w:eastAsia="仿宋_GB2312" w:hAnsi="仿宋_GB2312" w:cs="仿宋_GB2312" w:hint="eastAsia"/>
          <w:sz w:val="32"/>
          <w:szCs w:val="32"/>
        </w:rPr>
        <w:t>47</w:t>
      </w:r>
      <w:r>
        <w:rPr>
          <w:rFonts w:ascii="仿宋_GB2312" w:eastAsia="仿宋_GB2312" w:hAnsi="仿宋_GB2312" w:cs="仿宋_GB2312" w:hint="eastAsia"/>
          <w:sz w:val="32"/>
          <w:szCs w:val="32"/>
        </w:rPr>
        <w:t>个师市本级部门设定整体支出绩效目标，实现</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全覆盖。按照预算绩效管理</w:t>
      </w:r>
      <w:r>
        <w:rPr>
          <w:rFonts w:ascii="仿宋_GB2312" w:eastAsia="仿宋_GB2312" w:hAnsi="仿宋_GB2312" w:cs="仿宋_GB2312" w:hint="eastAsia"/>
          <w:sz w:val="32"/>
          <w:szCs w:val="32"/>
        </w:rPr>
        <w:lastRenderedPageBreak/>
        <w:t>管过程工作要求，师市财政局于</w:t>
      </w:r>
      <w:r>
        <w:rPr>
          <w:rFonts w:ascii="仿宋_GB2312" w:eastAsia="仿宋_GB2312" w:hAnsi="仿宋_GB2312" w:cs="仿宋_GB2312" w:hint="eastAsia"/>
          <w:sz w:val="32"/>
          <w:szCs w:val="32"/>
        </w:rPr>
        <w:t>202</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月印发《关于开展</w:t>
      </w:r>
      <w:r>
        <w:rPr>
          <w:rFonts w:ascii="仿宋_GB2312" w:eastAsia="仿宋_GB2312" w:hAnsi="仿宋_GB2312" w:cs="仿宋_GB2312" w:hint="eastAsia"/>
          <w:sz w:val="32"/>
          <w:szCs w:val="32"/>
        </w:rPr>
        <w:t>2023</w:t>
      </w:r>
      <w:r>
        <w:rPr>
          <w:rFonts w:ascii="仿宋_GB2312" w:eastAsia="仿宋_GB2312" w:hAnsi="仿宋_GB2312" w:cs="仿宋_GB2312" w:hint="eastAsia"/>
          <w:sz w:val="32"/>
          <w:szCs w:val="32"/>
        </w:rPr>
        <w:t>年绩效目标执行监控工作的通知》，并开始</w:t>
      </w:r>
      <w:r>
        <w:rPr>
          <w:rFonts w:ascii="仿宋_GB2312" w:eastAsia="仿宋_GB2312" w:hAnsi="仿宋_GB2312" w:cs="仿宋_GB2312" w:hint="eastAsia"/>
          <w:sz w:val="32"/>
          <w:szCs w:val="32"/>
        </w:rPr>
        <w:t>2023</w:t>
      </w:r>
      <w:r>
        <w:rPr>
          <w:rFonts w:ascii="仿宋_GB2312" w:eastAsia="仿宋_GB2312" w:hAnsi="仿宋_GB2312" w:cs="仿宋_GB2312" w:hint="eastAsia"/>
          <w:sz w:val="32"/>
          <w:szCs w:val="32"/>
        </w:rPr>
        <w:t>年度绩效目标运行监控审核工作，共计审核专项资金绩效目标监控表</w:t>
      </w:r>
      <w:r>
        <w:rPr>
          <w:rFonts w:ascii="仿宋_GB2312" w:eastAsia="仿宋_GB2312" w:hAnsi="仿宋_GB2312" w:cs="仿宋_GB2312" w:hint="eastAsia"/>
          <w:sz w:val="32"/>
          <w:szCs w:val="32"/>
        </w:rPr>
        <w:t>228</w:t>
      </w:r>
      <w:r>
        <w:rPr>
          <w:rFonts w:ascii="仿宋_GB2312" w:eastAsia="仿宋_GB2312" w:hAnsi="仿宋_GB2312" w:cs="仿宋_GB2312" w:hint="eastAsia"/>
          <w:sz w:val="32"/>
          <w:szCs w:val="32"/>
        </w:rPr>
        <w:t>个，部门整体绩效目标监控表</w:t>
      </w:r>
      <w:r>
        <w:rPr>
          <w:rFonts w:ascii="仿宋_GB2312" w:eastAsia="仿宋_GB2312" w:hAnsi="仿宋_GB2312" w:cs="仿宋_GB2312" w:hint="eastAsia"/>
          <w:sz w:val="32"/>
          <w:szCs w:val="32"/>
        </w:rPr>
        <w:t>47</w:t>
      </w:r>
      <w:r>
        <w:rPr>
          <w:rFonts w:ascii="仿宋_GB2312" w:eastAsia="仿宋_GB2312" w:hAnsi="仿宋_GB2312" w:cs="仿宋_GB2312" w:hint="eastAsia"/>
          <w:sz w:val="32"/>
          <w:szCs w:val="32"/>
        </w:rPr>
        <w:t>个。</w:t>
      </w:r>
    </w:p>
    <w:p w14:paraId="7BAE2A97" w14:textId="77777777" w:rsidR="00000000" w:rsidRDefault="00763D17">
      <w:pPr>
        <w:pStyle w:val="aa"/>
        <w:widowControl/>
        <w:spacing w:beforeAutospacing="0" w:afterAutospacing="0" w:line="560" w:lineRule="exact"/>
        <w:ind w:firstLineChars="200" w:firstLine="643"/>
        <w:rPr>
          <w:rFonts w:ascii="仿宋_GB2312" w:eastAsia="仿宋_GB2312" w:hAnsi="仿宋_GB2312" w:cs="仿宋_GB2312" w:hint="eastAsia"/>
          <w:sz w:val="32"/>
          <w:szCs w:val="32"/>
        </w:rPr>
      </w:pPr>
      <w:r>
        <w:rPr>
          <w:rFonts w:ascii="楷体_GB2312" w:eastAsia="楷体_GB2312" w:hAnsi="仿宋" w:hint="eastAsia"/>
          <w:b/>
          <w:kern w:val="2"/>
          <w:sz w:val="32"/>
          <w:szCs w:val="32"/>
        </w:rPr>
        <w:t>3.</w:t>
      </w:r>
      <w:r>
        <w:rPr>
          <w:rFonts w:ascii="楷体_GB2312" w:eastAsia="楷体_GB2312" w:hAnsi="仿宋" w:hint="eastAsia"/>
          <w:b/>
          <w:kern w:val="2"/>
          <w:sz w:val="32"/>
          <w:szCs w:val="32"/>
        </w:rPr>
        <w:t>创新方法、提质增效。</w:t>
      </w:r>
      <w:r>
        <w:rPr>
          <w:rFonts w:ascii="仿宋_GB2312" w:eastAsia="仿宋_GB2312" w:hAnsi="仿宋_GB2312" w:cs="仿宋_GB2312" w:hint="eastAsia"/>
          <w:sz w:val="32"/>
          <w:szCs w:val="32"/>
        </w:rPr>
        <w:t>建立“预算编制有目标、预算执行有监控、预算完成有评价、评价结果有反馈、反馈结果有应用”绩效管理全过程闭环管理。一是将绩效目标申报与部门预算编制结合。在部门预算系统中同时完成预算编制和绩效目标申报，实现绩效目标审核不合格则预算不安排，通过预算编制审核流程，将预算资金审核与绩效目标审核同步。二是实行绩效运行监控与</w:t>
      </w:r>
      <w:r>
        <w:rPr>
          <w:rFonts w:ascii="仿宋_GB2312" w:eastAsia="仿宋_GB2312" w:hAnsi="仿宋_GB2312" w:cs="仿宋_GB2312" w:hint="eastAsia"/>
          <w:sz w:val="32"/>
          <w:szCs w:val="32"/>
        </w:rPr>
        <w:t>部门预算执行结合。将绩效目标的实现程度、项目实施进度与预算执行进度动态结合，对于资金使用偏离绩效目标的及时预警纠偏，确保绩效目标如期保质保量实现。三是将评价结果与下年预算安排结合。将专项资金项目绩效评价结果作为预算审查的佐证资料，预算资金安排、政策调整与评价结果挂钩。</w:t>
      </w:r>
    </w:p>
    <w:p w14:paraId="63A4DA84" w14:textId="77777777" w:rsidR="00000000" w:rsidRDefault="00763D17">
      <w:pPr>
        <w:pStyle w:val="aa"/>
        <w:widowControl/>
        <w:spacing w:beforeAutospacing="0" w:afterAutospacing="0" w:line="560" w:lineRule="exact"/>
        <w:ind w:firstLineChars="200" w:firstLine="643"/>
        <w:rPr>
          <w:rFonts w:ascii="仿宋_GB2312" w:eastAsia="仿宋_GB2312" w:hAnsi="仿宋_GB2312" w:cs="仿宋_GB2312" w:hint="eastAsia"/>
          <w:sz w:val="32"/>
          <w:szCs w:val="32"/>
        </w:rPr>
      </w:pPr>
      <w:r>
        <w:rPr>
          <w:rFonts w:ascii="楷体_GB2312" w:eastAsia="楷体_GB2312" w:hAnsi="仿宋" w:hint="eastAsia"/>
          <w:b/>
          <w:kern w:val="2"/>
          <w:sz w:val="32"/>
          <w:szCs w:val="32"/>
        </w:rPr>
        <w:t>4.</w:t>
      </w:r>
      <w:r>
        <w:rPr>
          <w:rFonts w:ascii="楷体_GB2312" w:eastAsia="楷体_GB2312" w:hAnsi="仿宋" w:hint="eastAsia"/>
          <w:b/>
          <w:kern w:val="2"/>
          <w:sz w:val="32"/>
          <w:szCs w:val="32"/>
        </w:rPr>
        <w:t>注重结果、优化资源。</w:t>
      </w:r>
      <w:r>
        <w:rPr>
          <w:rFonts w:ascii="仿宋_GB2312" w:eastAsia="仿宋_GB2312" w:hAnsi="仿宋_GB2312" w:cs="仿宋_GB2312" w:hint="eastAsia"/>
          <w:sz w:val="32"/>
          <w:szCs w:val="32"/>
        </w:rPr>
        <w:t>参照兵团预算管理相关文件，师市要求各部门（单位）结合预算评审、项目审批等工作要求，对拟新出台的重大政策、重大项目均要开展事前绩效评估，从立项必要性、投入经济性、绩效目标合理性、实施方案可行性、筹资合规性等方面进行论证，</w:t>
      </w:r>
      <w:r>
        <w:rPr>
          <w:rFonts w:ascii="仿宋_GB2312" w:eastAsia="仿宋_GB2312" w:hAnsi="仿宋_GB2312" w:cs="仿宋_GB2312" w:hint="eastAsia"/>
          <w:sz w:val="32"/>
          <w:szCs w:val="32"/>
        </w:rPr>
        <w:t>评估结果作为申请预算的必备条件。明确将绩效目标审核结果、绩效评价结果作为是否纳入项目库、进行预算调整和预算安排的前置条件和重要依据。无绩效目标和绩效目标审核未通过的不纳入项目库，不列预算安排，绩效评价结果差或较差的，少安排甚至不安排预算。体现在：</w:t>
      </w:r>
      <w:r>
        <w:rPr>
          <w:rFonts w:ascii="仿宋_GB2312" w:eastAsia="仿宋_GB2312" w:hAnsi="仿宋_GB2312" w:cs="仿宋_GB2312" w:hint="eastAsia"/>
          <w:sz w:val="32"/>
          <w:szCs w:val="32"/>
        </w:rPr>
        <w:t>2024</w:t>
      </w:r>
      <w:r>
        <w:rPr>
          <w:rFonts w:ascii="仿宋_GB2312" w:eastAsia="仿宋_GB2312" w:hAnsi="仿宋_GB2312" w:cs="仿宋_GB2312" w:hint="eastAsia"/>
          <w:sz w:val="32"/>
          <w:szCs w:val="32"/>
        </w:rPr>
        <w:t>年预算编制时，退出项目</w:t>
      </w:r>
      <w:r>
        <w:rPr>
          <w:rFonts w:ascii="仿宋_GB2312" w:eastAsia="仿宋_GB2312" w:hAnsi="仿宋_GB2312" w:cs="仿宋_GB2312" w:hint="eastAsia"/>
          <w:sz w:val="32"/>
          <w:szCs w:val="32"/>
        </w:rPr>
        <w:t>44</w:t>
      </w:r>
      <w:r>
        <w:rPr>
          <w:rFonts w:ascii="仿宋_GB2312" w:eastAsia="仿宋_GB2312" w:hAnsi="仿宋_GB2312" w:cs="仿宋_GB2312" w:hint="eastAsia"/>
          <w:sz w:val="32"/>
          <w:szCs w:val="32"/>
        </w:rPr>
        <w:t>个共计</w:t>
      </w:r>
      <w:r>
        <w:rPr>
          <w:rFonts w:ascii="仿宋_GB2312" w:eastAsia="仿宋_GB2312" w:hAnsi="仿宋_GB2312" w:cs="仿宋_GB2312" w:hint="eastAsia"/>
          <w:sz w:val="32"/>
          <w:szCs w:val="32"/>
        </w:rPr>
        <w:t>1.48</w:t>
      </w:r>
      <w:r>
        <w:rPr>
          <w:rFonts w:ascii="仿宋_GB2312" w:eastAsia="仿宋_GB2312" w:hAnsi="仿宋_GB2312" w:cs="仿宋_GB2312" w:hint="eastAsia"/>
          <w:sz w:val="32"/>
          <w:szCs w:val="32"/>
        </w:rPr>
        <w:t>亿元；保留项目中压减财政资金</w:t>
      </w:r>
      <w:r>
        <w:rPr>
          <w:rFonts w:ascii="仿宋_GB2312" w:eastAsia="仿宋_GB2312" w:hAnsi="仿宋_GB2312" w:cs="仿宋_GB2312" w:hint="eastAsia"/>
          <w:sz w:val="32"/>
          <w:szCs w:val="32"/>
        </w:rPr>
        <w:t>0.45</w:t>
      </w:r>
      <w:r>
        <w:rPr>
          <w:rFonts w:ascii="仿宋_GB2312" w:eastAsia="仿宋_GB2312" w:hAnsi="仿宋_GB2312" w:cs="仿宋_GB2312" w:hint="eastAsia"/>
          <w:sz w:val="32"/>
          <w:szCs w:val="32"/>
        </w:rPr>
        <w:t>亿元。</w:t>
      </w:r>
    </w:p>
    <w:p w14:paraId="465FD6F0" w14:textId="77777777" w:rsidR="00000000" w:rsidRDefault="00763D17">
      <w:pPr>
        <w:pStyle w:val="aa"/>
        <w:widowControl/>
        <w:spacing w:beforeAutospacing="0" w:afterAutospacing="0" w:line="560" w:lineRule="exact"/>
        <w:ind w:firstLineChars="200" w:firstLine="643"/>
        <w:rPr>
          <w:rFonts w:ascii="楷体_GB2312" w:eastAsia="楷体_GB2312" w:hAnsi="仿宋" w:hint="eastAsia"/>
          <w:b/>
          <w:kern w:val="2"/>
          <w:sz w:val="32"/>
          <w:szCs w:val="32"/>
        </w:rPr>
      </w:pPr>
      <w:r>
        <w:rPr>
          <w:rFonts w:ascii="楷体_GB2312" w:eastAsia="楷体_GB2312" w:hAnsi="仿宋" w:hint="eastAsia"/>
          <w:b/>
          <w:kern w:val="2"/>
          <w:sz w:val="32"/>
          <w:szCs w:val="32"/>
        </w:rPr>
        <w:t>5.</w:t>
      </w:r>
      <w:r>
        <w:rPr>
          <w:rFonts w:ascii="楷体_GB2312" w:eastAsia="楷体_GB2312" w:hAnsi="仿宋" w:hint="eastAsia"/>
          <w:b/>
          <w:kern w:val="2"/>
          <w:sz w:val="32"/>
          <w:szCs w:val="32"/>
        </w:rPr>
        <w:t>存在的困难及问题</w:t>
      </w:r>
    </w:p>
    <w:p w14:paraId="65C59EFC" w14:textId="77777777" w:rsidR="00000000" w:rsidRDefault="00763D17">
      <w:pPr>
        <w:spacing w:line="560" w:lineRule="exact"/>
        <w:ind w:firstLineChars="200" w:firstLine="640"/>
        <w:rPr>
          <w:rFonts w:ascii="仿宋_GB2312" w:eastAsia="仿宋_GB2312" w:hAnsi="仿宋_GB2312" w:cs="仿宋_GB2312" w:hint="eastAsia"/>
          <w:kern w:val="0"/>
          <w:sz w:val="32"/>
          <w:szCs w:val="32"/>
          <w:lang w:bidi="ar"/>
        </w:rPr>
      </w:pPr>
      <w:r>
        <w:rPr>
          <w:rFonts w:ascii="仿宋_GB2312" w:eastAsia="仿宋_GB2312" w:hAnsi="仿宋_GB2312" w:cs="仿宋_GB2312" w:hint="eastAsia"/>
          <w:kern w:val="0"/>
          <w:sz w:val="32"/>
          <w:szCs w:val="32"/>
          <w:lang w:bidi="ar"/>
        </w:rPr>
        <w:t>预算绩效管理是一个由众多环节组成的复杂动态管理系统，在实际推进的过程中，存在诸多问题，成为制约师市全面预算绩效管理有效推进的主要短板。</w:t>
      </w:r>
    </w:p>
    <w:p w14:paraId="697115AB" w14:textId="77777777" w:rsidR="00000000" w:rsidRDefault="00763D17">
      <w:pPr>
        <w:spacing w:line="560" w:lineRule="exact"/>
        <w:ind w:firstLineChars="200" w:firstLine="643"/>
        <w:rPr>
          <w:rFonts w:ascii="仿宋_GB2312" w:eastAsia="仿宋_GB2312" w:hAnsi="仿宋_GB2312" w:cs="仿宋_GB2312" w:hint="eastAsia"/>
          <w:kern w:val="0"/>
          <w:sz w:val="32"/>
          <w:szCs w:val="32"/>
          <w:lang w:bidi="ar"/>
        </w:rPr>
      </w:pPr>
      <w:r>
        <w:rPr>
          <w:rFonts w:ascii="楷体_GB2312" w:eastAsia="楷体_GB2312" w:hAnsi="仿宋" w:hint="eastAsia"/>
          <w:b/>
          <w:sz w:val="32"/>
          <w:szCs w:val="32"/>
        </w:rPr>
        <w:t>（</w:t>
      </w:r>
      <w:r>
        <w:rPr>
          <w:rFonts w:ascii="楷体_GB2312" w:eastAsia="楷体_GB2312" w:hAnsi="仿宋" w:hint="eastAsia"/>
          <w:b/>
          <w:sz w:val="32"/>
          <w:szCs w:val="32"/>
        </w:rPr>
        <w:t>1</w:t>
      </w:r>
      <w:r>
        <w:rPr>
          <w:rFonts w:ascii="楷体_GB2312" w:eastAsia="楷体_GB2312" w:hAnsi="仿宋" w:hint="eastAsia"/>
          <w:b/>
          <w:sz w:val="32"/>
          <w:szCs w:val="32"/>
        </w:rPr>
        <w:t>）绩效理念不</w:t>
      </w:r>
      <w:r>
        <w:rPr>
          <w:rFonts w:ascii="楷体_GB2312" w:eastAsia="楷体_GB2312" w:hAnsi="仿宋" w:hint="eastAsia"/>
          <w:b/>
          <w:sz w:val="32"/>
          <w:szCs w:val="32"/>
        </w:rPr>
        <w:t>强。</w:t>
      </w:r>
      <w:r>
        <w:rPr>
          <w:rFonts w:ascii="仿宋_GB2312" w:eastAsia="仿宋_GB2312" w:hAnsi="仿宋_GB2312" w:cs="仿宋_GB2312" w:hint="eastAsia"/>
          <w:kern w:val="0"/>
          <w:sz w:val="32"/>
          <w:szCs w:val="32"/>
          <w:lang w:bidi="ar"/>
        </w:rPr>
        <w:t>预算绩效管理是以突出“产出”和“效果”为导向的新型管理理念和方法，它与传统预算管理理念存在很大的不同。长期以来“以收定支”的预算管理模式，导致“重分配轻管理，重支出轻绩效”的观念根深蒂固。一些部门认为仅是做到把钱合法合规地花出去就行，至于资金使用后的产出与效益则与己无关。对预算绩效管理停留在粗浅的认识层面，产生抵触情绪和畏难情绪，在推进工作的过程中，存在敷衍了事的不良心态。另外，财政部门自身对绩效管理的认知也模糊不清，存在内部认识不一致、工作配合不强等问题。</w:t>
      </w:r>
    </w:p>
    <w:p w14:paraId="32591F15" w14:textId="77777777" w:rsidR="00000000" w:rsidRDefault="00763D17">
      <w:pPr>
        <w:spacing w:line="560" w:lineRule="exact"/>
        <w:ind w:firstLineChars="200" w:firstLine="643"/>
        <w:rPr>
          <w:rFonts w:ascii="仿宋_GB2312" w:eastAsia="仿宋_GB2312" w:hAnsi="仿宋_GB2312" w:cs="仿宋_GB2312" w:hint="eastAsia"/>
          <w:kern w:val="0"/>
          <w:sz w:val="32"/>
          <w:szCs w:val="32"/>
          <w:lang w:bidi="ar"/>
        </w:rPr>
      </w:pPr>
      <w:r>
        <w:rPr>
          <w:rFonts w:ascii="楷体_GB2312" w:eastAsia="楷体_GB2312" w:hAnsi="仿宋" w:hint="eastAsia"/>
          <w:b/>
          <w:sz w:val="32"/>
          <w:szCs w:val="32"/>
        </w:rPr>
        <w:t>（</w:t>
      </w:r>
      <w:r>
        <w:rPr>
          <w:rFonts w:ascii="楷体_GB2312" w:eastAsia="楷体_GB2312" w:hAnsi="仿宋" w:hint="eastAsia"/>
          <w:b/>
          <w:sz w:val="32"/>
          <w:szCs w:val="32"/>
        </w:rPr>
        <w:t>2</w:t>
      </w:r>
      <w:r>
        <w:rPr>
          <w:rFonts w:ascii="楷体_GB2312" w:eastAsia="楷体_GB2312" w:hAnsi="仿宋" w:hint="eastAsia"/>
          <w:b/>
          <w:sz w:val="32"/>
          <w:szCs w:val="32"/>
        </w:rPr>
        <w:t>）专业人才紧缺。</w:t>
      </w:r>
      <w:r>
        <w:rPr>
          <w:rFonts w:ascii="仿宋_GB2312" w:eastAsia="仿宋_GB2312" w:hAnsi="仿宋_GB2312" w:cs="仿宋_GB2312" w:hint="eastAsia"/>
          <w:kern w:val="0"/>
          <w:sz w:val="32"/>
          <w:szCs w:val="32"/>
          <w:lang w:bidi="ar"/>
        </w:rPr>
        <w:t>预算绩效管理是一项专业性</w:t>
      </w:r>
      <w:r>
        <w:rPr>
          <w:rFonts w:ascii="仿宋_GB2312" w:eastAsia="仿宋_GB2312" w:hAnsi="仿宋_GB2312" w:cs="仿宋_GB2312" w:hint="eastAsia"/>
          <w:kern w:val="0"/>
          <w:sz w:val="32"/>
          <w:szCs w:val="32"/>
          <w:lang w:bidi="ar"/>
        </w:rPr>
        <w:t>较强、覆盖面广的综合系统性工作。绩效管理工作的实施者既需要具备基本的财务审计知识，又要求对项目或相关业务非常熟悉，还要了解掌握国家相关政策。当前人员配备与工作需求矛盾较为突出：一是作为绩效管理责任主体的各预算部门内部未设置专门机构和人员负责绩效管理工作，预算绩效管理工作往往由财务部门负责，而财务人员更多是对财务知识较为熟悉，缺少项目和业务专业知识及管理经验，导致难以对绩效目标指标设置及评价标准等绩效管理的核心内容作出较为合理的判断，进而影响绩效目标和评价结果的质量和效果。二是财政部门作为预算绩效管理的核心部</w:t>
      </w:r>
      <w:r>
        <w:rPr>
          <w:rFonts w:ascii="仿宋_GB2312" w:eastAsia="仿宋_GB2312" w:hAnsi="仿宋_GB2312" w:cs="仿宋_GB2312" w:hint="eastAsia"/>
          <w:kern w:val="0"/>
          <w:sz w:val="32"/>
          <w:szCs w:val="32"/>
          <w:lang w:bidi="ar"/>
        </w:rPr>
        <w:t>门，受内部部门间合力不足等因素影响，预算绩效管理专业人才十分匮乏，“人少事多”的矛盾突出。三是预算绩效管理工作起步时间晚，基础薄弱，没有现成的</w:t>
      </w:r>
      <w:r>
        <w:rPr>
          <w:rFonts w:ascii="仿宋_GB2312" w:eastAsia="仿宋_GB2312" w:hAnsi="仿宋_GB2312" w:cs="仿宋_GB2312" w:hint="eastAsia"/>
          <w:kern w:val="0"/>
          <w:sz w:val="32"/>
          <w:szCs w:val="32"/>
          <w:lang w:bidi="ar"/>
        </w:rPr>
        <w:lastRenderedPageBreak/>
        <w:t>经验学习借鉴，只能在工作中边做边、在学习中积累，短时期内只能停留在表面，很大程度上制约了预算绩效管理工作的有效推进。</w:t>
      </w:r>
    </w:p>
    <w:p w14:paraId="200A39EE" w14:textId="77777777" w:rsidR="00000000" w:rsidRDefault="00763D17">
      <w:pPr>
        <w:spacing w:line="560" w:lineRule="exact"/>
        <w:ind w:firstLineChars="200" w:firstLine="643"/>
        <w:rPr>
          <w:rFonts w:ascii="仿宋_GB2312" w:eastAsia="仿宋_GB2312" w:hAnsi="仿宋_GB2312" w:cs="仿宋_GB2312" w:hint="eastAsia"/>
          <w:kern w:val="0"/>
          <w:sz w:val="32"/>
          <w:szCs w:val="32"/>
          <w:lang w:bidi="ar"/>
        </w:rPr>
      </w:pPr>
      <w:r>
        <w:rPr>
          <w:rFonts w:ascii="楷体_GB2312" w:eastAsia="楷体_GB2312" w:hAnsi="仿宋" w:hint="eastAsia"/>
          <w:b/>
          <w:sz w:val="32"/>
          <w:szCs w:val="32"/>
        </w:rPr>
        <w:t>（</w:t>
      </w:r>
      <w:r>
        <w:rPr>
          <w:rFonts w:ascii="楷体_GB2312" w:eastAsia="楷体_GB2312" w:hAnsi="仿宋" w:hint="eastAsia"/>
          <w:b/>
          <w:sz w:val="32"/>
          <w:szCs w:val="32"/>
        </w:rPr>
        <w:t>3</w:t>
      </w:r>
      <w:r>
        <w:rPr>
          <w:rFonts w:ascii="楷体_GB2312" w:eastAsia="楷体_GB2312" w:hAnsi="仿宋" w:hint="eastAsia"/>
          <w:b/>
          <w:sz w:val="32"/>
          <w:szCs w:val="32"/>
        </w:rPr>
        <w:t>）管理环节薄弱。</w:t>
      </w:r>
      <w:r>
        <w:rPr>
          <w:rFonts w:ascii="仿宋_GB2312" w:eastAsia="仿宋_GB2312" w:hAnsi="仿宋_GB2312" w:cs="仿宋_GB2312" w:hint="eastAsia"/>
          <w:kern w:val="0"/>
          <w:sz w:val="32"/>
          <w:szCs w:val="32"/>
          <w:lang w:bidi="ar"/>
        </w:rPr>
        <w:t>目前，制约全面预算绩效管理有效推进，管理环节方面存在的主要短板有：绩效评价开展滞后，效果不显著，与项目预算申报融合度不高；目标管理薄弱，表现在预期产出和效果模糊不清；绩效评价指标的精准性、科学性有待提高；评价整体性不足，绩效评价的深</w:t>
      </w:r>
      <w:r>
        <w:rPr>
          <w:rFonts w:ascii="仿宋_GB2312" w:eastAsia="仿宋_GB2312" w:hAnsi="仿宋_GB2312" w:cs="仿宋_GB2312" w:hint="eastAsia"/>
          <w:kern w:val="0"/>
          <w:sz w:val="32"/>
          <w:szCs w:val="32"/>
          <w:lang w:bidi="ar"/>
        </w:rPr>
        <w:t>度和广度仍需拓展、绩效评价项目选取范围窄、缺少对项目成本效益的预测和分析；评价结果应用不充分，绩效结果的客观公正性、科学权威性、全面准确性不稳定，影响评价结果质量，导致其结果无法发挥导向作用等。</w:t>
      </w:r>
    </w:p>
    <w:p w14:paraId="435D1602" w14:textId="77777777" w:rsidR="00000000" w:rsidRDefault="00763D17">
      <w:pPr>
        <w:spacing w:line="56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6.</w:t>
      </w:r>
      <w:r>
        <w:rPr>
          <w:rFonts w:ascii="楷体_GB2312" w:eastAsia="楷体_GB2312" w:hAnsi="仿宋" w:hint="eastAsia"/>
          <w:b/>
          <w:sz w:val="32"/>
          <w:szCs w:val="32"/>
        </w:rPr>
        <w:t>意见建议</w:t>
      </w:r>
    </w:p>
    <w:p w14:paraId="65222D8E" w14:textId="77777777" w:rsidR="00000000" w:rsidRDefault="00763D17">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全面实施预算绩效管理，推动预算绩效管理提质增效，加快疏通堵点、补上断点、纾解痛点，应从以下三个方面发力。</w:t>
      </w:r>
    </w:p>
    <w:p w14:paraId="6B3A90D4" w14:textId="77777777" w:rsidR="00000000" w:rsidRDefault="00763D17">
      <w:pPr>
        <w:ind w:firstLineChars="200" w:firstLine="643"/>
        <w:rPr>
          <w:rFonts w:ascii="仿宋_GB2312" w:eastAsia="仿宋_GB2312" w:hAnsi="仿宋_GB2312" w:cs="仿宋_GB2312" w:hint="eastAsia"/>
          <w:sz w:val="32"/>
          <w:szCs w:val="32"/>
        </w:rPr>
      </w:pPr>
      <w:r>
        <w:rPr>
          <w:rFonts w:ascii="楷体_GB2312" w:eastAsia="楷体_GB2312" w:hAnsi="仿宋" w:hint="eastAsia"/>
          <w:b/>
          <w:sz w:val="32"/>
          <w:szCs w:val="32"/>
        </w:rPr>
        <w:t>（</w:t>
      </w:r>
      <w:r>
        <w:rPr>
          <w:rFonts w:ascii="楷体_GB2312" w:eastAsia="楷体_GB2312" w:hAnsi="仿宋" w:hint="eastAsia"/>
          <w:b/>
          <w:sz w:val="32"/>
          <w:szCs w:val="32"/>
        </w:rPr>
        <w:t>1</w:t>
      </w:r>
      <w:r>
        <w:rPr>
          <w:rFonts w:ascii="楷体_GB2312" w:eastAsia="楷体_GB2312" w:hAnsi="仿宋" w:hint="eastAsia"/>
          <w:b/>
          <w:sz w:val="32"/>
          <w:szCs w:val="32"/>
        </w:rPr>
        <w:t>）强化宣传培训，增强主动意识。</w:t>
      </w:r>
      <w:r>
        <w:rPr>
          <w:rFonts w:ascii="仿宋_GB2312" w:eastAsia="仿宋_GB2312" w:hAnsi="仿宋_GB2312" w:cs="仿宋_GB2312" w:hint="eastAsia"/>
          <w:sz w:val="32"/>
          <w:szCs w:val="32"/>
        </w:rPr>
        <w:t>深入人心的绩效管理理念、高素质的专业人才队伍是全面预算绩效管理顺利推进的主要保障。一是要加强财政部门、预算部门主要领导及其工作人员的绩效管理意识，用绩效考核正面激</w:t>
      </w:r>
      <w:r>
        <w:rPr>
          <w:rFonts w:ascii="仿宋_GB2312" w:eastAsia="仿宋_GB2312" w:hAnsi="仿宋_GB2312" w:cs="仿宋_GB2312" w:hint="eastAsia"/>
          <w:sz w:val="32"/>
          <w:szCs w:val="32"/>
        </w:rPr>
        <w:t>励先进、鞭策后进，推动形成人人懂绩效、会绩效的局面。二是要开展各种形式的宣传培训，利用线上线下各种形式来宣传预算绩效管理工作，创造良好的舆论氛围，让绩效理念深入人心；每年举办多层次预算绩效管理业务专题培训，让绩效管理人员熟知各项业务知识，推动形成“人人讲绩效，处处用绩效，事事有绩效”的浓厚氛围。</w:t>
      </w:r>
    </w:p>
    <w:p w14:paraId="40D2F29A" w14:textId="77777777" w:rsidR="00000000" w:rsidRDefault="00763D17">
      <w:pPr>
        <w:ind w:firstLineChars="200" w:firstLine="643"/>
        <w:rPr>
          <w:rFonts w:ascii="仿宋_GB2312" w:eastAsia="仿宋_GB2312" w:hAnsi="仿宋_GB2312" w:cs="仿宋_GB2312" w:hint="eastAsia"/>
          <w:sz w:val="32"/>
          <w:szCs w:val="32"/>
        </w:rPr>
      </w:pPr>
      <w:r>
        <w:rPr>
          <w:rFonts w:ascii="楷体_GB2312" w:eastAsia="楷体_GB2312" w:hAnsi="仿宋" w:hint="eastAsia"/>
          <w:b/>
          <w:sz w:val="32"/>
          <w:szCs w:val="32"/>
        </w:rPr>
        <w:t>（</w:t>
      </w:r>
      <w:r>
        <w:rPr>
          <w:rFonts w:ascii="楷体_GB2312" w:eastAsia="楷体_GB2312" w:hAnsi="仿宋" w:hint="eastAsia"/>
          <w:b/>
          <w:sz w:val="32"/>
          <w:szCs w:val="32"/>
        </w:rPr>
        <w:t>2</w:t>
      </w:r>
      <w:r>
        <w:rPr>
          <w:rFonts w:ascii="楷体_GB2312" w:eastAsia="楷体_GB2312" w:hAnsi="仿宋" w:hint="eastAsia"/>
          <w:b/>
          <w:sz w:val="32"/>
          <w:szCs w:val="32"/>
        </w:rPr>
        <w:t>）建立项目全生命周期管理新机制。</w:t>
      </w:r>
      <w:r>
        <w:rPr>
          <w:rFonts w:ascii="仿宋_GB2312" w:eastAsia="仿宋_GB2312" w:hAnsi="仿宋_GB2312" w:cs="仿宋_GB2312" w:hint="eastAsia"/>
          <w:sz w:val="32"/>
          <w:szCs w:val="32"/>
        </w:rPr>
        <w:t>一是有效开展项目事前绩效评估，建立事前绩效评估常态化机制，建立健全各类项目库。二是扎实开</w:t>
      </w:r>
      <w:r>
        <w:rPr>
          <w:rFonts w:ascii="仿宋_GB2312" w:eastAsia="仿宋_GB2312" w:hAnsi="仿宋_GB2312" w:cs="仿宋_GB2312" w:hint="eastAsia"/>
          <w:sz w:val="32"/>
          <w:szCs w:val="32"/>
        </w:rPr>
        <w:t>展绩效运行监控，做好项目实施过程中的跟踪问效，紧盯资金用途和方向，及时纠正项目预算执行和绩</w:t>
      </w:r>
      <w:r>
        <w:rPr>
          <w:rFonts w:ascii="仿宋_GB2312" w:eastAsia="仿宋_GB2312" w:hAnsi="仿宋_GB2312" w:cs="仿宋_GB2312" w:hint="eastAsia"/>
          <w:sz w:val="32"/>
          <w:szCs w:val="32"/>
        </w:rPr>
        <w:t>效目标之间的偏差，确保“资金跟着项目走，项目跟着目标走”。</w:t>
      </w:r>
    </w:p>
    <w:p w14:paraId="77B1D2D6" w14:textId="77777777" w:rsidR="00000000" w:rsidRDefault="00763D17">
      <w:pPr>
        <w:ind w:firstLineChars="200" w:firstLine="643"/>
        <w:rPr>
          <w:rFonts w:ascii="仿宋_GB2312" w:eastAsia="仿宋_GB2312" w:hAnsi="仿宋_GB2312" w:cs="仿宋_GB2312"/>
          <w:sz w:val="32"/>
          <w:szCs w:val="32"/>
        </w:rPr>
      </w:pPr>
      <w:r>
        <w:rPr>
          <w:rFonts w:ascii="楷体_GB2312" w:eastAsia="楷体_GB2312" w:hAnsi="仿宋" w:hint="eastAsia"/>
          <w:b/>
          <w:sz w:val="32"/>
          <w:szCs w:val="32"/>
        </w:rPr>
        <w:t>（</w:t>
      </w:r>
      <w:r>
        <w:rPr>
          <w:rFonts w:ascii="楷体_GB2312" w:eastAsia="楷体_GB2312" w:hAnsi="仿宋" w:hint="eastAsia"/>
          <w:b/>
          <w:sz w:val="32"/>
          <w:szCs w:val="32"/>
        </w:rPr>
        <w:t>3</w:t>
      </w:r>
      <w:r>
        <w:rPr>
          <w:rFonts w:ascii="楷体_GB2312" w:eastAsia="楷体_GB2312" w:hAnsi="仿宋" w:hint="eastAsia"/>
          <w:b/>
          <w:sz w:val="32"/>
          <w:szCs w:val="32"/>
        </w:rPr>
        <w:t>）大力推动绩效评价指标和评价标准体系建设。</w:t>
      </w:r>
      <w:r>
        <w:rPr>
          <w:rFonts w:ascii="仿宋_GB2312" w:eastAsia="仿宋_GB2312" w:hAnsi="仿宋_GB2312" w:cs="仿宋_GB2312" w:hint="eastAsia"/>
          <w:sz w:val="32"/>
          <w:szCs w:val="32"/>
        </w:rPr>
        <w:t>一是扎实基础工作，全方位了解评价项目的基本情况，确保绩效评价信息的客观性、评价指标的相关性、评价标准的合理性以及评价程序的规范性。二是研究制定与项目特性相关的个性指标，向指标库建设较完善的师市借鉴学习，收集和积累指标。三是硬化约束行业主管部门的主体责任，组织制定符合本行业本部门职能职责和事业发展规划、项目特点的个性指标体系与评价标准体系。四是规范绩效目标与自评工作，组织专家对其赋分，规范绩效评价指标和标</w:t>
      </w:r>
      <w:r>
        <w:rPr>
          <w:rFonts w:ascii="仿宋_GB2312" w:eastAsia="仿宋_GB2312" w:hAnsi="仿宋_GB2312" w:cs="仿宋_GB2312" w:hint="eastAsia"/>
          <w:sz w:val="32"/>
          <w:szCs w:val="32"/>
        </w:rPr>
        <w:t>准，以保障目标和自评结果的客观全面性。</w:t>
      </w:r>
    </w:p>
    <w:p w14:paraId="7BF25439" w14:textId="77777777" w:rsidR="00000000" w:rsidRDefault="00763D17">
      <w:pPr>
        <w:snapToGrid w:val="0"/>
        <w:spacing w:line="580" w:lineRule="exact"/>
        <w:ind w:firstLineChars="200" w:firstLine="640"/>
        <w:rPr>
          <w:rFonts w:ascii="黑体" w:eastAsia="黑体" w:hAnsi="黑体" w:hint="eastAsia"/>
          <w:sz w:val="32"/>
          <w:szCs w:val="32"/>
        </w:rPr>
      </w:pPr>
      <w:r>
        <w:rPr>
          <w:rFonts w:ascii="黑体" w:eastAsia="黑体" w:hAnsi="黑体" w:hint="eastAsia"/>
          <w:sz w:val="32"/>
          <w:szCs w:val="32"/>
        </w:rPr>
        <w:t>三、本地区与预算支出相关的其他信息分析</w:t>
      </w:r>
    </w:p>
    <w:bookmarkEnd w:id="3"/>
    <w:p w14:paraId="1A9611E9"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（一）资产负债情况。</w:t>
      </w:r>
    </w:p>
    <w:p w14:paraId="0A39CD39" w14:textId="77777777" w:rsidR="00000000" w:rsidRDefault="00763D17">
      <w:pPr>
        <w:adjustRightInd w:val="0"/>
        <w:snapToGrid w:val="0"/>
        <w:spacing w:line="580" w:lineRule="exact"/>
        <w:ind w:firstLineChars="200" w:firstLine="640"/>
        <w:rPr>
          <w:rFonts w:ascii="仿宋_GB2312" w:eastAsia="仿宋_GB2312" w:hAnsi="仿宋" w:cs="仿宋" w:hint="eastAsia"/>
          <w:color w:val="000000"/>
          <w:sz w:val="32"/>
          <w:szCs w:val="32"/>
        </w:rPr>
      </w:pPr>
      <w:r>
        <w:rPr>
          <w:rFonts w:ascii="仿宋_GB2312" w:eastAsia="仿宋_GB2312" w:hAnsi="仿宋" w:hint="eastAsia"/>
          <w:sz w:val="32"/>
          <w:szCs w:val="32"/>
        </w:rPr>
        <w:t>2023</w:t>
      </w:r>
      <w:r>
        <w:rPr>
          <w:rFonts w:ascii="仿宋_GB2312" w:eastAsia="仿宋_GB2312" w:hAnsi="仿宋" w:hint="eastAsia"/>
          <w:sz w:val="32"/>
          <w:szCs w:val="32"/>
        </w:rPr>
        <w:t>年</w:t>
      </w:r>
      <w:r>
        <w:rPr>
          <w:rFonts w:ascii="仿宋_GB2312" w:eastAsia="仿宋_GB2312" w:hAnsi="仿宋" w:hint="eastAsia"/>
          <w:sz w:val="32"/>
          <w:szCs w:val="32"/>
        </w:rPr>
        <w:t>房屋（平方米）</w:t>
      </w:r>
      <w:r>
        <w:rPr>
          <w:rFonts w:ascii="仿宋_GB2312" w:eastAsia="仿宋_GB2312" w:hAnsi="仿宋" w:hint="eastAsia"/>
          <w:sz w:val="32"/>
          <w:szCs w:val="32"/>
        </w:rPr>
        <w:t>比上</w:t>
      </w:r>
      <w:r>
        <w:rPr>
          <w:rFonts w:ascii="仿宋_GB2312" w:eastAsia="仿宋_GB2312" w:hAnsi="仿宋" w:hint="eastAsia"/>
          <w:sz w:val="32"/>
          <w:szCs w:val="32"/>
        </w:rPr>
        <w:t>年度差额</w:t>
      </w:r>
      <w:r>
        <w:rPr>
          <w:rFonts w:ascii="仿宋_GB2312" w:eastAsia="仿宋_GB2312" w:hAnsi="仿宋" w:hint="eastAsia"/>
          <w:sz w:val="32"/>
          <w:szCs w:val="32"/>
        </w:rPr>
        <w:t>348060.96</w:t>
      </w:r>
      <w:r>
        <w:rPr>
          <w:rFonts w:ascii="仿宋_GB2312" w:eastAsia="仿宋_GB2312" w:hAnsi="仿宋" w:hint="eastAsia"/>
          <w:sz w:val="32"/>
          <w:szCs w:val="32"/>
        </w:rPr>
        <w:t>平方米，房屋（平方米）金额比上年度差额</w:t>
      </w:r>
      <w:r>
        <w:rPr>
          <w:rFonts w:ascii="仿宋_GB2312" w:eastAsia="仿宋_GB2312" w:hAnsi="仿宋" w:hint="eastAsia"/>
          <w:sz w:val="32"/>
          <w:szCs w:val="32"/>
        </w:rPr>
        <w:t>70603.49</w:t>
      </w:r>
      <w:r>
        <w:rPr>
          <w:rFonts w:ascii="仿宋_GB2312" w:eastAsia="仿宋_GB2312" w:hAnsi="仿宋" w:hint="eastAsia"/>
          <w:sz w:val="32"/>
          <w:szCs w:val="32"/>
        </w:rPr>
        <w:t>万元</w:t>
      </w:r>
      <w:r>
        <w:rPr>
          <w:rFonts w:ascii="仿宋_GB2312" w:eastAsia="仿宋_GB2312" w:hAnsi="仿宋" w:hint="eastAsia"/>
          <w:sz w:val="32"/>
          <w:szCs w:val="32"/>
        </w:rPr>
        <w:t>。</w:t>
      </w:r>
      <w:r>
        <w:rPr>
          <w:rFonts w:ascii="仿宋_GB2312" w:eastAsia="仿宋_GB2312" w:hAnsi="仿宋" w:hint="eastAsia"/>
          <w:sz w:val="32"/>
          <w:szCs w:val="32"/>
        </w:rPr>
        <w:t>其中：办公用房金额比上年减少</w:t>
      </w:r>
      <w:r>
        <w:rPr>
          <w:rFonts w:ascii="仿宋_GB2312" w:eastAsia="仿宋_GB2312" w:hAnsi="仿宋" w:hint="eastAsia"/>
          <w:sz w:val="32"/>
          <w:szCs w:val="32"/>
        </w:rPr>
        <w:t>4523.65</w:t>
      </w:r>
      <w:r>
        <w:rPr>
          <w:rFonts w:ascii="仿宋_GB2312" w:eastAsia="仿宋_GB2312" w:hAnsi="仿宋" w:hint="eastAsia"/>
          <w:sz w:val="32"/>
          <w:szCs w:val="32"/>
        </w:rPr>
        <w:t>万元；业务用房金额比上年度增加</w:t>
      </w:r>
      <w:r>
        <w:rPr>
          <w:rFonts w:ascii="仿宋_GB2312" w:eastAsia="仿宋_GB2312" w:hAnsi="仿宋" w:hint="eastAsia"/>
          <w:sz w:val="32"/>
          <w:szCs w:val="32"/>
        </w:rPr>
        <w:t>22870.82</w:t>
      </w:r>
      <w:r>
        <w:rPr>
          <w:rFonts w:ascii="仿宋_GB2312" w:eastAsia="仿宋_GB2312" w:hAnsi="仿宋" w:hint="eastAsia"/>
          <w:sz w:val="32"/>
          <w:szCs w:val="32"/>
        </w:rPr>
        <w:t>万元，其他（不含构筑物）金额比上年度增加</w:t>
      </w:r>
      <w:r>
        <w:rPr>
          <w:rFonts w:ascii="仿宋_GB2312" w:eastAsia="仿宋_GB2312" w:hAnsi="仿宋" w:hint="eastAsia"/>
          <w:sz w:val="32"/>
          <w:szCs w:val="32"/>
        </w:rPr>
        <w:t>52256.32</w:t>
      </w:r>
      <w:r>
        <w:rPr>
          <w:rFonts w:ascii="仿宋_GB2312" w:eastAsia="仿宋_GB2312" w:hAnsi="仿宋" w:hint="eastAsia"/>
          <w:sz w:val="32"/>
          <w:szCs w:val="32"/>
        </w:rPr>
        <w:t>万元。主要原因是：</w:t>
      </w:r>
      <w:r>
        <w:rPr>
          <w:rFonts w:ascii="仿宋_GB2312" w:eastAsia="仿宋_GB2312" w:hAnsi="仿宋" w:cs="仿宋" w:hint="eastAsia"/>
          <w:color w:val="000000"/>
          <w:sz w:val="32"/>
          <w:szCs w:val="32"/>
        </w:rPr>
        <w:t>以前年度在建工程（</w:t>
      </w:r>
      <w:r>
        <w:rPr>
          <w:rFonts w:ascii="仿宋_GB2312" w:eastAsia="仿宋_GB2312" w:hint="eastAsia"/>
          <w:sz w:val="32"/>
          <w:szCs w:val="32"/>
        </w:rPr>
        <w:t>中共第九师白杨市党委党校（行政学院）基础设施建设项目、第九师第九师方舱医院、第九师边防基础设施建设项目—</w:t>
      </w:r>
      <w:r>
        <w:rPr>
          <w:rFonts w:ascii="仿宋_GB2312" w:eastAsia="仿宋_GB2312" w:hint="eastAsia"/>
          <w:sz w:val="32"/>
          <w:szCs w:val="32"/>
        </w:rPr>
        <w:t>2021</w:t>
      </w:r>
      <w:r>
        <w:rPr>
          <w:rFonts w:ascii="仿宋_GB2312" w:eastAsia="仿宋_GB2312" w:hint="eastAsia"/>
          <w:sz w:val="32"/>
          <w:szCs w:val="32"/>
        </w:rPr>
        <w:t>年中</w:t>
      </w:r>
      <w:r>
        <w:rPr>
          <w:rFonts w:ascii="仿宋_GB2312" w:eastAsia="仿宋_GB2312" w:hint="eastAsia"/>
          <w:sz w:val="32"/>
          <w:szCs w:val="32"/>
        </w:rPr>
        <w:t>央基建投资、第九师特色农产品加工标准化厂房建设项目（</w:t>
      </w:r>
      <w:r>
        <w:rPr>
          <w:rFonts w:ascii="仿宋_GB2312" w:eastAsia="仿宋_GB2312" w:hint="eastAsia"/>
          <w:sz w:val="32"/>
          <w:szCs w:val="32"/>
        </w:rPr>
        <w:t>170</w:t>
      </w:r>
      <w:r>
        <w:rPr>
          <w:rFonts w:ascii="仿宋_GB2312" w:eastAsia="仿宋_GB2312" w:hint="eastAsia"/>
          <w:sz w:val="32"/>
          <w:szCs w:val="32"/>
        </w:rPr>
        <w:t>团）、</w:t>
      </w:r>
      <w:r>
        <w:rPr>
          <w:rFonts w:ascii="仿宋_GB2312" w:eastAsia="仿宋_GB2312" w:hint="eastAsia"/>
          <w:sz w:val="32"/>
          <w:szCs w:val="32"/>
        </w:rPr>
        <w:t>2023</w:t>
      </w:r>
      <w:r>
        <w:rPr>
          <w:rFonts w:ascii="仿宋_GB2312" w:eastAsia="仿宋_GB2312" w:hint="eastAsia"/>
          <w:sz w:val="32"/>
          <w:szCs w:val="32"/>
        </w:rPr>
        <w:t>年兵团重大项目前期工作经费</w:t>
      </w:r>
      <w:r>
        <w:rPr>
          <w:rFonts w:ascii="仿宋_GB2312" w:eastAsia="仿宋_GB2312" w:hint="eastAsia"/>
          <w:sz w:val="32"/>
          <w:szCs w:val="32"/>
        </w:rPr>
        <w:t>-</w:t>
      </w:r>
      <w:r>
        <w:rPr>
          <w:rFonts w:ascii="仿宋_GB2312" w:eastAsia="仿宋_GB2312" w:hint="eastAsia"/>
          <w:sz w:val="32"/>
          <w:szCs w:val="32"/>
        </w:rPr>
        <w:t>第九师</w:t>
      </w:r>
      <w:r>
        <w:rPr>
          <w:rFonts w:ascii="仿宋_GB2312" w:eastAsia="仿宋_GB2312" w:hint="eastAsia"/>
          <w:sz w:val="32"/>
          <w:szCs w:val="32"/>
        </w:rPr>
        <w:t>2022</w:t>
      </w:r>
      <w:r>
        <w:rPr>
          <w:rFonts w:ascii="仿宋_GB2312" w:eastAsia="仿宋_GB2312" w:hint="eastAsia"/>
          <w:sz w:val="32"/>
          <w:szCs w:val="32"/>
        </w:rPr>
        <w:t>年公共租赁住房室外配套建设</w:t>
      </w:r>
      <w:r>
        <w:rPr>
          <w:rFonts w:ascii="仿宋_GB2312" w:eastAsia="仿宋_GB2312" w:hint="eastAsia"/>
          <w:sz w:val="32"/>
          <w:szCs w:val="32"/>
        </w:rPr>
        <w:lastRenderedPageBreak/>
        <w:t>项目、边境彩钢房建设、</w:t>
      </w:r>
      <w:r>
        <w:rPr>
          <w:rFonts w:ascii="仿宋_GB2312" w:eastAsia="仿宋_GB2312" w:hint="eastAsia"/>
          <w:sz w:val="32"/>
          <w:szCs w:val="32"/>
        </w:rPr>
        <w:t>2020</w:t>
      </w:r>
      <w:r>
        <w:rPr>
          <w:rFonts w:ascii="仿宋_GB2312" w:eastAsia="仿宋_GB2312" w:hint="eastAsia"/>
          <w:sz w:val="32"/>
          <w:szCs w:val="32"/>
        </w:rPr>
        <w:t>年九师边境防控执勤房建设项目、巴克图经济技术开发区农副产品加工标准化厂房建设等项目</w:t>
      </w:r>
      <w:r>
        <w:rPr>
          <w:rFonts w:ascii="仿宋_GB2312" w:eastAsia="仿宋_GB2312" w:hAnsi="仿宋" w:cs="仿宋" w:hint="eastAsia"/>
          <w:color w:val="000000"/>
          <w:sz w:val="32"/>
          <w:szCs w:val="32"/>
        </w:rPr>
        <w:t>）转固定资产，故本年房屋比上年房屋增加，根据资产规范化管理，有一部分属于公共基础设施的房屋在本年更正修改。</w:t>
      </w:r>
    </w:p>
    <w:p w14:paraId="6682B24F" w14:textId="77777777" w:rsidR="00000000" w:rsidRDefault="00763D17">
      <w:pPr>
        <w:adjustRightInd w:val="0"/>
        <w:snapToGrid w:val="0"/>
        <w:spacing w:line="580" w:lineRule="exact"/>
        <w:ind w:firstLineChars="200" w:firstLine="640"/>
        <w:rPr>
          <w:rFonts w:ascii="仿宋_GB2312" w:eastAsia="仿宋_GB2312" w:hAnsi="仿宋" w:cs="仿宋" w:hint="eastAsia"/>
          <w:color w:val="000000"/>
          <w:sz w:val="32"/>
          <w:szCs w:val="32"/>
        </w:rPr>
      </w:pPr>
      <w:r>
        <w:rPr>
          <w:rFonts w:ascii="仿宋_GB2312" w:eastAsia="仿宋_GB2312" w:hAnsi="仿宋" w:cs="仿宋" w:hint="eastAsia"/>
          <w:color w:val="000000"/>
          <w:sz w:val="32"/>
          <w:szCs w:val="32"/>
        </w:rPr>
        <w:t>2023</w:t>
      </w:r>
      <w:r>
        <w:rPr>
          <w:rFonts w:ascii="仿宋_GB2312" w:eastAsia="仿宋_GB2312" w:hAnsi="仿宋" w:cs="仿宋" w:hint="eastAsia"/>
          <w:color w:val="000000"/>
          <w:sz w:val="32"/>
          <w:szCs w:val="32"/>
        </w:rPr>
        <w:t>年，本年年末货币资</w:t>
      </w:r>
      <w:r>
        <w:rPr>
          <w:rFonts w:ascii="仿宋_GB2312" w:eastAsia="仿宋_GB2312" w:hAnsi="仿宋" w:cs="仿宋" w:hint="eastAsia"/>
          <w:color w:val="000000"/>
          <w:sz w:val="32"/>
          <w:szCs w:val="32"/>
        </w:rPr>
        <w:t>金</w:t>
      </w:r>
      <w:r>
        <w:rPr>
          <w:rFonts w:ascii="仿宋_GB2312" w:eastAsia="仿宋_GB2312" w:hAnsi="仿宋" w:cs="仿宋" w:hint="eastAsia"/>
          <w:color w:val="000000"/>
          <w:sz w:val="32"/>
          <w:szCs w:val="32"/>
        </w:rPr>
        <w:t>18433.57</w:t>
      </w:r>
      <w:r>
        <w:rPr>
          <w:rFonts w:ascii="仿宋_GB2312" w:eastAsia="仿宋_GB2312" w:hAnsi="仿宋" w:cs="仿宋" w:hint="eastAsia"/>
          <w:color w:val="000000"/>
          <w:sz w:val="32"/>
          <w:szCs w:val="32"/>
        </w:rPr>
        <w:t>万元，较上年</w:t>
      </w:r>
      <w:r>
        <w:rPr>
          <w:rFonts w:ascii="仿宋_GB2312" w:eastAsia="仿宋_GB2312" w:hAnsi="仿宋" w:cs="仿宋" w:hint="eastAsia"/>
          <w:color w:val="000000"/>
          <w:sz w:val="32"/>
          <w:szCs w:val="32"/>
        </w:rPr>
        <w:t>13252.83</w:t>
      </w:r>
      <w:r>
        <w:rPr>
          <w:rFonts w:ascii="仿宋_GB2312" w:eastAsia="仿宋_GB2312" w:hAnsi="仿宋" w:cs="仿宋" w:hint="eastAsia"/>
          <w:color w:val="000000"/>
          <w:sz w:val="32"/>
          <w:szCs w:val="32"/>
        </w:rPr>
        <w:t>万元，增加</w:t>
      </w:r>
      <w:r>
        <w:rPr>
          <w:rFonts w:ascii="仿宋_GB2312" w:eastAsia="仿宋_GB2312" w:hAnsi="仿宋" w:cs="仿宋" w:hint="eastAsia"/>
          <w:color w:val="000000"/>
          <w:sz w:val="32"/>
          <w:szCs w:val="32"/>
        </w:rPr>
        <w:t xml:space="preserve">5180.74 </w:t>
      </w:r>
      <w:r>
        <w:rPr>
          <w:rFonts w:ascii="仿宋_GB2312" w:eastAsia="仿宋_GB2312" w:hAnsi="仿宋" w:cs="仿宋" w:hint="eastAsia"/>
          <w:color w:val="000000"/>
          <w:sz w:val="32"/>
          <w:szCs w:val="32"/>
        </w:rPr>
        <w:t>万元，增加</w:t>
      </w:r>
      <w:r>
        <w:rPr>
          <w:rFonts w:ascii="仿宋_GB2312" w:eastAsia="仿宋_GB2312" w:hAnsi="仿宋" w:cs="仿宋" w:hint="eastAsia"/>
          <w:color w:val="000000"/>
          <w:sz w:val="32"/>
          <w:szCs w:val="32"/>
        </w:rPr>
        <w:t>39.09%</w:t>
      </w:r>
      <w:r>
        <w:rPr>
          <w:rFonts w:ascii="仿宋_GB2312" w:eastAsia="仿宋_GB2312" w:hAnsi="仿宋" w:cs="仿宋" w:hint="eastAsia"/>
          <w:color w:val="000000"/>
          <w:sz w:val="32"/>
          <w:szCs w:val="32"/>
        </w:rPr>
        <w:t>，主要有医院存在医疗收入和利息收</w:t>
      </w:r>
      <w:r>
        <w:rPr>
          <w:rFonts w:ascii="仿宋_GB2312" w:eastAsia="仿宋_GB2312" w:hAnsi="仿宋" w:cs="仿宋" w:hint="eastAsia"/>
          <w:color w:val="000000"/>
          <w:sz w:val="32"/>
          <w:szCs w:val="32"/>
        </w:rPr>
        <w:t>入，水利局河砂保证金、水费，交通局工程质保金，单位以前年度工会经费、自然规划局土地复垦押金等。因此本年度货币资金增加；</w:t>
      </w:r>
    </w:p>
    <w:p w14:paraId="3EFF8027" w14:textId="77777777" w:rsidR="00000000" w:rsidRDefault="00763D17">
      <w:pPr>
        <w:adjustRightInd w:val="0"/>
        <w:snapToGrid w:val="0"/>
        <w:spacing w:line="580" w:lineRule="exact"/>
        <w:ind w:firstLineChars="200" w:firstLine="640"/>
        <w:rPr>
          <w:rFonts w:ascii="仿宋_GB2312" w:eastAsia="仿宋_GB2312" w:hAnsi="仿宋" w:cs="仿宋" w:hint="eastAsia"/>
          <w:color w:val="000000"/>
          <w:sz w:val="32"/>
          <w:szCs w:val="32"/>
        </w:rPr>
      </w:pPr>
      <w:r>
        <w:rPr>
          <w:rFonts w:ascii="仿宋_GB2312" w:eastAsia="仿宋_GB2312" w:hAnsi="仿宋" w:cs="仿宋" w:hint="eastAsia"/>
          <w:color w:val="000000"/>
          <w:sz w:val="32"/>
          <w:szCs w:val="32"/>
        </w:rPr>
        <w:t>本年年末财政应返还额度</w:t>
      </w:r>
      <w:r>
        <w:rPr>
          <w:rFonts w:ascii="仿宋_GB2312" w:eastAsia="仿宋_GB2312" w:hAnsi="仿宋" w:cs="仿宋" w:hint="eastAsia"/>
          <w:color w:val="000000"/>
          <w:sz w:val="32"/>
          <w:szCs w:val="32"/>
        </w:rPr>
        <w:t>0</w:t>
      </w:r>
      <w:r>
        <w:rPr>
          <w:rFonts w:ascii="仿宋_GB2312" w:eastAsia="仿宋_GB2312" w:hAnsi="仿宋" w:cs="仿宋" w:hint="eastAsia"/>
          <w:color w:val="000000"/>
          <w:sz w:val="32"/>
          <w:szCs w:val="32"/>
        </w:rPr>
        <w:t>万元，较上</w:t>
      </w:r>
      <w:r>
        <w:rPr>
          <w:rFonts w:ascii="仿宋_GB2312" w:eastAsia="仿宋_GB2312" w:hAnsi="仿宋" w:cs="仿宋" w:hint="eastAsia"/>
          <w:color w:val="000000"/>
          <w:sz w:val="32"/>
          <w:szCs w:val="32"/>
        </w:rPr>
        <w:t>年</w:t>
      </w:r>
      <w:r>
        <w:rPr>
          <w:rFonts w:ascii="仿宋_GB2312" w:eastAsia="仿宋_GB2312" w:hAnsi="仿宋" w:cs="仿宋" w:hint="eastAsia"/>
          <w:color w:val="000000"/>
          <w:sz w:val="32"/>
          <w:szCs w:val="32"/>
        </w:rPr>
        <w:t>0</w:t>
      </w:r>
      <w:r>
        <w:rPr>
          <w:rFonts w:ascii="仿宋_GB2312" w:eastAsia="仿宋_GB2312" w:hAnsi="仿宋" w:cs="仿宋" w:hint="eastAsia"/>
          <w:color w:val="000000"/>
          <w:sz w:val="32"/>
          <w:szCs w:val="32"/>
        </w:rPr>
        <w:t>万元，增加（减少）</w:t>
      </w:r>
      <w:r>
        <w:rPr>
          <w:rFonts w:ascii="仿宋_GB2312" w:eastAsia="仿宋_GB2312" w:hAnsi="仿宋" w:cs="仿宋" w:hint="eastAsia"/>
          <w:color w:val="000000"/>
          <w:sz w:val="32"/>
          <w:szCs w:val="32"/>
        </w:rPr>
        <w:t xml:space="preserve">0 </w:t>
      </w:r>
      <w:r>
        <w:rPr>
          <w:rFonts w:ascii="仿宋_GB2312" w:eastAsia="仿宋_GB2312" w:hAnsi="仿宋" w:cs="仿宋" w:hint="eastAsia"/>
          <w:color w:val="000000"/>
          <w:sz w:val="32"/>
          <w:szCs w:val="32"/>
        </w:rPr>
        <w:t>万元，增长</w:t>
      </w:r>
      <w:r>
        <w:rPr>
          <w:rFonts w:ascii="仿宋_GB2312" w:eastAsia="仿宋_GB2312" w:hAnsi="仿宋" w:cs="仿宋" w:hint="eastAsia"/>
          <w:color w:val="000000"/>
          <w:sz w:val="32"/>
          <w:szCs w:val="32"/>
        </w:rPr>
        <w:t>0%</w:t>
      </w:r>
      <w:r>
        <w:rPr>
          <w:rFonts w:ascii="仿宋_GB2312" w:eastAsia="仿宋_GB2312" w:hAnsi="仿宋" w:cs="仿宋" w:hint="eastAsia"/>
          <w:color w:val="000000"/>
          <w:sz w:val="32"/>
          <w:szCs w:val="32"/>
        </w:rPr>
        <w:t>，主要原因是无；</w:t>
      </w:r>
    </w:p>
    <w:p w14:paraId="6AE430E1" w14:textId="77777777" w:rsidR="00000000" w:rsidRDefault="00763D17">
      <w:pPr>
        <w:adjustRightInd w:val="0"/>
        <w:snapToGrid w:val="0"/>
        <w:spacing w:line="580" w:lineRule="exact"/>
        <w:ind w:firstLineChars="200" w:firstLine="640"/>
        <w:rPr>
          <w:rFonts w:ascii="仿宋_GB2312" w:eastAsia="仿宋_GB2312" w:hAnsi="仿宋" w:cs="仿宋" w:hint="eastAsia"/>
          <w:color w:val="000000"/>
          <w:sz w:val="32"/>
          <w:szCs w:val="32"/>
        </w:rPr>
      </w:pPr>
      <w:r>
        <w:rPr>
          <w:rFonts w:ascii="仿宋_GB2312" w:eastAsia="仿宋_GB2312" w:hAnsi="仿宋" w:cs="仿宋" w:hint="eastAsia"/>
          <w:color w:val="000000"/>
          <w:sz w:val="32"/>
          <w:szCs w:val="32"/>
        </w:rPr>
        <w:t>本年年末房屋</w:t>
      </w:r>
      <w:r>
        <w:rPr>
          <w:rFonts w:ascii="仿宋_GB2312" w:eastAsia="仿宋_GB2312" w:hAnsi="仿宋" w:cs="仿宋" w:hint="eastAsia"/>
          <w:color w:val="000000"/>
          <w:sz w:val="32"/>
          <w:szCs w:val="32"/>
        </w:rPr>
        <w:t>248289.39</w:t>
      </w:r>
      <w:r>
        <w:rPr>
          <w:rFonts w:ascii="仿宋_GB2312" w:eastAsia="仿宋_GB2312" w:hAnsi="仿宋" w:cs="仿宋" w:hint="eastAsia"/>
          <w:color w:val="000000"/>
          <w:sz w:val="32"/>
          <w:szCs w:val="32"/>
        </w:rPr>
        <w:t>万元，</w:t>
      </w:r>
      <w:r>
        <w:rPr>
          <w:rFonts w:ascii="仿宋_GB2312" w:eastAsia="仿宋_GB2312" w:hAnsi="仿宋" w:cs="仿宋" w:hint="eastAsia"/>
          <w:color w:val="000000"/>
          <w:sz w:val="32"/>
          <w:szCs w:val="32"/>
        </w:rPr>
        <w:t>较上年</w:t>
      </w:r>
      <w:r>
        <w:rPr>
          <w:rFonts w:ascii="仿宋_GB2312" w:eastAsia="仿宋_GB2312" w:hAnsi="仿宋" w:cs="仿宋" w:hint="eastAsia"/>
          <w:color w:val="000000"/>
          <w:sz w:val="32"/>
          <w:szCs w:val="32"/>
        </w:rPr>
        <w:t>177685.90</w:t>
      </w:r>
      <w:r>
        <w:rPr>
          <w:rFonts w:ascii="仿宋_GB2312" w:eastAsia="仿宋_GB2312" w:hAnsi="仿宋" w:cs="仿宋" w:hint="eastAsia"/>
          <w:color w:val="000000"/>
          <w:sz w:val="32"/>
          <w:szCs w:val="32"/>
        </w:rPr>
        <w:t>元，减少</w:t>
      </w:r>
      <w:r>
        <w:rPr>
          <w:rFonts w:ascii="仿宋_GB2312" w:eastAsia="仿宋_GB2312" w:hAnsi="仿宋" w:cs="仿宋" w:hint="eastAsia"/>
          <w:color w:val="000000"/>
          <w:sz w:val="32"/>
          <w:szCs w:val="32"/>
        </w:rPr>
        <w:t>70603.50</w:t>
      </w:r>
      <w:r>
        <w:rPr>
          <w:rFonts w:ascii="仿宋_GB2312" w:eastAsia="仿宋_GB2312" w:hAnsi="仿宋" w:cs="仿宋" w:hint="eastAsia"/>
          <w:color w:val="000000"/>
          <w:sz w:val="32"/>
          <w:szCs w:val="32"/>
        </w:rPr>
        <w:t>万元，增加</w:t>
      </w:r>
      <w:r>
        <w:rPr>
          <w:rFonts w:ascii="仿宋_GB2312" w:eastAsia="仿宋_GB2312" w:hAnsi="仿宋" w:cs="仿宋" w:hint="eastAsia"/>
          <w:color w:val="000000"/>
          <w:sz w:val="32"/>
          <w:szCs w:val="32"/>
        </w:rPr>
        <w:t>39.74%</w:t>
      </w:r>
      <w:r>
        <w:rPr>
          <w:rFonts w:ascii="仿宋_GB2312" w:eastAsia="仿宋_GB2312" w:hAnsi="仿宋" w:cs="仿宋" w:hint="eastAsia"/>
          <w:color w:val="000000"/>
          <w:sz w:val="32"/>
          <w:szCs w:val="32"/>
        </w:rPr>
        <w:t>，主要原因是以前年度在建工资转固定资产，故本年房屋比上年房屋增</w:t>
      </w:r>
      <w:r>
        <w:rPr>
          <w:rFonts w:ascii="仿宋_GB2312" w:eastAsia="仿宋_GB2312" w:hAnsi="仿宋" w:cs="仿宋" w:hint="eastAsia"/>
          <w:color w:val="000000"/>
          <w:sz w:val="32"/>
          <w:szCs w:val="32"/>
        </w:rPr>
        <w:t>加；</w:t>
      </w:r>
    </w:p>
    <w:p w14:paraId="4F342A56" w14:textId="77777777" w:rsidR="00000000" w:rsidRDefault="00763D17">
      <w:pPr>
        <w:adjustRightInd w:val="0"/>
        <w:snapToGrid w:val="0"/>
        <w:spacing w:line="580" w:lineRule="exact"/>
        <w:ind w:firstLineChars="200" w:firstLine="640"/>
        <w:rPr>
          <w:rFonts w:ascii="仿宋_GB2312" w:eastAsia="仿宋_GB2312" w:hAnsi="仿宋" w:cs="仿宋" w:hint="eastAsia"/>
          <w:color w:val="000000"/>
          <w:sz w:val="32"/>
          <w:szCs w:val="32"/>
        </w:rPr>
      </w:pPr>
      <w:r>
        <w:rPr>
          <w:rFonts w:ascii="仿宋_GB2312" w:eastAsia="仿宋_GB2312" w:hAnsi="仿宋" w:cs="仿宋" w:hint="eastAsia"/>
          <w:color w:val="000000"/>
          <w:sz w:val="32"/>
          <w:szCs w:val="32"/>
        </w:rPr>
        <w:t>本年年末车辆</w:t>
      </w:r>
      <w:r>
        <w:rPr>
          <w:rFonts w:ascii="仿宋_GB2312" w:eastAsia="仿宋_GB2312" w:hAnsi="仿宋" w:cs="仿宋" w:hint="eastAsia"/>
          <w:color w:val="000000"/>
          <w:sz w:val="32"/>
          <w:szCs w:val="32"/>
        </w:rPr>
        <w:t>15144.65</w:t>
      </w:r>
      <w:r>
        <w:rPr>
          <w:rFonts w:ascii="仿宋_GB2312" w:eastAsia="仿宋_GB2312" w:hAnsi="仿宋" w:cs="仿宋" w:hint="eastAsia"/>
          <w:color w:val="000000"/>
          <w:sz w:val="32"/>
          <w:szCs w:val="32"/>
        </w:rPr>
        <w:t>万元，较上年</w:t>
      </w:r>
      <w:r>
        <w:rPr>
          <w:rFonts w:ascii="仿宋_GB2312" w:eastAsia="仿宋_GB2312" w:hAnsi="仿宋" w:cs="仿宋" w:hint="eastAsia"/>
          <w:color w:val="000000"/>
          <w:sz w:val="32"/>
          <w:szCs w:val="32"/>
        </w:rPr>
        <w:t>14684.71</w:t>
      </w:r>
      <w:r>
        <w:rPr>
          <w:rFonts w:ascii="仿宋_GB2312" w:eastAsia="仿宋_GB2312" w:hAnsi="仿宋" w:cs="仿宋" w:hint="eastAsia"/>
          <w:color w:val="000000"/>
          <w:sz w:val="32"/>
          <w:szCs w:val="32"/>
        </w:rPr>
        <w:t>万元，增加</w:t>
      </w:r>
      <w:r>
        <w:rPr>
          <w:rFonts w:ascii="仿宋_GB2312" w:eastAsia="仿宋_GB2312" w:hAnsi="仿宋" w:cs="仿宋" w:hint="eastAsia"/>
          <w:color w:val="000000"/>
          <w:sz w:val="32"/>
          <w:szCs w:val="32"/>
        </w:rPr>
        <w:t>459.94</w:t>
      </w:r>
      <w:r>
        <w:rPr>
          <w:rFonts w:ascii="仿宋_GB2312" w:eastAsia="仿宋_GB2312" w:hAnsi="仿宋" w:cs="仿宋" w:hint="eastAsia"/>
          <w:color w:val="000000"/>
          <w:sz w:val="32"/>
          <w:szCs w:val="32"/>
        </w:rPr>
        <w:t>万元，减少</w:t>
      </w:r>
      <w:r>
        <w:rPr>
          <w:rFonts w:ascii="仿宋_GB2312" w:eastAsia="仿宋_GB2312" w:hAnsi="仿宋" w:cs="仿宋" w:hint="eastAsia"/>
          <w:color w:val="000000"/>
          <w:sz w:val="32"/>
          <w:szCs w:val="32"/>
        </w:rPr>
        <w:t>1.62%</w:t>
      </w:r>
      <w:r>
        <w:rPr>
          <w:rFonts w:ascii="仿宋_GB2312" w:eastAsia="仿宋_GB2312" w:hAnsi="仿宋" w:cs="仿宋" w:hint="eastAsia"/>
          <w:color w:val="000000"/>
          <w:sz w:val="32"/>
          <w:szCs w:val="32"/>
        </w:rPr>
        <w:t>，主要原因有师公安报废车辆、</w:t>
      </w:r>
      <w:r>
        <w:rPr>
          <w:rFonts w:ascii="仿宋_GB2312" w:eastAsia="仿宋_GB2312" w:hAnsi="仿宋" w:cs="仿宋" w:hint="eastAsia"/>
          <w:color w:val="000000"/>
          <w:sz w:val="32"/>
          <w:szCs w:val="32"/>
        </w:rPr>
        <w:t>民政局车辆调拨国资公司，团场车辆报废。</w:t>
      </w:r>
    </w:p>
    <w:p w14:paraId="1F491629" w14:textId="77777777" w:rsidR="00000000" w:rsidRDefault="00763D17">
      <w:pPr>
        <w:adjustRightInd w:val="0"/>
        <w:snapToGrid w:val="0"/>
        <w:spacing w:line="580" w:lineRule="exact"/>
        <w:ind w:firstLineChars="200" w:firstLine="640"/>
      </w:pPr>
      <w:r>
        <w:rPr>
          <w:rFonts w:ascii="仿宋_GB2312" w:eastAsia="仿宋_GB2312" w:hAnsi="仿宋" w:cs="仿宋" w:hint="eastAsia"/>
          <w:color w:val="000000"/>
          <w:sz w:val="32"/>
          <w:szCs w:val="32"/>
        </w:rPr>
        <w:t>本年末在建工程</w:t>
      </w:r>
      <w:r>
        <w:rPr>
          <w:rFonts w:ascii="仿宋_GB2312" w:eastAsia="仿宋_GB2312" w:hAnsi="仿宋" w:cs="仿宋" w:hint="eastAsia"/>
          <w:color w:val="000000"/>
          <w:sz w:val="32"/>
          <w:szCs w:val="32"/>
        </w:rPr>
        <w:t>319657.79</w:t>
      </w:r>
      <w:r>
        <w:rPr>
          <w:rFonts w:ascii="仿宋_GB2312" w:eastAsia="仿宋_GB2312" w:hAnsi="仿宋" w:cs="仿宋" w:hint="eastAsia"/>
          <w:color w:val="000000"/>
          <w:sz w:val="32"/>
          <w:szCs w:val="32"/>
        </w:rPr>
        <w:t>万元，较上年</w:t>
      </w:r>
      <w:r>
        <w:rPr>
          <w:rFonts w:ascii="仿宋_GB2312" w:eastAsia="仿宋_GB2312" w:hAnsi="仿宋" w:cs="仿宋" w:hint="eastAsia"/>
          <w:color w:val="000000"/>
          <w:sz w:val="32"/>
          <w:szCs w:val="32"/>
        </w:rPr>
        <w:t>309902.37</w:t>
      </w:r>
      <w:r>
        <w:rPr>
          <w:rFonts w:ascii="仿宋_GB2312" w:eastAsia="仿宋_GB2312" w:hAnsi="仿宋" w:cs="仿宋" w:hint="eastAsia"/>
          <w:color w:val="000000"/>
          <w:sz w:val="32"/>
          <w:szCs w:val="32"/>
        </w:rPr>
        <w:t>万元，增加</w:t>
      </w:r>
      <w:r>
        <w:rPr>
          <w:rFonts w:ascii="仿宋_GB2312" w:eastAsia="仿宋_GB2312" w:hAnsi="仿宋" w:cs="仿宋" w:hint="eastAsia"/>
          <w:color w:val="000000"/>
          <w:sz w:val="32"/>
          <w:szCs w:val="32"/>
        </w:rPr>
        <w:t>9755.42</w:t>
      </w:r>
      <w:r>
        <w:rPr>
          <w:rFonts w:ascii="仿宋_GB2312" w:eastAsia="仿宋_GB2312" w:hAnsi="仿宋" w:cs="仿宋" w:hint="eastAsia"/>
          <w:color w:val="000000"/>
          <w:sz w:val="32"/>
          <w:szCs w:val="32"/>
        </w:rPr>
        <w:t>万元，增长</w:t>
      </w:r>
      <w:r>
        <w:rPr>
          <w:rFonts w:ascii="仿宋_GB2312" w:eastAsia="仿宋_GB2312" w:hAnsi="仿宋" w:cs="仿宋" w:hint="eastAsia"/>
          <w:color w:val="000000"/>
          <w:sz w:val="32"/>
          <w:szCs w:val="32"/>
        </w:rPr>
        <w:t>68.41%</w:t>
      </w:r>
      <w:r>
        <w:rPr>
          <w:rFonts w:ascii="仿宋_GB2312" w:eastAsia="仿宋_GB2312" w:hAnsi="仿宋" w:cs="仿宋" w:hint="eastAsia"/>
          <w:color w:val="000000"/>
          <w:sz w:val="32"/>
          <w:szCs w:val="32"/>
        </w:rPr>
        <w:t>，主要原因是</w:t>
      </w:r>
      <w:r>
        <w:rPr>
          <w:rFonts w:ascii="仿宋_GB2312" w:eastAsia="仿宋_GB2312" w:hAnsi="仿宋" w:cs="仿宋" w:hint="eastAsia"/>
          <w:color w:val="000000"/>
          <w:sz w:val="32"/>
          <w:szCs w:val="32"/>
        </w:rPr>
        <w:t>基础设施项目未完工，边防预警监测系统、边防巡逻路项目、边境执勤房等建设项目未完工，本年度安排中央重大项目（</w:t>
      </w:r>
      <w:r>
        <w:rPr>
          <w:rFonts w:ascii="仿宋_GB2312" w:eastAsia="仿宋_GB2312" w:hAnsi="仿宋" w:cs="仿宋" w:hint="eastAsia"/>
          <w:color w:val="000000"/>
          <w:sz w:val="32"/>
          <w:szCs w:val="32"/>
        </w:rPr>
        <w:t>2022</w:t>
      </w:r>
      <w:r>
        <w:rPr>
          <w:rFonts w:ascii="仿宋_GB2312" w:eastAsia="仿宋_GB2312" w:hAnsi="仿宋" w:cs="仿宋" w:hint="eastAsia"/>
          <w:color w:val="000000"/>
          <w:sz w:val="32"/>
          <w:szCs w:val="32"/>
        </w:rPr>
        <w:t>年车辆购置税收入补助地方第九师白杨市</w:t>
      </w:r>
      <w:r>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乌拉斯公路建设项目、第九师国土绿化试点示范项目</w:t>
      </w:r>
      <w:r>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中央财政补助</w:t>
      </w:r>
      <w:r>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兵财建</w:t>
      </w:r>
      <w:r>
        <w:rPr>
          <w:rFonts w:ascii="仿宋_GB2312" w:eastAsia="仿宋_GB2312" w:hAnsi="仿宋" w:cs="仿宋" w:hint="eastAsia"/>
          <w:color w:val="000000"/>
          <w:sz w:val="32"/>
          <w:szCs w:val="32"/>
        </w:rPr>
        <w:t>[2022]37</w:t>
      </w:r>
      <w:r>
        <w:rPr>
          <w:rFonts w:ascii="仿宋_GB2312" w:eastAsia="仿宋_GB2312" w:hAnsi="仿宋" w:cs="仿宋" w:hint="eastAsia"/>
          <w:color w:val="000000"/>
          <w:sz w:val="32"/>
          <w:szCs w:val="32"/>
        </w:rPr>
        <w:t>号、</w:t>
      </w:r>
      <w:r>
        <w:rPr>
          <w:rFonts w:ascii="仿宋_GB2312" w:eastAsia="仿宋_GB2312" w:hAnsi="仿宋" w:cs="仿宋" w:hint="eastAsia"/>
          <w:color w:val="000000"/>
          <w:sz w:val="32"/>
          <w:szCs w:val="32"/>
        </w:rPr>
        <w:t>2022</w:t>
      </w:r>
      <w:r>
        <w:rPr>
          <w:rFonts w:ascii="仿宋_GB2312" w:eastAsia="仿宋_GB2312" w:hAnsi="仿宋" w:cs="仿宋" w:hint="eastAsia"/>
          <w:color w:val="000000"/>
          <w:sz w:val="32"/>
          <w:szCs w:val="32"/>
        </w:rPr>
        <w:t>年车辆购置税收入补助地方资金第九师吉兰德</w:t>
      </w:r>
      <w:r>
        <w:rPr>
          <w:rFonts w:ascii="仿宋_GB2312" w:eastAsia="仿宋_GB2312" w:hAnsi="仿宋" w:cs="仿宋" w:hint="eastAsia"/>
          <w:color w:val="000000"/>
          <w:sz w:val="32"/>
          <w:szCs w:val="32"/>
        </w:rPr>
        <w:t>-161</w:t>
      </w:r>
      <w:r>
        <w:rPr>
          <w:rFonts w:ascii="仿宋_GB2312" w:eastAsia="仿宋_GB2312" w:hAnsi="仿宋" w:cs="仿宋" w:hint="eastAsia"/>
          <w:color w:val="000000"/>
          <w:sz w:val="32"/>
          <w:szCs w:val="32"/>
        </w:rPr>
        <w:t>团二营公路建设项目、第九师</w:t>
      </w:r>
      <w:r>
        <w:rPr>
          <w:rFonts w:ascii="仿宋_GB2312" w:eastAsia="仿宋_GB2312" w:hAnsi="仿宋" w:cs="仿宋" w:hint="eastAsia"/>
          <w:color w:val="000000"/>
          <w:sz w:val="32"/>
          <w:szCs w:val="32"/>
        </w:rPr>
        <w:t>163</w:t>
      </w:r>
      <w:r>
        <w:rPr>
          <w:rFonts w:ascii="仿宋_GB2312" w:eastAsia="仿宋_GB2312" w:hAnsi="仿宋" w:cs="仿宋" w:hint="eastAsia"/>
          <w:color w:val="000000"/>
          <w:sz w:val="32"/>
          <w:szCs w:val="32"/>
        </w:rPr>
        <w:t>团新城区（拟设白杨市）市</w:t>
      </w:r>
      <w:r>
        <w:rPr>
          <w:rFonts w:ascii="仿宋_GB2312" w:eastAsia="仿宋_GB2312" w:hAnsi="仿宋" w:cs="仿宋" w:hint="eastAsia"/>
          <w:color w:val="000000"/>
          <w:sz w:val="32"/>
          <w:szCs w:val="32"/>
        </w:rPr>
        <w:t>政基础设施</w:t>
      </w:r>
      <w:r>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塔巴公路段管网建设项目）。</w:t>
      </w:r>
    </w:p>
    <w:p w14:paraId="51E3F278" w14:textId="1A09A5F6" w:rsidR="00000000" w:rsidRDefault="00B852E1">
      <w:pPr>
        <w:snapToGrid w:val="0"/>
        <w:rPr>
          <w:rFonts w:ascii="仿宋_GB2312" w:eastAsia="仿宋_GB2312" w:hAnsi="仿宋"/>
          <w:sz w:val="32"/>
          <w:szCs w:val="32"/>
        </w:rPr>
      </w:pPr>
      <w:r>
        <w:rPr>
          <w:noProof/>
        </w:rPr>
        <w:drawing>
          <wp:inline distT="0" distB="0" distL="0" distR="0" wp14:anchorId="59590813" wp14:editId="73E101A9">
            <wp:extent cx="6433820" cy="2896870"/>
            <wp:effectExtent l="0" t="0" r="0" b="0"/>
            <wp:docPr id="1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D9BBB0"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（二）机构人员情况。</w:t>
      </w:r>
    </w:p>
    <w:p w14:paraId="2C021D77"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1.</w:t>
      </w:r>
      <w:r>
        <w:rPr>
          <w:rFonts w:ascii="楷体_GB2312" w:eastAsia="楷体_GB2312" w:hAnsi="楷体_GB2312" w:cs="楷体_GB2312" w:hint="eastAsia"/>
          <w:b/>
          <w:bCs/>
          <w:sz w:val="32"/>
          <w:szCs w:val="32"/>
        </w:rPr>
        <w:t>机构基本情况</w:t>
      </w:r>
    </w:p>
    <w:p w14:paraId="68311F7E" w14:textId="77777777" w:rsidR="00000000" w:rsidRDefault="00763D17">
      <w:pPr>
        <w:adjustRightInd w:val="0"/>
        <w:snapToGrid w:val="0"/>
        <w:spacing w:line="58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202</w:t>
      </w:r>
      <w:r>
        <w:rPr>
          <w:rFonts w:ascii="仿宋_GB2312" w:eastAsia="仿宋_GB2312" w:hAnsi="仿宋" w:cs="仿宋" w:hint="eastAsia"/>
          <w:sz w:val="32"/>
          <w:szCs w:val="32"/>
        </w:rPr>
        <w:t>3</w:t>
      </w:r>
      <w:r>
        <w:rPr>
          <w:rFonts w:ascii="仿宋_GB2312" w:eastAsia="仿宋_GB2312" w:hAnsi="仿宋" w:cs="仿宋" w:hint="eastAsia"/>
          <w:sz w:val="32"/>
          <w:szCs w:val="32"/>
        </w:rPr>
        <w:t>年，本年</w:t>
      </w:r>
      <w:r>
        <w:rPr>
          <w:rFonts w:ascii="仿宋_GB2312" w:eastAsia="仿宋_GB2312" w:hAnsi="仿宋" w:cs="仿宋" w:hint="eastAsia"/>
          <w:sz w:val="32"/>
          <w:szCs w:val="32"/>
        </w:rPr>
        <w:t>度独立编制（核算）机构</w:t>
      </w:r>
      <w:r>
        <w:rPr>
          <w:rFonts w:ascii="仿宋_GB2312" w:eastAsia="仿宋_GB2312" w:hAnsi="仿宋" w:cs="仿宋" w:hint="eastAsia"/>
          <w:sz w:val="32"/>
          <w:szCs w:val="32"/>
        </w:rPr>
        <w:t>共</w:t>
      </w:r>
      <w:r>
        <w:rPr>
          <w:rFonts w:ascii="仿宋_GB2312" w:eastAsia="仿宋_GB2312" w:hAnsi="仿宋" w:cs="仿宋" w:hint="eastAsia"/>
          <w:sz w:val="32"/>
          <w:szCs w:val="32"/>
        </w:rPr>
        <w:t>235</w:t>
      </w:r>
      <w:r>
        <w:rPr>
          <w:rFonts w:ascii="仿宋_GB2312" w:eastAsia="仿宋_GB2312" w:hAnsi="仿宋" w:cs="仿宋" w:hint="eastAsia"/>
          <w:sz w:val="32"/>
          <w:szCs w:val="32"/>
        </w:rPr>
        <w:t>个，较上年</w:t>
      </w:r>
      <w:r>
        <w:rPr>
          <w:rFonts w:ascii="仿宋_GB2312" w:eastAsia="仿宋_GB2312" w:hAnsi="仿宋" w:cs="仿宋" w:hint="eastAsia"/>
          <w:sz w:val="32"/>
          <w:szCs w:val="32"/>
        </w:rPr>
        <w:t>233</w:t>
      </w:r>
      <w:r>
        <w:rPr>
          <w:rFonts w:ascii="仿宋_GB2312" w:eastAsia="仿宋_GB2312" w:hAnsi="仿宋" w:cs="仿宋" w:hint="eastAsia"/>
          <w:sz w:val="32"/>
          <w:szCs w:val="32"/>
        </w:rPr>
        <w:t>个，</w:t>
      </w:r>
      <w:r>
        <w:rPr>
          <w:rFonts w:ascii="仿宋_GB2312" w:eastAsia="仿宋_GB2312" w:hAnsi="仿宋" w:cs="仿宋" w:hint="eastAsia"/>
          <w:sz w:val="32"/>
          <w:szCs w:val="32"/>
        </w:rPr>
        <w:t>净增</w:t>
      </w:r>
      <w:r>
        <w:rPr>
          <w:rFonts w:ascii="仿宋_GB2312" w:eastAsia="仿宋_GB2312" w:hAnsi="仿宋" w:cs="仿宋" w:hint="eastAsia"/>
          <w:sz w:val="32"/>
          <w:szCs w:val="32"/>
        </w:rPr>
        <w:t>2</w:t>
      </w:r>
      <w:r>
        <w:rPr>
          <w:rFonts w:ascii="仿宋_GB2312" w:eastAsia="仿宋_GB2312" w:hAnsi="仿宋" w:cs="仿宋" w:hint="eastAsia"/>
          <w:sz w:val="32"/>
          <w:szCs w:val="32"/>
        </w:rPr>
        <w:t>个，</w:t>
      </w:r>
      <w:r>
        <w:rPr>
          <w:rFonts w:ascii="仿宋_GB2312" w:eastAsia="仿宋_GB2312" w:hAnsi="仿宋" w:cs="仿宋" w:hint="eastAsia"/>
          <w:sz w:val="32"/>
          <w:szCs w:val="32"/>
        </w:rPr>
        <w:t>增幅</w:t>
      </w:r>
      <w:r>
        <w:rPr>
          <w:rFonts w:ascii="仿宋_GB2312" w:eastAsia="仿宋_GB2312" w:hAnsi="仿宋" w:cs="仿宋" w:hint="eastAsia"/>
          <w:sz w:val="32"/>
          <w:szCs w:val="32"/>
        </w:rPr>
        <w:t>0.01</w:t>
      </w:r>
      <w:r>
        <w:rPr>
          <w:rFonts w:ascii="仿宋_GB2312" w:eastAsia="仿宋_GB2312" w:hAnsi="仿宋" w:cs="仿宋" w:hint="eastAsia"/>
          <w:sz w:val="32"/>
          <w:szCs w:val="32"/>
        </w:rPr>
        <w:t>%</w:t>
      </w:r>
      <w:r>
        <w:rPr>
          <w:rFonts w:ascii="仿宋_GB2312" w:eastAsia="仿宋_GB2312" w:hAnsi="仿宋" w:cs="仿宋" w:hint="eastAsia"/>
          <w:sz w:val="32"/>
          <w:szCs w:val="32"/>
        </w:rPr>
        <w:t>；</w:t>
      </w:r>
      <w:r>
        <w:rPr>
          <w:rFonts w:ascii="仿宋_GB2312" w:eastAsia="仿宋_GB2312" w:hAnsi="仿宋" w:cs="仿宋" w:hint="eastAsia"/>
          <w:sz w:val="32"/>
          <w:szCs w:val="32"/>
        </w:rPr>
        <w:t>2023</w:t>
      </w:r>
      <w:r>
        <w:rPr>
          <w:rFonts w:ascii="仿宋_GB2312" w:eastAsia="仿宋_GB2312" w:hAnsi="仿宋" w:cs="仿宋" w:hint="eastAsia"/>
          <w:sz w:val="32"/>
          <w:szCs w:val="32"/>
        </w:rPr>
        <w:t>年</w:t>
      </w:r>
      <w:r>
        <w:rPr>
          <w:rFonts w:ascii="仿宋_GB2312" w:eastAsia="仿宋_GB2312" w:hAnsi="仿宋" w:cs="仿宋" w:hint="eastAsia"/>
          <w:sz w:val="32"/>
          <w:szCs w:val="32"/>
        </w:rPr>
        <w:t>根据机构改革需要</w:t>
      </w:r>
      <w:r>
        <w:rPr>
          <w:rFonts w:ascii="仿宋_GB2312" w:eastAsia="仿宋_GB2312" w:hAnsi="仿宋" w:cs="仿宋" w:hint="eastAsia"/>
          <w:sz w:val="32"/>
          <w:szCs w:val="32"/>
        </w:rPr>
        <w:t>新增</w:t>
      </w:r>
      <w:r>
        <w:rPr>
          <w:rFonts w:ascii="仿宋_GB2312" w:eastAsia="仿宋_GB2312" w:hAnsi="仿宋" w:cs="仿宋" w:hint="eastAsia"/>
          <w:sz w:val="32"/>
          <w:szCs w:val="32"/>
        </w:rPr>
        <w:t>独立编制（核算）机构</w:t>
      </w:r>
      <w:r>
        <w:rPr>
          <w:rFonts w:ascii="仿宋_GB2312" w:eastAsia="仿宋_GB2312" w:hAnsi="仿宋" w:cs="仿宋" w:hint="eastAsia"/>
          <w:sz w:val="32"/>
          <w:szCs w:val="32"/>
        </w:rPr>
        <w:t>2</w:t>
      </w:r>
      <w:r>
        <w:rPr>
          <w:rFonts w:ascii="仿宋_GB2312" w:eastAsia="仿宋_GB2312" w:hAnsi="仿宋" w:cs="仿宋" w:hint="eastAsia"/>
          <w:sz w:val="32"/>
          <w:szCs w:val="32"/>
        </w:rPr>
        <w:t>个</w:t>
      </w:r>
      <w:r>
        <w:rPr>
          <w:rFonts w:ascii="仿宋_GB2312" w:eastAsia="仿宋_GB2312" w:hAnsi="仿宋" w:cs="仿宋" w:hint="eastAsia"/>
          <w:sz w:val="32"/>
          <w:szCs w:val="32"/>
        </w:rPr>
        <w:t>，</w:t>
      </w:r>
      <w:r>
        <w:rPr>
          <w:rFonts w:ascii="仿宋_GB2312" w:eastAsia="仿宋_GB2312" w:hAnsi="仿宋" w:cs="仿宋" w:hint="eastAsia"/>
          <w:sz w:val="32"/>
          <w:szCs w:val="32"/>
        </w:rPr>
        <w:t>主要</w:t>
      </w:r>
      <w:r>
        <w:rPr>
          <w:rFonts w:ascii="仿宋_GB2312" w:eastAsia="仿宋_GB2312" w:hAnsi="仿宋" w:cs="仿宋" w:hint="eastAsia"/>
          <w:sz w:val="32"/>
          <w:szCs w:val="32"/>
        </w:rPr>
        <w:t>有新疆兵团第九师档案馆和新疆兵团第九师计划生育协会。</w:t>
      </w:r>
    </w:p>
    <w:p w14:paraId="3F9206A1"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2.</w:t>
      </w:r>
      <w:r>
        <w:rPr>
          <w:rFonts w:ascii="楷体_GB2312" w:eastAsia="楷体_GB2312" w:hAnsi="楷体_GB2312" w:cs="楷体_GB2312" w:hint="eastAsia"/>
          <w:b/>
          <w:bCs/>
          <w:sz w:val="32"/>
          <w:szCs w:val="32"/>
        </w:rPr>
        <w:t>实有人数情况</w:t>
      </w:r>
    </w:p>
    <w:p w14:paraId="601530DE" w14:textId="77777777" w:rsidR="00000000" w:rsidRDefault="00763D17">
      <w:pPr>
        <w:spacing w:line="600" w:lineRule="exact"/>
        <w:ind w:firstLineChars="200" w:firstLine="640"/>
        <w:rPr>
          <w:rFonts w:eastAsia="黑体"/>
          <w:sz w:val="32"/>
          <w:szCs w:val="22"/>
        </w:rPr>
      </w:pPr>
      <w:r>
        <w:rPr>
          <w:rFonts w:eastAsia="黑体"/>
          <w:sz w:val="32"/>
          <w:szCs w:val="22"/>
        </w:rPr>
        <w:t>一、行政事业单位在职人员</w:t>
      </w:r>
    </w:p>
    <w:p w14:paraId="2800A172" w14:textId="77777777" w:rsidR="00000000" w:rsidRDefault="00763D17">
      <w:pPr>
        <w:spacing w:line="600" w:lineRule="exact"/>
        <w:ind w:firstLineChars="200" w:firstLine="640"/>
        <w:rPr>
          <w:rFonts w:eastAsia="仿宋_GB2312"/>
          <w:sz w:val="32"/>
          <w:szCs w:val="22"/>
        </w:rPr>
      </w:pPr>
      <w:r>
        <w:rPr>
          <w:rFonts w:eastAsia="仿宋_GB2312"/>
          <w:sz w:val="32"/>
          <w:szCs w:val="22"/>
        </w:rPr>
        <w:t>截止</w:t>
      </w:r>
      <w:r>
        <w:rPr>
          <w:rFonts w:eastAsia="仿宋_GB2312"/>
          <w:sz w:val="32"/>
          <w:szCs w:val="22"/>
        </w:rPr>
        <w:t>202</w:t>
      </w:r>
      <w:r>
        <w:rPr>
          <w:rFonts w:eastAsia="仿宋_GB2312" w:hint="eastAsia"/>
          <w:sz w:val="32"/>
          <w:szCs w:val="22"/>
        </w:rPr>
        <w:t>3</w:t>
      </w:r>
      <w:r>
        <w:rPr>
          <w:rFonts w:eastAsia="仿宋_GB2312"/>
          <w:sz w:val="32"/>
          <w:szCs w:val="22"/>
        </w:rPr>
        <w:t>年末，兵团行政事业单位</w:t>
      </w:r>
      <w:r>
        <w:rPr>
          <w:rFonts w:eastAsia="仿宋_GB2312" w:hint="eastAsia"/>
          <w:sz w:val="32"/>
          <w:szCs w:val="22"/>
        </w:rPr>
        <w:t>在</w:t>
      </w:r>
      <w:r>
        <w:rPr>
          <w:rFonts w:eastAsia="仿宋_GB2312" w:hint="eastAsia"/>
          <w:sz w:val="32"/>
          <w:szCs w:val="22"/>
        </w:rPr>
        <w:t>职</w:t>
      </w:r>
      <w:r>
        <w:rPr>
          <w:rFonts w:eastAsia="仿宋_GB2312"/>
          <w:sz w:val="32"/>
          <w:szCs w:val="22"/>
        </w:rPr>
        <w:t>人员</w:t>
      </w:r>
      <w:r>
        <w:rPr>
          <w:rFonts w:ascii="仿宋_GB2312" w:eastAsia="仿宋_GB2312" w:hAnsi="仿宋" w:cs="仿宋" w:hint="eastAsia"/>
          <w:sz w:val="32"/>
          <w:szCs w:val="32"/>
        </w:rPr>
        <w:t>4331</w:t>
      </w:r>
      <w:r>
        <w:rPr>
          <w:rFonts w:eastAsia="仿宋_GB2312"/>
          <w:sz w:val="32"/>
          <w:szCs w:val="22"/>
        </w:rPr>
        <w:t>人，较上年</w:t>
      </w:r>
      <w:r>
        <w:rPr>
          <w:rFonts w:eastAsia="仿宋_GB2312" w:hint="eastAsia"/>
          <w:sz w:val="32"/>
          <w:szCs w:val="22"/>
        </w:rPr>
        <w:t>减少</w:t>
      </w:r>
      <w:r>
        <w:rPr>
          <w:rFonts w:eastAsia="仿宋_GB2312" w:hint="eastAsia"/>
          <w:sz w:val="32"/>
          <w:szCs w:val="22"/>
        </w:rPr>
        <w:t>400</w:t>
      </w:r>
      <w:r>
        <w:rPr>
          <w:rFonts w:eastAsia="仿宋_GB2312"/>
          <w:sz w:val="32"/>
          <w:szCs w:val="22"/>
        </w:rPr>
        <w:t>人，</w:t>
      </w:r>
      <w:r>
        <w:rPr>
          <w:rFonts w:eastAsia="仿宋_GB2312" w:hint="eastAsia"/>
          <w:sz w:val="32"/>
          <w:szCs w:val="22"/>
        </w:rPr>
        <w:t>减</w:t>
      </w:r>
      <w:r>
        <w:rPr>
          <w:rFonts w:eastAsia="仿宋_GB2312"/>
          <w:sz w:val="32"/>
          <w:szCs w:val="22"/>
        </w:rPr>
        <w:t>幅</w:t>
      </w:r>
      <w:r>
        <w:rPr>
          <w:rFonts w:eastAsia="仿宋_GB2312" w:hint="eastAsia"/>
          <w:sz w:val="32"/>
          <w:szCs w:val="22"/>
        </w:rPr>
        <w:t>9.35</w:t>
      </w:r>
      <w:r>
        <w:rPr>
          <w:rFonts w:eastAsia="仿宋_GB2312"/>
          <w:sz w:val="32"/>
          <w:szCs w:val="22"/>
        </w:rPr>
        <w:t>%</w:t>
      </w:r>
      <w:r>
        <w:rPr>
          <w:rFonts w:eastAsia="仿宋_GB2312"/>
          <w:sz w:val="32"/>
          <w:szCs w:val="22"/>
        </w:rPr>
        <w:t>。其中：</w:t>
      </w:r>
    </w:p>
    <w:p w14:paraId="3B3E625D" w14:textId="77777777" w:rsidR="00000000" w:rsidRDefault="00763D17">
      <w:pPr>
        <w:spacing w:line="600" w:lineRule="exact"/>
        <w:ind w:firstLineChars="200" w:firstLine="640"/>
        <w:rPr>
          <w:rFonts w:eastAsia="楷体"/>
          <w:sz w:val="32"/>
          <w:szCs w:val="22"/>
        </w:rPr>
      </w:pPr>
      <w:r>
        <w:rPr>
          <w:rFonts w:eastAsia="楷体"/>
          <w:sz w:val="32"/>
          <w:szCs w:val="22"/>
        </w:rPr>
        <w:t>（一）行政机关</w:t>
      </w:r>
    </w:p>
    <w:p w14:paraId="63505C5B" w14:textId="77777777" w:rsidR="00000000" w:rsidRDefault="00763D17">
      <w:pPr>
        <w:spacing w:line="600" w:lineRule="exact"/>
        <w:ind w:leftChars="100" w:left="210" w:firstLineChars="100" w:firstLine="320"/>
        <w:rPr>
          <w:rFonts w:eastAsia="仿宋_GB2312"/>
          <w:sz w:val="32"/>
          <w:szCs w:val="22"/>
        </w:rPr>
      </w:pPr>
      <w:r>
        <w:rPr>
          <w:rFonts w:eastAsia="仿宋_GB2312" w:hint="eastAsia"/>
          <w:sz w:val="32"/>
          <w:szCs w:val="22"/>
        </w:rPr>
        <w:t>1.</w:t>
      </w:r>
      <w:r>
        <w:rPr>
          <w:rFonts w:eastAsia="仿宋_GB2312"/>
          <w:sz w:val="32"/>
          <w:szCs w:val="22"/>
        </w:rPr>
        <w:t>行政机关</w:t>
      </w:r>
      <w:r>
        <w:rPr>
          <w:rFonts w:eastAsia="仿宋_GB2312" w:hint="eastAsia"/>
          <w:sz w:val="32"/>
          <w:szCs w:val="22"/>
        </w:rPr>
        <w:t>在编在职人员</w:t>
      </w:r>
      <w:r>
        <w:rPr>
          <w:rFonts w:eastAsia="仿宋_GB2312" w:hint="eastAsia"/>
          <w:sz w:val="32"/>
          <w:szCs w:val="22"/>
        </w:rPr>
        <w:t>1020</w:t>
      </w:r>
      <w:r>
        <w:rPr>
          <w:rFonts w:eastAsia="仿宋_GB2312"/>
          <w:sz w:val="32"/>
          <w:szCs w:val="22"/>
        </w:rPr>
        <w:t>人，较上年增加</w:t>
      </w:r>
      <w:r>
        <w:rPr>
          <w:rFonts w:eastAsia="仿宋_GB2312" w:hint="eastAsia"/>
          <w:sz w:val="32"/>
          <w:szCs w:val="22"/>
        </w:rPr>
        <w:t>41</w:t>
      </w:r>
      <w:r>
        <w:rPr>
          <w:rFonts w:eastAsia="仿宋_GB2312"/>
          <w:sz w:val="32"/>
          <w:szCs w:val="22"/>
        </w:rPr>
        <w:t>人，增幅</w:t>
      </w:r>
      <w:r>
        <w:rPr>
          <w:rFonts w:eastAsia="仿宋_GB2312" w:hint="eastAsia"/>
          <w:sz w:val="32"/>
          <w:szCs w:val="22"/>
        </w:rPr>
        <w:t>4.1</w:t>
      </w:r>
      <w:r>
        <w:rPr>
          <w:rFonts w:eastAsia="仿宋_GB2312" w:hint="eastAsia"/>
          <w:sz w:val="32"/>
          <w:szCs w:val="22"/>
        </w:rPr>
        <w:t>9</w:t>
      </w:r>
      <w:r>
        <w:rPr>
          <w:rFonts w:eastAsia="仿宋_GB2312"/>
          <w:sz w:val="32"/>
          <w:szCs w:val="22"/>
        </w:rPr>
        <w:t>。其中</w:t>
      </w:r>
      <w:r>
        <w:rPr>
          <w:rFonts w:eastAsia="仿宋_GB2312" w:hint="eastAsia"/>
          <w:sz w:val="32"/>
          <w:szCs w:val="22"/>
        </w:rPr>
        <w:t>：</w:t>
      </w:r>
    </w:p>
    <w:p w14:paraId="1CF3EF58"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师市本级</w:t>
      </w:r>
      <w:r>
        <w:rPr>
          <w:rFonts w:eastAsia="仿宋_GB2312" w:hint="eastAsia"/>
          <w:sz w:val="32"/>
          <w:szCs w:val="22"/>
        </w:rPr>
        <w:t>657</w:t>
      </w:r>
      <w:r>
        <w:rPr>
          <w:rFonts w:eastAsia="仿宋_GB2312" w:hint="eastAsia"/>
          <w:sz w:val="32"/>
          <w:szCs w:val="22"/>
        </w:rPr>
        <w:t>人，较上年增加</w:t>
      </w:r>
      <w:r>
        <w:rPr>
          <w:rFonts w:eastAsia="仿宋_GB2312" w:hint="eastAsia"/>
          <w:sz w:val="32"/>
          <w:szCs w:val="22"/>
        </w:rPr>
        <w:t>39</w:t>
      </w:r>
      <w:r>
        <w:rPr>
          <w:rFonts w:eastAsia="仿宋_GB2312" w:hint="eastAsia"/>
          <w:sz w:val="32"/>
          <w:szCs w:val="22"/>
        </w:rPr>
        <w:t>人；</w:t>
      </w:r>
    </w:p>
    <w:p w14:paraId="5531C61B"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lastRenderedPageBreak/>
        <w:t>团场</w:t>
      </w:r>
      <w:r>
        <w:rPr>
          <w:rFonts w:eastAsia="仿宋_GB2312" w:hint="eastAsia"/>
          <w:sz w:val="32"/>
          <w:szCs w:val="22"/>
        </w:rPr>
        <w:t>363</w:t>
      </w:r>
      <w:r>
        <w:rPr>
          <w:rFonts w:eastAsia="仿宋_GB2312" w:hint="eastAsia"/>
          <w:sz w:val="32"/>
          <w:szCs w:val="22"/>
        </w:rPr>
        <w:t>人，较上年</w:t>
      </w:r>
      <w:r>
        <w:rPr>
          <w:rFonts w:eastAsia="仿宋_GB2312" w:hint="eastAsia"/>
          <w:sz w:val="32"/>
          <w:szCs w:val="22"/>
        </w:rPr>
        <w:t>增加</w:t>
      </w:r>
      <w:r>
        <w:rPr>
          <w:rFonts w:eastAsia="仿宋_GB2312" w:hint="eastAsia"/>
          <w:sz w:val="32"/>
          <w:szCs w:val="22"/>
        </w:rPr>
        <w:t>2</w:t>
      </w:r>
      <w:r>
        <w:rPr>
          <w:rFonts w:eastAsia="仿宋_GB2312" w:hint="eastAsia"/>
          <w:sz w:val="32"/>
          <w:szCs w:val="22"/>
        </w:rPr>
        <w:t>人。</w:t>
      </w:r>
    </w:p>
    <w:p w14:paraId="7189CA0E"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2.</w:t>
      </w:r>
      <w:r>
        <w:rPr>
          <w:rFonts w:eastAsia="仿宋_GB2312"/>
          <w:sz w:val="32"/>
          <w:szCs w:val="22"/>
        </w:rPr>
        <w:t>增减变动主要原因：</w:t>
      </w:r>
      <w:r>
        <w:rPr>
          <w:rFonts w:eastAsia="仿宋_GB2312" w:hint="eastAsia"/>
          <w:sz w:val="32"/>
          <w:szCs w:val="22"/>
        </w:rPr>
        <w:t>法院系统减少</w:t>
      </w:r>
      <w:r>
        <w:rPr>
          <w:rFonts w:eastAsia="仿宋_GB2312" w:hint="eastAsia"/>
          <w:sz w:val="32"/>
          <w:szCs w:val="22"/>
        </w:rPr>
        <w:t>3</w:t>
      </w:r>
      <w:r>
        <w:rPr>
          <w:rFonts w:eastAsia="仿宋_GB2312" w:hint="eastAsia"/>
          <w:sz w:val="32"/>
          <w:szCs w:val="22"/>
        </w:rPr>
        <w:t>人，公安系统增加</w:t>
      </w:r>
      <w:r>
        <w:rPr>
          <w:rFonts w:eastAsia="仿宋_GB2312" w:hint="eastAsia"/>
          <w:sz w:val="32"/>
          <w:szCs w:val="22"/>
        </w:rPr>
        <w:t>11</w:t>
      </w:r>
      <w:r>
        <w:rPr>
          <w:rFonts w:eastAsia="仿宋_GB2312" w:hint="eastAsia"/>
          <w:sz w:val="32"/>
          <w:szCs w:val="22"/>
        </w:rPr>
        <w:t>人，机关单位增加</w:t>
      </w:r>
      <w:r>
        <w:rPr>
          <w:rFonts w:eastAsia="仿宋_GB2312" w:hint="eastAsia"/>
          <w:sz w:val="32"/>
          <w:szCs w:val="22"/>
        </w:rPr>
        <w:t>1</w:t>
      </w:r>
      <w:r>
        <w:rPr>
          <w:rFonts w:eastAsia="仿宋_GB2312" w:hint="eastAsia"/>
          <w:sz w:val="32"/>
          <w:szCs w:val="22"/>
        </w:rPr>
        <w:t>人，检察系统无变动，司法系统减少</w:t>
      </w:r>
      <w:r>
        <w:rPr>
          <w:rFonts w:eastAsia="仿宋_GB2312" w:hint="eastAsia"/>
          <w:sz w:val="32"/>
          <w:szCs w:val="22"/>
        </w:rPr>
        <w:t>6</w:t>
      </w:r>
      <w:r>
        <w:rPr>
          <w:rFonts w:eastAsia="仿宋_GB2312" w:hint="eastAsia"/>
          <w:sz w:val="32"/>
          <w:szCs w:val="22"/>
        </w:rPr>
        <w:t>人</w:t>
      </w:r>
    </w:p>
    <w:p w14:paraId="4E196988" w14:textId="77777777" w:rsidR="00000000" w:rsidRDefault="00763D17">
      <w:pPr>
        <w:spacing w:line="600" w:lineRule="exact"/>
        <w:ind w:firstLineChars="200" w:firstLine="640"/>
        <w:rPr>
          <w:rFonts w:eastAsia="楷体"/>
          <w:sz w:val="32"/>
          <w:szCs w:val="22"/>
        </w:rPr>
      </w:pPr>
      <w:r>
        <w:rPr>
          <w:rFonts w:eastAsia="楷体"/>
          <w:sz w:val="32"/>
          <w:szCs w:val="22"/>
        </w:rPr>
        <w:t>（二）事业</w:t>
      </w:r>
      <w:r>
        <w:rPr>
          <w:rFonts w:eastAsia="楷体" w:hint="eastAsia"/>
          <w:sz w:val="32"/>
          <w:szCs w:val="22"/>
        </w:rPr>
        <w:t>单位</w:t>
      </w:r>
    </w:p>
    <w:p w14:paraId="3FF2565B" w14:textId="77777777" w:rsidR="00000000" w:rsidRDefault="00763D17">
      <w:pPr>
        <w:spacing w:line="600" w:lineRule="exact"/>
        <w:ind w:leftChars="100" w:left="210" w:firstLineChars="100" w:firstLine="320"/>
        <w:rPr>
          <w:rFonts w:eastAsia="仿宋_GB2312"/>
          <w:sz w:val="32"/>
          <w:szCs w:val="22"/>
        </w:rPr>
      </w:pPr>
      <w:r>
        <w:rPr>
          <w:rFonts w:eastAsia="仿宋_GB2312" w:hint="eastAsia"/>
          <w:sz w:val="32"/>
          <w:szCs w:val="22"/>
        </w:rPr>
        <w:t>1.</w:t>
      </w:r>
      <w:r>
        <w:rPr>
          <w:rFonts w:eastAsia="仿宋_GB2312"/>
          <w:sz w:val="32"/>
          <w:szCs w:val="22"/>
        </w:rPr>
        <w:t>事业单位</w:t>
      </w:r>
      <w:r>
        <w:rPr>
          <w:rFonts w:eastAsia="仿宋_GB2312" w:hint="eastAsia"/>
          <w:sz w:val="32"/>
          <w:szCs w:val="22"/>
        </w:rPr>
        <w:t>在编在职</w:t>
      </w:r>
      <w:r>
        <w:rPr>
          <w:rFonts w:eastAsia="仿宋_GB2312" w:hint="eastAsia"/>
          <w:sz w:val="32"/>
          <w:szCs w:val="22"/>
        </w:rPr>
        <w:t>人员</w:t>
      </w:r>
      <w:r>
        <w:rPr>
          <w:rFonts w:eastAsia="仿宋_GB2312" w:hint="eastAsia"/>
          <w:sz w:val="32"/>
          <w:szCs w:val="22"/>
        </w:rPr>
        <w:t>3024</w:t>
      </w:r>
      <w:r>
        <w:rPr>
          <w:rFonts w:eastAsia="仿宋_GB2312"/>
          <w:sz w:val="32"/>
          <w:szCs w:val="22"/>
        </w:rPr>
        <w:t>人，较上年增加</w:t>
      </w:r>
      <w:r>
        <w:rPr>
          <w:rFonts w:eastAsia="仿宋_GB2312" w:hint="eastAsia"/>
          <w:sz w:val="32"/>
          <w:szCs w:val="22"/>
        </w:rPr>
        <w:t>358</w:t>
      </w:r>
      <w:r>
        <w:rPr>
          <w:rFonts w:eastAsia="仿宋_GB2312"/>
          <w:sz w:val="32"/>
          <w:szCs w:val="22"/>
        </w:rPr>
        <w:t>人，增幅</w:t>
      </w:r>
      <w:r>
        <w:rPr>
          <w:rFonts w:eastAsia="仿宋_GB2312" w:hint="eastAsia"/>
          <w:sz w:val="32"/>
          <w:szCs w:val="22"/>
        </w:rPr>
        <w:t>1.4</w:t>
      </w:r>
      <w:r>
        <w:rPr>
          <w:rFonts w:eastAsia="仿宋_GB2312"/>
          <w:sz w:val="32"/>
          <w:szCs w:val="22"/>
        </w:rPr>
        <w:t>%</w:t>
      </w:r>
      <w:r>
        <w:rPr>
          <w:rFonts w:eastAsia="仿宋_GB2312"/>
          <w:sz w:val="32"/>
          <w:szCs w:val="22"/>
        </w:rPr>
        <w:t>。其中</w:t>
      </w:r>
      <w:r>
        <w:rPr>
          <w:rFonts w:eastAsia="仿宋_GB2312" w:hint="eastAsia"/>
          <w:sz w:val="32"/>
          <w:szCs w:val="22"/>
        </w:rPr>
        <w:t>：</w:t>
      </w:r>
    </w:p>
    <w:p w14:paraId="4EE7B3A1" w14:textId="77777777" w:rsidR="00000000" w:rsidRDefault="00763D17">
      <w:pPr>
        <w:spacing w:line="600" w:lineRule="exact"/>
        <w:ind w:firstLineChars="200" w:firstLine="640"/>
        <w:rPr>
          <w:rFonts w:eastAsia="仿宋_GB2312" w:hint="eastAsia"/>
          <w:sz w:val="32"/>
          <w:szCs w:val="22"/>
        </w:rPr>
      </w:pPr>
      <w:r>
        <w:rPr>
          <w:rFonts w:eastAsia="仿宋_GB2312" w:hint="eastAsia"/>
          <w:sz w:val="32"/>
          <w:szCs w:val="22"/>
        </w:rPr>
        <w:t>师市本级</w:t>
      </w:r>
      <w:r>
        <w:rPr>
          <w:rFonts w:eastAsia="仿宋_GB2312" w:hint="eastAsia"/>
          <w:sz w:val="32"/>
          <w:szCs w:val="22"/>
        </w:rPr>
        <w:t>2381</w:t>
      </w:r>
      <w:r>
        <w:rPr>
          <w:rFonts w:eastAsia="仿宋_GB2312" w:hint="eastAsia"/>
          <w:sz w:val="32"/>
          <w:szCs w:val="22"/>
        </w:rPr>
        <w:t>人，较上年</w:t>
      </w:r>
      <w:r>
        <w:rPr>
          <w:rFonts w:eastAsia="仿宋_GB2312" w:hint="eastAsia"/>
          <w:sz w:val="32"/>
          <w:szCs w:val="22"/>
        </w:rPr>
        <w:t>减少</w:t>
      </w:r>
      <w:r>
        <w:rPr>
          <w:rFonts w:eastAsia="仿宋_GB2312" w:hint="eastAsia"/>
          <w:sz w:val="32"/>
          <w:szCs w:val="22"/>
        </w:rPr>
        <w:t>14</w:t>
      </w:r>
      <w:r>
        <w:rPr>
          <w:rFonts w:eastAsia="仿宋_GB2312" w:hint="eastAsia"/>
          <w:sz w:val="32"/>
          <w:szCs w:val="22"/>
        </w:rPr>
        <w:t>人</w:t>
      </w:r>
      <w:r>
        <w:rPr>
          <w:rFonts w:eastAsia="仿宋_GB2312" w:hint="eastAsia"/>
          <w:sz w:val="32"/>
          <w:szCs w:val="22"/>
        </w:rPr>
        <w:t>,</w:t>
      </w:r>
      <w:r>
        <w:rPr>
          <w:rFonts w:eastAsia="仿宋_GB2312" w:hint="eastAsia"/>
          <w:sz w:val="32"/>
          <w:szCs w:val="22"/>
        </w:rPr>
        <w:t>教育单位增加</w:t>
      </w:r>
      <w:r>
        <w:rPr>
          <w:rFonts w:eastAsia="仿宋_GB2312" w:hint="eastAsia"/>
          <w:sz w:val="32"/>
          <w:szCs w:val="22"/>
        </w:rPr>
        <w:t>47</w:t>
      </w:r>
      <w:r>
        <w:rPr>
          <w:rFonts w:eastAsia="仿宋_GB2312" w:hint="eastAsia"/>
          <w:sz w:val="32"/>
          <w:szCs w:val="22"/>
        </w:rPr>
        <w:t>人，卫生单位减少</w:t>
      </w:r>
      <w:r>
        <w:rPr>
          <w:rFonts w:eastAsia="仿宋_GB2312" w:hint="eastAsia"/>
          <w:sz w:val="32"/>
          <w:szCs w:val="22"/>
        </w:rPr>
        <w:t>116</w:t>
      </w:r>
      <w:r>
        <w:rPr>
          <w:rFonts w:eastAsia="仿宋_GB2312" w:hint="eastAsia"/>
          <w:sz w:val="32"/>
          <w:szCs w:val="22"/>
        </w:rPr>
        <w:t>人</w:t>
      </w:r>
      <w:r>
        <w:rPr>
          <w:rFonts w:eastAsia="仿宋_GB2312" w:hint="eastAsia"/>
          <w:sz w:val="32"/>
          <w:szCs w:val="22"/>
        </w:rPr>
        <w:t>。</w:t>
      </w:r>
    </w:p>
    <w:p w14:paraId="29E307C6"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团场</w:t>
      </w:r>
      <w:r>
        <w:rPr>
          <w:rFonts w:eastAsia="仿宋_GB2312" w:hint="eastAsia"/>
          <w:sz w:val="32"/>
          <w:szCs w:val="22"/>
        </w:rPr>
        <w:t>613</w:t>
      </w:r>
      <w:r>
        <w:rPr>
          <w:rFonts w:eastAsia="仿宋_GB2312" w:hint="eastAsia"/>
          <w:sz w:val="32"/>
          <w:szCs w:val="22"/>
        </w:rPr>
        <w:t>人，较上年增加</w:t>
      </w:r>
      <w:r>
        <w:rPr>
          <w:rFonts w:eastAsia="仿宋_GB2312" w:hint="eastAsia"/>
          <w:sz w:val="32"/>
          <w:szCs w:val="22"/>
        </w:rPr>
        <w:t>56</w:t>
      </w:r>
      <w:r>
        <w:rPr>
          <w:rFonts w:eastAsia="仿宋_GB2312" w:hint="eastAsia"/>
          <w:sz w:val="32"/>
          <w:szCs w:val="22"/>
        </w:rPr>
        <w:t>人。</w:t>
      </w:r>
    </w:p>
    <w:p w14:paraId="05ADFA12" w14:textId="77777777" w:rsidR="00000000" w:rsidRDefault="00763D17">
      <w:pPr>
        <w:spacing w:line="600" w:lineRule="exact"/>
        <w:ind w:firstLineChars="200" w:firstLine="640"/>
        <w:rPr>
          <w:rFonts w:eastAsia="仿宋_GB2312" w:hint="eastAsia"/>
          <w:sz w:val="32"/>
          <w:szCs w:val="22"/>
        </w:rPr>
      </w:pPr>
      <w:r>
        <w:rPr>
          <w:rFonts w:eastAsia="仿宋_GB2312" w:hint="eastAsia"/>
          <w:sz w:val="32"/>
          <w:szCs w:val="22"/>
        </w:rPr>
        <w:t>2.</w:t>
      </w:r>
      <w:r>
        <w:rPr>
          <w:rFonts w:eastAsia="仿宋_GB2312"/>
          <w:sz w:val="32"/>
          <w:szCs w:val="22"/>
        </w:rPr>
        <w:t>增减变动主要原因：</w:t>
      </w:r>
      <w:r>
        <w:rPr>
          <w:rFonts w:eastAsia="仿宋_GB2312" w:hint="eastAsia"/>
          <w:sz w:val="32"/>
          <w:szCs w:val="22"/>
        </w:rPr>
        <w:t>教育单位增加</w:t>
      </w:r>
      <w:r>
        <w:rPr>
          <w:rFonts w:eastAsia="仿宋_GB2312" w:hint="eastAsia"/>
          <w:sz w:val="32"/>
          <w:szCs w:val="22"/>
        </w:rPr>
        <w:t>47</w:t>
      </w:r>
      <w:r>
        <w:rPr>
          <w:rFonts w:eastAsia="仿宋_GB2312" w:hint="eastAsia"/>
          <w:sz w:val="32"/>
          <w:szCs w:val="22"/>
        </w:rPr>
        <w:t>人，卫生单位减少</w:t>
      </w:r>
      <w:r>
        <w:rPr>
          <w:rFonts w:eastAsia="仿宋_GB2312" w:hint="eastAsia"/>
          <w:sz w:val="32"/>
          <w:szCs w:val="22"/>
        </w:rPr>
        <w:t>116</w:t>
      </w:r>
      <w:r>
        <w:rPr>
          <w:rFonts w:eastAsia="仿宋_GB2312" w:hint="eastAsia"/>
          <w:sz w:val="32"/>
          <w:szCs w:val="22"/>
        </w:rPr>
        <w:t>人</w:t>
      </w:r>
      <w:r>
        <w:rPr>
          <w:rFonts w:eastAsia="仿宋_GB2312" w:hint="eastAsia"/>
          <w:sz w:val="32"/>
          <w:szCs w:val="22"/>
        </w:rPr>
        <w:t>。</w:t>
      </w:r>
    </w:p>
    <w:p w14:paraId="7E5F2E6C" w14:textId="77777777" w:rsidR="00000000" w:rsidRDefault="00763D17">
      <w:pPr>
        <w:spacing w:line="600" w:lineRule="exact"/>
        <w:ind w:firstLineChars="200" w:firstLine="640"/>
        <w:rPr>
          <w:rFonts w:eastAsia="黑体"/>
          <w:sz w:val="32"/>
          <w:szCs w:val="22"/>
        </w:rPr>
      </w:pPr>
      <w:r>
        <w:rPr>
          <w:rFonts w:eastAsia="黑体"/>
          <w:sz w:val="32"/>
          <w:szCs w:val="22"/>
        </w:rPr>
        <w:t>二、行政事业单位长聘人员</w:t>
      </w:r>
    </w:p>
    <w:p w14:paraId="2484D3AE" w14:textId="77777777" w:rsidR="00000000" w:rsidRDefault="00763D17">
      <w:pPr>
        <w:spacing w:line="600" w:lineRule="exact"/>
        <w:ind w:firstLineChars="200" w:firstLine="640"/>
        <w:rPr>
          <w:rFonts w:eastAsia="仿宋_GB2312"/>
          <w:sz w:val="32"/>
          <w:szCs w:val="22"/>
        </w:rPr>
      </w:pPr>
      <w:r>
        <w:rPr>
          <w:rFonts w:eastAsia="仿宋_GB2312"/>
          <w:sz w:val="32"/>
          <w:szCs w:val="22"/>
        </w:rPr>
        <w:t>截止</w:t>
      </w:r>
      <w:r>
        <w:rPr>
          <w:rFonts w:eastAsia="仿宋_GB2312"/>
          <w:sz w:val="32"/>
          <w:szCs w:val="22"/>
        </w:rPr>
        <w:t>202</w:t>
      </w:r>
      <w:r>
        <w:rPr>
          <w:rFonts w:eastAsia="仿宋_GB2312" w:hint="eastAsia"/>
          <w:sz w:val="32"/>
          <w:szCs w:val="22"/>
        </w:rPr>
        <w:t>3</w:t>
      </w:r>
      <w:r>
        <w:rPr>
          <w:rFonts w:eastAsia="仿宋_GB2312"/>
          <w:sz w:val="32"/>
          <w:szCs w:val="22"/>
        </w:rPr>
        <w:t>年末</w:t>
      </w:r>
      <w:r>
        <w:rPr>
          <w:rFonts w:eastAsia="仿宋_GB2312"/>
          <w:sz w:val="32"/>
          <w:szCs w:val="22"/>
        </w:rPr>
        <w:t>，兵团行政事业单位长聘人员</w:t>
      </w:r>
      <w:r>
        <w:rPr>
          <w:rFonts w:eastAsia="仿宋_GB2312" w:hint="eastAsia"/>
          <w:sz w:val="32"/>
          <w:szCs w:val="22"/>
        </w:rPr>
        <w:t>1191</w:t>
      </w:r>
      <w:r>
        <w:rPr>
          <w:rFonts w:eastAsia="仿宋_GB2312"/>
          <w:sz w:val="32"/>
          <w:szCs w:val="22"/>
        </w:rPr>
        <w:t>人，较上年</w:t>
      </w:r>
      <w:r>
        <w:rPr>
          <w:rFonts w:eastAsia="仿宋_GB2312" w:hint="eastAsia"/>
          <w:sz w:val="32"/>
          <w:szCs w:val="22"/>
        </w:rPr>
        <w:t>减少</w:t>
      </w:r>
      <w:r>
        <w:rPr>
          <w:rFonts w:eastAsia="仿宋_GB2312" w:hint="eastAsia"/>
          <w:sz w:val="32"/>
          <w:szCs w:val="22"/>
        </w:rPr>
        <w:t>1</w:t>
      </w:r>
      <w:r>
        <w:rPr>
          <w:rFonts w:eastAsia="仿宋_GB2312"/>
          <w:sz w:val="32"/>
          <w:szCs w:val="22"/>
        </w:rPr>
        <w:t>人，</w:t>
      </w:r>
      <w:r>
        <w:rPr>
          <w:rFonts w:eastAsia="仿宋_GB2312" w:hint="eastAsia"/>
          <w:sz w:val="32"/>
          <w:szCs w:val="22"/>
        </w:rPr>
        <w:t>减</w:t>
      </w:r>
      <w:r>
        <w:rPr>
          <w:rFonts w:eastAsia="仿宋_GB2312"/>
          <w:sz w:val="32"/>
          <w:szCs w:val="22"/>
        </w:rPr>
        <w:t>幅</w:t>
      </w:r>
      <w:r>
        <w:rPr>
          <w:rFonts w:eastAsia="仿宋_GB2312" w:hint="eastAsia"/>
          <w:sz w:val="32"/>
          <w:szCs w:val="22"/>
        </w:rPr>
        <w:t>0</w:t>
      </w:r>
      <w:r>
        <w:rPr>
          <w:rFonts w:eastAsia="仿宋_GB2312"/>
          <w:sz w:val="32"/>
          <w:szCs w:val="22"/>
        </w:rPr>
        <w:t>。其中：</w:t>
      </w:r>
    </w:p>
    <w:p w14:paraId="16B98A2A" w14:textId="77777777" w:rsidR="00000000" w:rsidRDefault="00763D17">
      <w:pPr>
        <w:spacing w:line="600" w:lineRule="exact"/>
        <w:ind w:firstLineChars="200" w:firstLine="640"/>
        <w:rPr>
          <w:rFonts w:eastAsia="楷体"/>
          <w:sz w:val="32"/>
          <w:szCs w:val="22"/>
        </w:rPr>
      </w:pPr>
      <w:r>
        <w:rPr>
          <w:rFonts w:eastAsia="楷体"/>
          <w:sz w:val="32"/>
          <w:szCs w:val="22"/>
        </w:rPr>
        <w:t>（一）行政机关</w:t>
      </w:r>
    </w:p>
    <w:p w14:paraId="66F61977"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1.</w:t>
      </w:r>
      <w:r>
        <w:rPr>
          <w:rFonts w:eastAsia="仿宋_GB2312"/>
          <w:sz w:val="32"/>
          <w:szCs w:val="22"/>
        </w:rPr>
        <w:t>行政机关长聘人员</w:t>
      </w:r>
      <w:r>
        <w:rPr>
          <w:rFonts w:eastAsia="仿宋_GB2312" w:hint="eastAsia"/>
          <w:sz w:val="32"/>
          <w:szCs w:val="22"/>
        </w:rPr>
        <w:t>778</w:t>
      </w:r>
      <w:r>
        <w:rPr>
          <w:rFonts w:eastAsia="仿宋_GB2312"/>
          <w:sz w:val="32"/>
          <w:szCs w:val="22"/>
        </w:rPr>
        <w:t>人，较上年减少</w:t>
      </w:r>
      <w:r>
        <w:rPr>
          <w:rFonts w:eastAsia="仿宋_GB2312" w:hint="eastAsia"/>
          <w:sz w:val="32"/>
          <w:szCs w:val="22"/>
        </w:rPr>
        <w:t>132</w:t>
      </w:r>
      <w:r>
        <w:rPr>
          <w:rFonts w:eastAsia="仿宋_GB2312"/>
          <w:sz w:val="32"/>
          <w:szCs w:val="22"/>
        </w:rPr>
        <w:t>人，减幅</w:t>
      </w:r>
      <w:r>
        <w:rPr>
          <w:rFonts w:eastAsia="仿宋_GB2312" w:hint="eastAsia"/>
          <w:sz w:val="32"/>
          <w:szCs w:val="22"/>
        </w:rPr>
        <w:t>20.25%</w:t>
      </w:r>
      <w:r>
        <w:rPr>
          <w:rFonts w:eastAsia="仿宋_GB2312"/>
          <w:sz w:val="32"/>
          <w:szCs w:val="22"/>
        </w:rPr>
        <w:t>。其中：</w:t>
      </w:r>
    </w:p>
    <w:p w14:paraId="0A3BCA84"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师市本级</w:t>
      </w:r>
      <w:r>
        <w:rPr>
          <w:rFonts w:eastAsia="仿宋_GB2312" w:hint="eastAsia"/>
          <w:sz w:val="32"/>
          <w:szCs w:val="22"/>
        </w:rPr>
        <w:t xml:space="preserve"> </w:t>
      </w:r>
      <w:r>
        <w:rPr>
          <w:rFonts w:eastAsia="仿宋_GB2312" w:hint="eastAsia"/>
          <w:sz w:val="32"/>
          <w:szCs w:val="22"/>
        </w:rPr>
        <w:t>727</w:t>
      </w:r>
      <w:r>
        <w:rPr>
          <w:rFonts w:eastAsia="仿宋_GB2312" w:hint="eastAsia"/>
          <w:sz w:val="32"/>
          <w:szCs w:val="22"/>
        </w:rPr>
        <w:t>人，较上年</w:t>
      </w:r>
      <w:r>
        <w:rPr>
          <w:rFonts w:eastAsia="仿宋_GB2312" w:hint="eastAsia"/>
          <w:sz w:val="32"/>
          <w:szCs w:val="22"/>
        </w:rPr>
        <w:t>减少</w:t>
      </w:r>
      <w:r>
        <w:rPr>
          <w:rFonts w:eastAsia="仿宋_GB2312" w:hint="eastAsia"/>
          <w:sz w:val="32"/>
          <w:szCs w:val="22"/>
        </w:rPr>
        <w:t>126</w:t>
      </w:r>
      <w:r>
        <w:rPr>
          <w:rFonts w:eastAsia="仿宋_GB2312" w:hint="eastAsia"/>
          <w:sz w:val="32"/>
          <w:szCs w:val="22"/>
        </w:rPr>
        <w:t>人；</w:t>
      </w:r>
      <w:r>
        <w:rPr>
          <w:rFonts w:eastAsia="仿宋_GB2312" w:hint="eastAsia"/>
          <w:sz w:val="32"/>
          <w:szCs w:val="22"/>
        </w:rPr>
        <w:t>其中</w:t>
      </w:r>
      <w:r>
        <w:rPr>
          <w:rFonts w:eastAsia="仿宋_GB2312" w:hint="eastAsia"/>
          <w:sz w:val="32"/>
          <w:szCs w:val="22"/>
        </w:rPr>
        <w:t>法院系统</w:t>
      </w:r>
      <w:r>
        <w:rPr>
          <w:rFonts w:eastAsia="仿宋_GB2312" w:hint="eastAsia"/>
          <w:sz w:val="32"/>
          <w:szCs w:val="22"/>
        </w:rPr>
        <w:t>减少</w:t>
      </w:r>
      <w:r>
        <w:rPr>
          <w:rFonts w:eastAsia="仿宋_GB2312" w:hint="eastAsia"/>
          <w:sz w:val="32"/>
          <w:szCs w:val="22"/>
        </w:rPr>
        <w:t>1</w:t>
      </w:r>
      <w:r>
        <w:rPr>
          <w:rFonts w:eastAsia="仿宋_GB2312" w:hint="eastAsia"/>
          <w:sz w:val="32"/>
          <w:szCs w:val="22"/>
        </w:rPr>
        <w:t>人，公安系统减少</w:t>
      </w:r>
      <w:r>
        <w:rPr>
          <w:rFonts w:eastAsia="仿宋_GB2312" w:hint="eastAsia"/>
          <w:sz w:val="32"/>
          <w:szCs w:val="22"/>
        </w:rPr>
        <w:t>126</w:t>
      </w:r>
      <w:r>
        <w:rPr>
          <w:rFonts w:eastAsia="仿宋_GB2312" w:hint="eastAsia"/>
          <w:sz w:val="32"/>
          <w:szCs w:val="22"/>
        </w:rPr>
        <w:t>人，司法系统新增</w:t>
      </w:r>
      <w:r>
        <w:rPr>
          <w:rFonts w:eastAsia="仿宋_GB2312" w:hint="eastAsia"/>
          <w:sz w:val="32"/>
          <w:szCs w:val="22"/>
        </w:rPr>
        <w:t>1</w:t>
      </w:r>
      <w:r>
        <w:rPr>
          <w:rFonts w:eastAsia="仿宋_GB2312" w:hint="eastAsia"/>
          <w:sz w:val="32"/>
          <w:szCs w:val="22"/>
        </w:rPr>
        <w:t>人。</w:t>
      </w:r>
    </w:p>
    <w:p w14:paraId="32D4ED17"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团场</w:t>
      </w:r>
      <w:r>
        <w:rPr>
          <w:rFonts w:eastAsia="仿宋_GB2312" w:hint="eastAsia"/>
          <w:sz w:val="32"/>
          <w:szCs w:val="22"/>
        </w:rPr>
        <w:t xml:space="preserve"> </w:t>
      </w:r>
      <w:r>
        <w:rPr>
          <w:rFonts w:eastAsia="仿宋_GB2312" w:hint="eastAsia"/>
          <w:sz w:val="32"/>
          <w:szCs w:val="22"/>
        </w:rPr>
        <w:t>51</w:t>
      </w:r>
      <w:r>
        <w:rPr>
          <w:rFonts w:eastAsia="仿宋_GB2312" w:hint="eastAsia"/>
          <w:sz w:val="32"/>
          <w:szCs w:val="22"/>
        </w:rPr>
        <w:t>人，较上年减少</w:t>
      </w:r>
      <w:r>
        <w:rPr>
          <w:rFonts w:eastAsia="仿宋_GB2312" w:hint="eastAsia"/>
          <w:sz w:val="32"/>
          <w:szCs w:val="22"/>
        </w:rPr>
        <w:t>6</w:t>
      </w:r>
      <w:r>
        <w:rPr>
          <w:rFonts w:eastAsia="仿宋_GB2312" w:hint="eastAsia"/>
          <w:sz w:val="32"/>
          <w:szCs w:val="22"/>
        </w:rPr>
        <w:t>人</w:t>
      </w:r>
      <w:r>
        <w:rPr>
          <w:rFonts w:eastAsia="仿宋_GB2312" w:hint="eastAsia"/>
          <w:sz w:val="32"/>
          <w:szCs w:val="22"/>
        </w:rPr>
        <w:t>，</w:t>
      </w:r>
      <w:r>
        <w:rPr>
          <w:rFonts w:eastAsia="仿宋_GB2312" w:hint="eastAsia"/>
          <w:sz w:val="32"/>
          <w:szCs w:val="22"/>
        </w:rPr>
        <w:t>其中</w:t>
      </w:r>
      <w:r>
        <w:rPr>
          <w:rFonts w:eastAsia="仿宋_GB2312" w:hint="eastAsia"/>
          <w:sz w:val="32"/>
          <w:szCs w:val="22"/>
        </w:rPr>
        <w:t>机关单位</w:t>
      </w:r>
      <w:r>
        <w:rPr>
          <w:rFonts w:eastAsia="仿宋_GB2312" w:hint="eastAsia"/>
          <w:sz w:val="32"/>
          <w:szCs w:val="22"/>
        </w:rPr>
        <w:t>减少</w:t>
      </w:r>
      <w:r>
        <w:rPr>
          <w:rFonts w:eastAsia="仿宋_GB2312" w:hint="eastAsia"/>
          <w:sz w:val="32"/>
          <w:szCs w:val="22"/>
        </w:rPr>
        <w:t>6</w:t>
      </w:r>
      <w:r>
        <w:rPr>
          <w:rFonts w:eastAsia="仿宋_GB2312" w:hint="eastAsia"/>
          <w:sz w:val="32"/>
          <w:szCs w:val="22"/>
        </w:rPr>
        <w:t>人</w:t>
      </w:r>
      <w:r>
        <w:rPr>
          <w:rFonts w:eastAsia="仿宋_GB2312" w:hint="eastAsia"/>
          <w:sz w:val="32"/>
          <w:szCs w:val="22"/>
        </w:rPr>
        <w:t>。</w:t>
      </w:r>
    </w:p>
    <w:p w14:paraId="2D985B9B" w14:textId="77777777" w:rsidR="00000000" w:rsidRDefault="00763D17">
      <w:pPr>
        <w:spacing w:line="600" w:lineRule="exact"/>
        <w:ind w:firstLineChars="200" w:firstLine="640"/>
        <w:rPr>
          <w:rFonts w:eastAsia="仿宋_GB2312"/>
          <w:b/>
          <w:sz w:val="32"/>
          <w:szCs w:val="22"/>
        </w:rPr>
      </w:pPr>
      <w:r>
        <w:rPr>
          <w:rFonts w:eastAsia="仿宋_GB2312" w:hint="eastAsia"/>
          <w:sz w:val="32"/>
          <w:szCs w:val="22"/>
        </w:rPr>
        <w:t>2.</w:t>
      </w:r>
      <w:r>
        <w:rPr>
          <w:rFonts w:eastAsia="仿宋_GB2312"/>
          <w:sz w:val="32"/>
          <w:szCs w:val="22"/>
        </w:rPr>
        <w:t>增减变动主要原因：</w:t>
      </w:r>
      <w:r>
        <w:rPr>
          <w:rFonts w:eastAsia="仿宋_GB2312" w:hint="eastAsia"/>
          <w:sz w:val="32"/>
          <w:szCs w:val="22"/>
        </w:rPr>
        <w:t>法院系统</w:t>
      </w:r>
      <w:r>
        <w:rPr>
          <w:rFonts w:eastAsia="仿宋_GB2312" w:hint="eastAsia"/>
          <w:sz w:val="32"/>
          <w:szCs w:val="22"/>
        </w:rPr>
        <w:t>减少</w:t>
      </w:r>
      <w:r>
        <w:rPr>
          <w:rFonts w:eastAsia="仿宋_GB2312" w:hint="eastAsia"/>
          <w:sz w:val="32"/>
          <w:szCs w:val="22"/>
        </w:rPr>
        <w:t>1</w:t>
      </w:r>
      <w:r>
        <w:rPr>
          <w:rFonts w:eastAsia="仿宋_GB2312" w:hint="eastAsia"/>
          <w:sz w:val="32"/>
          <w:szCs w:val="22"/>
        </w:rPr>
        <w:t>人，公安系统减少</w:t>
      </w:r>
      <w:r>
        <w:rPr>
          <w:rFonts w:eastAsia="仿宋_GB2312" w:hint="eastAsia"/>
          <w:sz w:val="32"/>
          <w:szCs w:val="22"/>
        </w:rPr>
        <w:t>126</w:t>
      </w:r>
      <w:r>
        <w:rPr>
          <w:rFonts w:eastAsia="仿宋_GB2312" w:hint="eastAsia"/>
          <w:sz w:val="32"/>
          <w:szCs w:val="22"/>
        </w:rPr>
        <w:t>人，</w:t>
      </w:r>
      <w:r>
        <w:rPr>
          <w:rFonts w:eastAsia="仿宋_GB2312" w:hint="eastAsia"/>
          <w:sz w:val="32"/>
          <w:szCs w:val="22"/>
        </w:rPr>
        <w:t>机关单位</w:t>
      </w:r>
      <w:r>
        <w:rPr>
          <w:rFonts w:eastAsia="仿宋_GB2312" w:hint="eastAsia"/>
          <w:sz w:val="32"/>
          <w:szCs w:val="22"/>
        </w:rPr>
        <w:t>减少</w:t>
      </w:r>
      <w:r>
        <w:rPr>
          <w:rFonts w:eastAsia="仿宋_GB2312" w:hint="eastAsia"/>
          <w:sz w:val="32"/>
          <w:szCs w:val="22"/>
        </w:rPr>
        <w:t>6</w:t>
      </w:r>
      <w:r>
        <w:rPr>
          <w:rFonts w:eastAsia="仿宋_GB2312" w:hint="eastAsia"/>
          <w:sz w:val="32"/>
          <w:szCs w:val="22"/>
        </w:rPr>
        <w:t>人，司法系统新增</w:t>
      </w:r>
      <w:r>
        <w:rPr>
          <w:rFonts w:eastAsia="仿宋_GB2312" w:hint="eastAsia"/>
          <w:sz w:val="32"/>
          <w:szCs w:val="22"/>
        </w:rPr>
        <w:t>1</w:t>
      </w:r>
      <w:r>
        <w:rPr>
          <w:rFonts w:eastAsia="仿宋_GB2312" w:hint="eastAsia"/>
          <w:sz w:val="32"/>
          <w:szCs w:val="22"/>
        </w:rPr>
        <w:t>人。</w:t>
      </w:r>
    </w:p>
    <w:p w14:paraId="48FF1164" w14:textId="77777777" w:rsidR="00000000" w:rsidRDefault="00763D17">
      <w:pPr>
        <w:spacing w:line="600" w:lineRule="exact"/>
        <w:ind w:firstLineChars="200" w:firstLine="640"/>
        <w:rPr>
          <w:rFonts w:eastAsia="楷体"/>
          <w:sz w:val="32"/>
          <w:szCs w:val="22"/>
        </w:rPr>
      </w:pPr>
      <w:r>
        <w:rPr>
          <w:rFonts w:eastAsia="楷体"/>
          <w:sz w:val="32"/>
          <w:szCs w:val="22"/>
        </w:rPr>
        <w:t>（</w:t>
      </w:r>
      <w:r>
        <w:rPr>
          <w:rFonts w:eastAsia="楷体" w:hint="eastAsia"/>
          <w:sz w:val="32"/>
          <w:szCs w:val="22"/>
        </w:rPr>
        <w:t>二</w:t>
      </w:r>
      <w:r>
        <w:rPr>
          <w:rFonts w:eastAsia="楷体"/>
          <w:sz w:val="32"/>
          <w:szCs w:val="22"/>
        </w:rPr>
        <w:t>）事业单位</w:t>
      </w:r>
    </w:p>
    <w:p w14:paraId="7C4AF920"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1.</w:t>
      </w:r>
      <w:r>
        <w:rPr>
          <w:rFonts w:eastAsia="仿宋_GB2312"/>
          <w:sz w:val="32"/>
          <w:szCs w:val="22"/>
        </w:rPr>
        <w:t>事业单位长聘人员</w:t>
      </w:r>
      <w:r>
        <w:rPr>
          <w:rFonts w:eastAsia="仿宋_GB2312" w:hint="eastAsia"/>
          <w:sz w:val="32"/>
          <w:szCs w:val="22"/>
        </w:rPr>
        <w:t xml:space="preserve"> </w:t>
      </w:r>
      <w:r>
        <w:rPr>
          <w:rFonts w:eastAsia="仿宋_GB2312" w:hint="eastAsia"/>
          <w:sz w:val="32"/>
          <w:szCs w:val="22"/>
        </w:rPr>
        <w:t>414</w:t>
      </w:r>
      <w:r>
        <w:rPr>
          <w:rFonts w:eastAsia="仿宋_GB2312"/>
          <w:sz w:val="32"/>
          <w:szCs w:val="22"/>
        </w:rPr>
        <w:t>人，较上年</w:t>
      </w:r>
      <w:r>
        <w:rPr>
          <w:rFonts w:eastAsia="仿宋_GB2312" w:hint="eastAsia"/>
          <w:sz w:val="32"/>
          <w:szCs w:val="22"/>
        </w:rPr>
        <w:t>增加</w:t>
      </w:r>
      <w:r>
        <w:rPr>
          <w:rFonts w:eastAsia="仿宋_GB2312" w:hint="eastAsia"/>
          <w:sz w:val="32"/>
          <w:szCs w:val="22"/>
        </w:rPr>
        <w:t>133</w:t>
      </w:r>
      <w:r>
        <w:rPr>
          <w:rFonts w:eastAsia="仿宋_GB2312"/>
          <w:sz w:val="32"/>
          <w:szCs w:val="22"/>
        </w:rPr>
        <w:t>人，减幅</w:t>
      </w:r>
      <w:r>
        <w:rPr>
          <w:rFonts w:eastAsia="仿宋_GB2312" w:hint="eastAsia"/>
          <w:sz w:val="32"/>
          <w:szCs w:val="22"/>
        </w:rPr>
        <w:t>47.33</w:t>
      </w:r>
      <w:r>
        <w:rPr>
          <w:rFonts w:eastAsia="仿宋_GB2312"/>
          <w:sz w:val="32"/>
          <w:szCs w:val="22"/>
        </w:rPr>
        <w:t>%</w:t>
      </w:r>
      <w:r>
        <w:rPr>
          <w:rFonts w:eastAsia="仿宋_GB2312"/>
          <w:sz w:val="32"/>
          <w:szCs w:val="22"/>
        </w:rPr>
        <w:t>。</w:t>
      </w:r>
      <w:r>
        <w:rPr>
          <w:rFonts w:eastAsia="仿宋_GB2312" w:hint="eastAsia"/>
          <w:sz w:val="32"/>
          <w:szCs w:val="22"/>
        </w:rPr>
        <w:t>其中：</w:t>
      </w:r>
    </w:p>
    <w:p w14:paraId="63442B9F"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师市本级</w:t>
      </w:r>
      <w:r>
        <w:rPr>
          <w:rFonts w:eastAsia="仿宋_GB2312" w:hint="eastAsia"/>
          <w:sz w:val="32"/>
          <w:szCs w:val="22"/>
        </w:rPr>
        <w:t>353</w:t>
      </w:r>
      <w:r>
        <w:rPr>
          <w:rFonts w:eastAsia="仿宋_GB2312" w:hint="eastAsia"/>
          <w:sz w:val="32"/>
          <w:szCs w:val="22"/>
        </w:rPr>
        <w:t>人，较上年</w:t>
      </w:r>
      <w:r>
        <w:rPr>
          <w:rFonts w:eastAsia="仿宋_GB2312" w:hint="eastAsia"/>
          <w:sz w:val="32"/>
          <w:szCs w:val="22"/>
        </w:rPr>
        <w:t>增加</w:t>
      </w:r>
      <w:r>
        <w:rPr>
          <w:rFonts w:eastAsia="仿宋_GB2312" w:hint="eastAsia"/>
          <w:sz w:val="32"/>
          <w:szCs w:val="22"/>
        </w:rPr>
        <w:t>23</w:t>
      </w:r>
      <w:r>
        <w:rPr>
          <w:rFonts w:eastAsia="仿宋_GB2312" w:hint="eastAsia"/>
          <w:sz w:val="32"/>
          <w:szCs w:val="22"/>
        </w:rPr>
        <w:t>人</w:t>
      </w:r>
      <w:r>
        <w:rPr>
          <w:rFonts w:eastAsia="仿宋_GB2312" w:hint="eastAsia"/>
          <w:sz w:val="32"/>
          <w:szCs w:val="22"/>
        </w:rPr>
        <w:t>，</w:t>
      </w:r>
      <w:r>
        <w:rPr>
          <w:rFonts w:eastAsia="仿宋_GB2312" w:hint="eastAsia"/>
          <w:sz w:val="32"/>
          <w:szCs w:val="22"/>
        </w:rPr>
        <w:t>其他事业单位减少</w:t>
      </w:r>
      <w:r>
        <w:rPr>
          <w:rFonts w:eastAsia="仿宋_GB2312" w:hint="eastAsia"/>
          <w:sz w:val="32"/>
          <w:szCs w:val="22"/>
        </w:rPr>
        <w:t>8</w:t>
      </w:r>
      <w:r>
        <w:rPr>
          <w:rFonts w:eastAsia="仿宋_GB2312" w:hint="eastAsia"/>
          <w:sz w:val="32"/>
          <w:szCs w:val="22"/>
        </w:rPr>
        <w:t>人，卫生单位增加</w:t>
      </w:r>
      <w:r>
        <w:rPr>
          <w:rFonts w:eastAsia="仿宋_GB2312" w:hint="eastAsia"/>
          <w:sz w:val="32"/>
          <w:szCs w:val="22"/>
        </w:rPr>
        <w:t>142</w:t>
      </w:r>
      <w:r>
        <w:rPr>
          <w:rFonts w:eastAsia="仿宋_GB2312" w:hint="eastAsia"/>
          <w:sz w:val="32"/>
          <w:szCs w:val="22"/>
        </w:rPr>
        <w:t>人，学前教育减少</w:t>
      </w:r>
      <w:r>
        <w:rPr>
          <w:rFonts w:eastAsia="仿宋_GB2312" w:hint="eastAsia"/>
          <w:sz w:val="32"/>
          <w:szCs w:val="22"/>
        </w:rPr>
        <w:t>1</w:t>
      </w:r>
      <w:r>
        <w:rPr>
          <w:rFonts w:eastAsia="仿宋_GB2312" w:hint="eastAsia"/>
          <w:sz w:val="32"/>
          <w:szCs w:val="22"/>
        </w:rPr>
        <w:t>人</w:t>
      </w:r>
      <w:r>
        <w:rPr>
          <w:rFonts w:eastAsia="仿宋_GB2312" w:hint="eastAsia"/>
          <w:sz w:val="32"/>
          <w:szCs w:val="22"/>
        </w:rPr>
        <w:t>；</w:t>
      </w:r>
    </w:p>
    <w:p w14:paraId="494A5B49"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团场</w:t>
      </w:r>
      <w:r>
        <w:rPr>
          <w:rFonts w:eastAsia="仿宋_GB2312" w:hint="eastAsia"/>
          <w:sz w:val="32"/>
          <w:szCs w:val="22"/>
        </w:rPr>
        <w:t>61</w:t>
      </w:r>
      <w:r>
        <w:rPr>
          <w:rFonts w:eastAsia="仿宋_GB2312" w:hint="eastAsia"/>
          <w:sz w:val="32"/>
          <w:szCs w:val="22"/>
        </w:rPr>
        <w:t>人，较上年增加</w:t>
      </w:r>
      <w:r>
        <w:rPr>
          <w:rFonts w:eastAsia="仿宋_GB2312" w:hint="eastAsia"/>
          <w:sz w:val="32"/>
          <w:szCs w:val="22"/>
        </w:rPr>
        <w:t>0</w:t>
      </w:r>
      <w:r>
        <w:rPr>
          <w:rFonts w:eastAsia="仿宋_GB2312" w:hint="eastAsia"/>
          <w:sz w:val="32"/>
          <w:szCs w:val="22"/>
        </w:rPr>
        <w:t>人</w:t>
      </w:r>
      <w:r>
        <w:rPr>
          <w:rFonts w:eastAsia="仿宋_GB2312" w:hint="eastAsia"/>
          <w:sz w:val="32"/>
          <w:szCs w:val="22"/>
        </w:rPr>
        <w:t>，</w:t>
      </w:r>
      <w:r>
        <w:rPr>
          <w:rFonts w:eastAsia="仿宋_GB2312" w:hint="eastAsia"/>
          <w:sz w:val="32"/>
          <w:szCs w:val="22"/>
        </w:rPr>
        <w:t>国防专武新增</w:t>
      </w:r>
      <w:r>
        <w:rPr>
          <w:rFonts w:eastAsia="仿宋_GB2312" w:hint="eastAsia"/>
          <w:sz w:val="32"/>
          <w:szCs w:val="22"/>
        </w:rPr>
        <w:t>5</w:t>
      </w:r>
      <w:r>
        <w:rPr>
          <w:rFonts w:eastAsia="仿宋_GB2312" w:hint="eastAsia"/>
          <w:sz w:val="32"/>
          <w:szCs w:val="22"/>
        </w:rPr>
        <w:t>人，其他事业单位减少</w:t>
      </w:r>
      <w:r>
        <w:rPr>
          <w:rFonts w:eastAsia="仿宋_GB2312" w:hint="eastAsia"/>
          <w:sz w:val="32"/>
          <w:szCs w:val="22"/>
        </w:rPr>
        <w:t>4</w:t>
      </w:r>
      <w:r>
        <w:rPr>
          <w:rFonts w:eastAsia="仿宋_GB2312" w:hint="eastAsia"/>
          <w:sz w:val="32"/>
          <w:szCs w:val="22"/>
        </w:rPr>
        <w:t>人，经济监督减少</w:t>
      </w:r>
      <w:r>
        <w:rPr>
          <w:rFonts w:eastAsia="仿宋_GB2312" w:hint="eastAsia"/>
          <w:sz w:val="32"/>
          <w:szCs w:val="22"/>
        </w:rPr>
        <w:t>1</w:t>
      </w:r>
      <w:r>
        <w:rPr>
          <w:rFonts w:eastAsia="仿宋_GB2312" w:hint="eastAsia"/>
          <w:sz w:val="32"/>
          <w:szCs w:val="22"/>
        </w:rPr>
        <w:t>人</w:t>
      </w:r>
      <w:r>
        <w:rPr>
          <w:rFonts w:eastAsia="仿宋_GB2312" w:hint="eastAsia"/>
          <w:sz w:val="32"/>
          <w:szCs w:val="22"/>
        </w:rPr>
        <w:t>。</w:t>
      </w:r>
    </w:p>
    <w:p w14:paraId="449CE845"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2.</w:t>
      </w:r>
      <w:r>
        <w:rPr>
          <w:rFonts w:eastAsia="仿宋_GB2312" w:hint="eastAsia"/>
          <w:sz w:val="32"/>
          <w:szCs w:val="22"/>
        </w:rPr>
        <w:t>增减变动主要原因：</w:t>
      </w:r>
      <w:r>
        <w:rPr>
          <w:rFonts w:eastAsia="仿宋_GB2312" w:hint="eastAsia"/>
          <w:sz w:val="32"/>
          <w:szCs w:val="22"/>
        </w:rPr>
        <w:t>其他事业单位减少</w:t>
      </w:r>
      <w:r>
        <w:rPr>
          <w:rFonts w:eastAsia="仿宋_GB2312" w:hint="eastAsia"/>
          <w:sz w:val="32"/>
          <w:szCs w:val="22"/>
        </w:rPr>
        <w:t>8</w:t>
      </w:r>
      <w:r>
        <w:rPr>
          <w:rFonts w:eastAsia="仿宋_GB2312" w:hint="eastAsia"/>
          <w:sz w:val="32"/>
          <w:szCs w:val="22"/>
        </w:rPr>
        <w:t>人，卫生单位增加</w:t>
      </w:r>
      <w:r>
        <w:rPr>
          <w:rFonts w:eastAsia="仿宋_GB2312" w:hint="eastAsia"/>
          <w:sz w:val="32"/>
          <w:szCs w:val="22"/>
        </w:rPr>
        <w:t>142</w:t>
      </w:r>
      <w:r>
        <w:rPr>
          <w:rFonts w:eastAsia="仿宋_GB2312" w:hint="eastAsia"/>
          <w:sz w:val="32"/>
          <w:szCs w:val="22"/>
        </w:rPr>
        <w:t>人，学前教育减少</w:t>
      </w:r>
      <w:r>
        <w:rPr>
          <w:rFonts w:eastAsia="仿宋_GB2312" w:hint="eastAsia"/>
          <w:sz w:val="32"/>
          <w:szCs w:val="22"/>
        </w:rPr>
        <w:t>1</w:t>
      </w:r>
      <w:r>
        <w:rPr>
          <w:rFonts w:eastAsia="仿宋_GB2312" w:hint="eastAsia"/>
          <w:sz w:val="32"/>
          <w:szCs w:val="22"/>
        </w:rPr>
        <w:t>人，国防专武新增</w:t>
      </w:r>
      <w:r>
        <w:rPr>
          <w:rFonts w:eastAsia="仿宋_GB2312" w:hint="eastAsia"/>
          <w:sz w:val="32"/>
          <w:szCs w:val="22"/>
        </w:rPr>
        <w:t>5</w:t>
      </w:r>
      <w:r>
        <w:rPr>
          <w:rFonts w:eastAsia="仿宋_GB2312" w:hint="eastAsia"/>
          <w:sz w:val="32"/>
          <w:szCs w:val="22"/>
        </w:rPr>
        <w:t>人，其他事业单位减少</w:t>
      </w:r>
      <w:r>
        <w:rPr>
          <w:rFonts w:eastAsia="仿宋_GB2312" w:hint="eastAsia"/>
          <w:sz w:val="32"/>
          <w:szCs w:val="22"/>
        </w:rPr>
        <w:t>4</w:t>
      </w:r>
      <w:r>
        <w:rPr>
          <w:rFonts w:eastAsia="仿宋_GB2312" w:hint="eastAsia"/>
          <w:sz w:val="32"/>
          <w:szCs w:val="22"/>
        </w:rPr>
        <w:t>人，经济监督减少</w:t>
      </w:r>
      <w:r>
        <w:rPr>
          <w:rFonts w:eastAsia="仿宋_GB2312" w:hint="eastAsia"/>
          <w:sz w:val="32"/>
          <w:szCs w:val="22"/>
        </w:rPr>
        <w:t>1</w:t>
      </w:r>
      <w:r>
        <w:rPr>
          <w:rFonts w:eastAsia="仿宋_GB2312" w:hint="eastAsia"/>
          <w:sz w:val="32"/>
          <w:szCs w:val="22"/>
        </w:rPr>
        <w:t>人</w:t>
      </w:r>
      <w:r>
        <w:rPr>
          <w:rFonts w:eastAsia="仿宋_GB2312" w:hint="eastAsia"/>
          <w:sz w:val="32"/>
          <w:szCs w:val="22"/>
        </w:rPr>
        <w:t>。</w:t>
      </w:r>
    </w:p>
    <w:p w14:paraId="5287765B" w14:textId="77777777" w:rsidR="00000000" w:rsidRDefault="00763D17">
      <w:pPr>
        <w:spacing w:line="600" w:lineRule="exact"/>
        <w:ind w:firstLineChars="200" w:firstLine="640"/>
        <w:rPr>
          <w:rFonts w:eastAsia="黑体"/>
          <w:sz w:val="32"/>
          <w:szCs w:val="22"/>
        </w:rPr>
      </w:pPr>
      <w:r>
        <w:rPr>
          <w:rFonts w:eastAsia="黑体"/>
          <w:sz w:val="32"/>
          <w:szCs w:val="22"/>
        </w:rPr>
        <w:t>三、财政补贴人员</w:t>
      </w:r>
    </w:p>
    <w:p w14:paraId="31D4725A"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1.</w:t>
      </w:r>
      <w:r>
        <w:rPr>
          <w:rFonts w:eastAsia="仿宋_GB2312"/>
          <w:sz w:val="32"/>
          <w:szCs w:val="22"/>
        </w:rPr>
        <w:t>辅警</w:t>
      </w:r>
      <w:r>
        <w:rPr>
          <w:rFonts w:eastAsia="仿宋_GB2312" w:hint="eastAsia"/>
          <w:sz w:val="32"/>
          <w:szCs w:val="22"/>
        </w:rPr>
        <w:t>554</w:t>
      </w:r>
      <w:r>
        <w:rPr>
          <w:rFonts w:eastAsia="仿宋_GB2312"/>
          <w:sz w:val="32"/>
          <w:szCs w:val="22"/>
        </w:rPr>
        <w:t>人，较上年</w:t>
      </w:r>
      <w:r>
        <w:rPr>
          <w:rFonts w:eastAsia="仿宋_GB2312" w:hint="eastAsia"/>
          <w:sz w:val="32"/>
          <w:szCs w:val="22"/>
        </w:rPr>
        <w:t>减少</w:t>
      </w:r>
      <w:r>
        <w:rPr>
          <w:rFonts w:eastAsia="仿宋_GB2312" w:hint="eastAsia"/>
          <w:sz w:val="32"/>
          <w:szCs w:val="22"/>
        </w:rPr>
        <w:t>126</w:t>
      </w:r>
      <w:r>
        <w:rPr>
          <w:rFonts w:eastAsia="仿宋_GB2312"/>
          <w:sz w:val="32"/>
          <w:szCs w:val="22"/>
        </w:rPr>
        <w:t>人，</w:t>
      </w:r>
      <w:r>
        <w:rPr>
          <w:rFonts w:eastAsia="仿宋_GB2312" w:hint="eastAsia"/>
          <w:sz w:val="32"/>
          <w:szCs w:val="22"/>
        </w:rPr>
        <w:t>减</w:t>
      </w:r>
      <w:r>
        <w:rPr>
          <w:rFonts w:eastAsia="仿宋_GB2312"/>
          <w:sz w:val="32"/>
          <w:szCs w:val="22"/>
        </w:rPr>
        <w:t>幅</w:t>
      </w:r>
      <w:r>
        <w:rPr>
          <w:rFonts w:eastAsia="仿宋_GB2312" w:hint="eastAsia"/>
          <w:sz w:val="32"/>
          <w:szCs w:val="22"/>
        </w:rPr>
        <w:t>18.53</w:t>
      </w:r>
      <w:r>
        <w:rPr>
          <w:rFonts w:eastAsia="仿宋_GB2312"/>
          <w:sz w:val="32"/>
          <w:szCs w:val="22"/>
        </w:rPr>
        <w:t>%</w:t>
      </w:r>
      <w:r>
        <w:rPr>
          <w:rFonts w:eastAsia="仿宋_GB2312"/>
          <w:sz w:val="32"/>
          <w:szCs w:val="22"/>
        </w:rPr>
        <w:t>。</w:t>
      </w:r>
    </w:p>
    <w:p w14:paraId="3E33B2BF" w14:textId="77777777" w:rsidR="00000000" w:rsidRDefault="00763D17">
      <w:pPr>
        <w:spacing w:line="600" w:lineRule="exact"/>
        <w:ind w:firstLineChars="200" w:firstLine="640"/>
        <w:rPr>
          <w:rFonts w:eastAsia="仿宋_GB2312"/>
          <w:sz w:val="32"/>
          <w:szCs w:val="22"/>
        </w:rPr>
      </w:pPr>
      <w:r>
        <w:rPr>
          <w:rFonts w:eastAsia="仿宋_GB2312"/>
          <w:sz w:val="32"/>
          <w:szCs w:val="22"/>
        </w:rPr>
        <w:t>增减变动主要原因较上年</w:t>
      </w:r>
      <w:r>
        <w:rPr>
          <w:rFonts w:eastAsia="仿宋_GB2312" w:hint="eastAsia"/>
          <w:sz w:val="32"/>
          <w:szCs w:val="22"/>
        </w:rPr>
        <w:t>减少</w:t>
      </w:r>
      <w:r>
        <w:rPr>
          <w:rFonts w:eastAsia="仿宋_GB2312" w:hint="eastAsia"/>
          <w:sz w:val="32"/>
          <w:szCs w:val="22"/>
        </w:rPr>
        <w:t>126</w:t>
      </w:r>
      <w:r>
        <w:rPr>
          <w:rFonts w:eastAsia="仿宋_GB2312"/>
          <w:sz w:val="32"/>
          <w:szCs w:val="22"/>
        </w:rPr>
        <w:t>人</w:t>
      </w:r>
      <w:r>
        <w:rPr>
          <w:rFonts w:eastAsia="仿宋_GB2312" w:hint="eastAsia"/>
          <w:sz w:val="32"/>
          <w:szCs w:val="22"/>
        </w:rPr>
        <w:t>。</w:t>
      </w:r>
      <w:r>
        <w:rPr>
          <w:rFonts w:eastAsia="仿宋_GB2312"/>
          <w:sz w:val="32"/>
          <w:szCs w:val="22"/>
        </w:rPr>
        <w:t xml:space="preserve"> </w:t>
      </w:r>
    </w:p>
    <w:p w14:paraId="605D313C"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2.</w:t>
      </w:r>
      <w:r>
        <w:rPr>
          <w:rFonts w:eastAsia="仿宋_GB2312"/>
          <w:sz w:val="32"/>
          <w:szCs w:val="22"/>
        </w:rPr>
        <w:t>连队两委人数</w:t>
      </w:r>
      <w:r>
        <w:rPr>
          <w:rFonts w:eastAsia="仿宋_GB2312" w:hint="eastAsia"/>
          <w:sz w:val="32"/>
          <w:szCs w:val="22"/>
        </w:rPr>
        <w:t>695</w:t>
      </w:r>
      <w:r>
        <w:rPr>
          <w:rFonts w:eastAsia="仿宋_GB2312"/>
          <w:sz w:val="32"/>
          <w:szCs w:val="22"/>
        </w:rPr>
        <w:t>人，较上年</w:t>
      </w:r>
      <w:r>
        <w:rPr>
          <w:rFonts w:eastAsia="仿宋_GB2312" w:hint="eastAsia"/>
          <w:sz w:val="32"/>
          <w:szCs w:val="22"/>
        </w:rPr>
        <w:t>减少</w:t>
      </w:r>
      <w:r>
        <w:rPr>
          <w:rFonts w:eastAsia="仿宋_GB2312" w:hint="eastAsia"/>
          <w:sz w:val="32"/>
          <w:szCs w:val="22"/>
        </w:rPr>
        <w:t>4</w:t>
      </w:r>
      <w:r>
        <w:rPr>
          <w:rFonts w:eastAsia="仿宋_GB2312"/>
          <w:sz w:val="32"/>
          <w:szCs w:val="22"/>
        </w:rPr>
        <w:t>人</w:t>
      </w:r>
      <w:r>
        <w:rPr>
          <w:rFonts w:eastAsia="仿宋_GB2312" w:hint="eastAsia"/>
          <w:sz w:val="32"/>
          <w:szCs w:val="22"/>
        </w:rPr>
        <w:t>。</w:t>
      </w:r>
    </w:p>
    <w:p w14:paraId="7236C18E"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3.</w:t>
      </w:r>
      <w:r>
        <w:rPr>
          <w:rFonts w:eastAsia="仿宋_GB2312"/>
          <w:sz w:val="32"/>
          <w:szCs w:val="22"/>
        </w:rPr>
        <w:t>团场社区两委人</w:t>
      </w:r>
      <w:r>
        <w:rPr>
          <w:rFonts w:eastAsia="仿宋_GB2312"/>
          <w:sz w:val="32"/>
          <w:szCs w:val="22"/>
        </w:rPr>
        <w:t>数</w:t>
      </w:r>
      <w:r>
        <w:rPr>
          <w:rFonts w:eastAsia="仿宋_GB2312" w:hint="eastAsia"/>
          <w:sz w:val="32"/>
          <w:szCs w:val="22"/>
        </w:rPr>
        <w:t>75</w:t>
      </w:r>
      <w:r>
        <w:rPr>
          <w:rFonts w:eastAsia="仿宋_GB2312"/>
          <w:sz w:val="32"/>
          <w:szCs w:val="22"/>
        </w:rPr>
        <w:t>人，较上年</w:t>
      </w:r>
      <w:r>
        <w:rPr>
          <w:rFonts w:eastAsia="仿宋_GB2312" w:hint="eastAsia"/>
          <w:sz w:val="32"/>
          <w:szCs w:val="22"/>
        </w:rPr>
        <w:t>减少</w:t>
      </w:r>
      <w:r>
        <w:rPr>
          <w:rFonts w:eastAsia="仿宋_GB2312" w:hint="eastAsia"/>
          <w:sz w:val="32"/>
          <w:szCs w:val="22"/>
        </w:rPr>
        <w:t>1</w:t>
      </w:r>
      <w:r>
        <w:rPr>
          <w:rFonts w:eastAsia="仿宋_GB2312"/>
          <w:sz w:val="32"/>
          <w:szCs w:val="22"/>
        </w:rPr>
        <w:t>人。</w:t>
      </w:r>
    </w:p>
    <w:p w14:paraId="39AC60F8" w14:textId="77777777" w:rsidR="00000000" w:rsidRDefault="00763D17">
      <w:pPr>
        <w:spacing w:line="600" w:lineRule="exact"/>
        <w:ind w:firstLineChars="200" w:firstLine="640"/>
        <w:rPr>
          <w:rFonts w:eastAsia="仿宋_GB2312"/>
          <w:sz w:val="32"/>
          <w:szCs w:val="22"/>
        </w:rPr>
      </w:pPr>
      <w:r>
        <w:rPr>
          <w:rFonts w:eastAsia="仿宋_GB2312" w:hint="eastAsia"/>
          <w:sz w:val="32"/>
          <w:szCs w:val="22"/>
        </w:rPr>
        <w:t>两委人数</w:t>
      </w:r>
      <w:r>
        <w:rPr>
          <w:rFonts w:eastAsia="仿宋_GB2312" w:hint="eastAsia"/>
          <w:sz w:val="32"/>
          <w:szCs w:val="22"/>
        </w:rPr>
        <w:t>减少</w:t>
      </w:r>
      <w:r>
        <w:rPr>
          <w:rFonts w:eastAsia="仿宋_GB2312" w:hint="eastAsia"/>
          <w:sz w:val="32"/>
          <w:szCs w:val="22"/>
        </w:rPr>
        <w:t>的原因：</w:t>
      </w:r>
      <w:r>
        <w:rPr>
          <w:rFonts w:eastAsia="仿宋_GB2312" w:hint="eastAsia"/>
          <w:sz w:val="32"/>
          <w:szCs w:val="22"/>
        </w:rPr>
        <w:t>人员离职。</w:t>
      </w:r>
    </w:p>
    <w:p w14:paraId="2510D1A7" w14:textId="77777777" w:rsidR="00000000" w:rsidRDefault="00763D17">
      <w:pPr>
        <w:numPr>
          <w:ilvl w:val="0"/>
          <w:numId w:val="6"/>
        </w:numPr>
        <w:spacing w:line="600" w:lineRule="exact"/>
        <w:ind w:leftChars="100" w:left="210" w:firstLineChars="100" w:firstLine="320"/>
        <w:rPr>
          <w:rFonts w:eastAsia="黑体"/>
          <w:sz w:val="32"/>
          <w:szCs w:val="22"/>
        </w:rPr>
      </w:pPr>
      <w:r>
        <w:rPr>
          <w:rFonts w:eastAsia="黑体"/>
          <w:sz w:val="32"/>
          <w:szCs w:val="22"/>
        </w:rPr>
        <w:t>行政事业单位和企业离休人员</w:t>
      </w:r>
      <w:r>
        <w:rPr>
          <w:rFonts w:eastAsia="黑体" w:hint="eastAsia"/>
          <w:sz w:val="32"/>
          <w:szCs w:val="22"/>
        </w:rPr>
        <w:t>44</w:t>
      </w:r>
      <w:r>
        <w:rPr>
          <w:rFonts w:eastAsia="黑体"/>
          <w:sz w:val="32"/>
          <w:szCs w:val="22"/>
        </w:rPr>
        <w:t>人，较上年减少</w:t>
      </w:r>
      <w:r>
        <w:rPr>
          <w:rFonts w:eastAsia="黑体" w:hint="eastAsia"/>
          <w:sz w:val="32"/>
          <w:szCs w:val="22"/>
        </w:rPr>
        <w:t>26</w:t>
      </w:r>
      <w:r>
        <w:rPr>
          <w:rFonts w:eastAsia="黑体"/>
          <w:sz w:val="32"/>
          <w:szCs w:val="22"/>
        </w:rPr>
        <w:t>人。</w:t>
      </w:r>
    </w:p>
    <w:p w14:paraId="1147B90E" w14:textId="77777777" w:rsidR="00000000" w:rsidRDefault="00763D17">
      <w:pPr>
        <w:adjustRightInd w:val="0"/>
        <w:snapToGrid w:val="0"/>
        <w:spacing w:line="58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师团行政事业单位年末总人数</w:t>
      </w:r>
      <w:r>
        <w:rPr>
          <w:rFonts w:ascii="仿宋_GB2312" w:eastAsia="仿宋_GB2312" w:hAnsi="仿宋" w:cs="仿宋" w:hint="eastAsia"/>
          <w:sz w:val="32"/>
          <w:szCs w:val="32"/>
        </w:rPr>
        <w:t>4375</w:t>
      </w:r>
      <w:r>
        <w:rPr>
          <w:rFonts w:ascii="仿宋_GB2312" w:eastAsia="仿宋_GB2312" w:hAnsi="仿宋" w:cs="仿宋" w:hint="eastAsia"/>
          <w:sz w:val="32"/>
          <w:szCs w:val="32"/>
        </w:rPr>
        <w:t>人其中：在职人员</w:t>
      </w:r>
      <w:r>
        <w:rPr>
          <w:rFonts w:ascii="仿宋_GB2312" w:eastAsia="仿宋_GB2312" w:hAnsi="仿宋" w:cs="仿宋" w:hint="eastAsia"/>
          <w:sz w:val="32"/>
          <w:szCs w:val="32"/>
        </w:rPr>
        <w:t>4331</w:t>
      </w:r>
      <w:r>
        <w:rPr>
          <w:rFonts w:ascii="仿宋_GB2312" w:eastAsia="仿宋_GB2312" w:hAnsi="仿宋" w:cs="仿宋" w:hint="eastAsia"/>
          <w:sz w:val="32"/>
          <w:szCs w:val="32"/>
        </w:rPr>
        <w:t>人，较上年</w:t>
      </w:r>
      <w:r>
        <w:rPr>
          <w:rFonts w:ascii="仿宋_GB2312" w:eastAsia="仿宋_GB2312" w:hAnsi="仿宋" w:cs="仿宋" w:hint="eastAsia"/>
          <w:sz w:val="32"/>
          <w:szCs w:val="32"/>
        </w:rPr>
        <w:t>3931</w:t>
      </w:r>
      <w:r>
        <w:rPr>
          <w:rFonts w:ascii="仿宋_GB2312" w:eastAsia="仿宋_GB2312" w:hAnsi="仿宋" w:cs="仿宋" w:hint="eastAsia"/>
          <w:sz w:val="32"/>
          <w:szCs w:val="32"/>
        </w:rPr>
        <w:t>人，增加</w:t>
      </w:r>
      <w:r>
        <w:rPr>
          <w:rFonts w:ascii="仿宋_GB2312" w:eastAsia="仿宋_GB2312" w:hAnsi="仿宋" w:cs="仿宋" w:hint="eastAsia"/>
          <w:sz w:val="32"/>
          <w:szCs w:val="32"/>
        </w:rPr>
        <w:t>400</w:t>
      </w:r>
      <w:r>
        <w:rPr>
          <w:rFonts w:ascii="仿宋_GB2312" w:eastAsia="仿宋_GB2312" w:hAnsi="仿宋" w:cs="仿宋" w:hint="eastAsia"/>
          <w:sz w:val="32"/>
          <w:szCs w:val="32"/>
        </w:rPr>
        <w:t>人，增加</w:t>
      </w:r>
      <w:r>
        <w:rPr>
          <w:rFonts w:ascii="仿宋_GB2312" w:eastAsia="仿宋_GB2312" w:hAnsi="仿宋" w:cs="仿宋" w:hint="eastAsia"/>
          <w:sz w:val="32"/>
          <w:szCs w:val="32"/>
        </w:rPr>
        <w:t>1.22%</w:t>
      </w:r>
      <w:r>
        <w:rPr>
          <w:rFonts w:ascii="仿宋_GB2312" w:eastAsia="仿宋_GB2312" w:hAnsi="仿宋" w:cs="仿宋" w:hint="eastAsia"/>
          <w:sz w:val="32"/>
          <w:szCs w:val="32"/>
        </w:rPr>
        <w:t>。主要原因是新招录人员增加；离休人员</w:t>
      </w:r>
      <w:r>
        <w:rPr>
          <w:rFonts w:ascii="仿宋_GB2312" w:eastAsia="仿宋_GB2312" w:hAnsi="仿宋" w:cs="仿宋" w:hint="eastAsia"/>
          <w:sz w:val="32"/>
          <w:szCs w:val="32"/>
        </w:rPr>
        <w:t>44</w:t>
      </w:r>
      <w:r>
        <w:rPr>
          <w:rFonts w:ascii="仿宋_GB2312" w:eastAsia="仿宋_GB2312" w:hAnsi="仿宋" w:cs="仿宋" w:hint="eastAsia"/>
          <w:sz w:val="32"/>
          <w:szCs w:val="32"/>
        </w:rPr>
        <w:t>人，较上年</w:t>
      </w:r>
      <w:r>
        <w:rPr>
          <w:rFonts w:ascii="仿宋_GB2312" w:eastAsia="仿宋_GB2312" w:hAnsi="仿宋" w:cs="仿宋" w:hint="eastAsia"/>
          <w:sz w:val="32"/>
          <w:szCs w:val="32"/>
        </w:rPr>
        <w:t>70</w:t>
      </w:r>
      <w:r>
        <w:rPr>
          <w:rFonts w:ascii="仿宋_GB2312" w:eastAsia="仿宋_GB2312" w:hAnsi="仿宋" w:cs="仿宋" w:hint="eastAsia"/>
          <w:sz w:val="32"/>
          <w:szCs w:val="32"/>
        </w:rPr>
        <w:t>人，减少</w:t>
      </w:r>
      <w:r>
        <w:rPr>
          <w:rFonts w:ascii="仿宋_GB2312" w:eastAsia="仿宋_GB2312" w:hAnsi="仿宋" w:cs="仿宋" w:hint="eastAsia"/>
          <w:sz w:val="32"/>
          <w:szCs w:val="32"/>
        </w:rPr>
        <w:t>26</w:t>
      </w:r>
      <w:r>
        <w:rPr>
          <w:rFonts w:ascii="仿宋_GB2312" w:eastAsia="仿宋_GB2312" w:hAnsi="仿宋" w:cs="仿宋" w:hint="eastAsia"/>
          <w:sz w:val="32"/>
          <w:szCs w:val="32"/>
        </w:rPr>
        <w:t>人，下降</w:t>
      </w:r>
      <w:r>
        <w:rPr>
          <w:rFonts w:ascii="仿宋_GB2312" w:eastAsia="仿宋_GB2312" w:hAnsi="仿宋" w:cs="仿宋" w:hint="eastAsia"/>
          <w:sz w:val="32"/>
          <w:szCs w:val="32"/>
        </w:rPr>
        <w:t>37.14%</w:t>
      </w:r>
      <w:r>
        <w:rPr>
          <w:rFonts w:ascii="仿宋_GB2312" w:eastAsia="仿宋_GB2312" w:hAnsi="仿宋" w:cs="仿宋" w:hint="eastAsia"/>
          <w:sz w:val="32"/>
          <w:szCs w:val="32"/>
        </w:rPr>
        <w:t>；年末其他人员</w:t>
      </w:r>
      <w:r>
        <w:rPr>
          <w:rFonts w:ascii="仿宋_GB2312" w:eastAsia="仿宋_GB2312" w:hAnsi="仿宋" w:cs="仿宋" w:hint="eastAsia"/>
          <w:sz w:val="32"/>
          <w:szCs w:val="32"/>
        </w:rPr>
        <w:t>839</w:t>
      </w:r>
      <w:r>
        <w:rPr>
          <w:rFonts w:ascii="仿宋_GB2312" w:eastAsia="仿宋_GB2312" w:hAnsi="仿宋" w:cs="仿宋" w:hint="eastAsia"/>
          <w:sz w:val="32"/>
          <w:szCs w:val="32"/>
        </w:rPr>
        <w:t>人，较上年</w:t>
      </w:r>
      <w:r>
        <w:rPr>
          <w:rFonts w:ascii="仿宋_GB2312" w:eastAsia="仿宋_GB2312" w:hAnsi="仿宋" w:cs="仿宋" w:hint="eastAsia"/>
          <w:sz w:val="32"/>
          <w:szCs w:val="32"/>
        </w:rPr>
        <w:t>1192</w:t>
      </w:r>
      <w:r>
        <w:rPr>
          <w:rFonts w:ascii="仿宋_GB2312" w:eastAsia="仿宋_GB2312" w:hAnsi="仿宋" w:cs="仿宋" w:hint="eastAsia"/>
          <w:sz w:val="32"/>
          <w:szCs w:val="32"/>
        </w:rPr>
        <w:t>人，减少</w:t>
      </w:r>
      <w:r>
        <w:rPr>
          <w:rFonts w:ascii="仿宋_GB2312" w:eastAsia="仿宋_GB2312" w:hAnsi="仿宋" w:cs="仿宋" w:hint="eastAsia"/>
          <w:sz w:val="32"/>
          <w:szCs w:val="32"/>
        </w:rPr>
        <w:t>353</w:t>
      </w:r>
      <w:r>
        <w:rPr>
          <w:rFonts w:ascii="仿宋_GB2312" w:eastAsia="仿宋_GB2312" w:hAnsi="仿宋" w:cs="仿宋" w:hint="eastAsia"/>
          <w:sz w:val="32"/>
          <w:szCs w:val="32"/>
        </w:rPr>
        <w:t>人，下降</w:t>
      </w:r>
      <w:r>
        <w:rPr>
          <w:rFonts w:ascii="仿宋_GB2312" w:eastAsia="仿宋_GB2312" w:hAnsi="仿宋" w:cs="仿宋" w:hint="eastAsia"/>
          <w:sz w:val="32"/>
          <w:szCs w:val="32"/>
        </w:rPr>
        <w:t>29.61%</w:t>
      </w:r>
      <w:r>
        <w:rPr>
          <w:rFonts w:ascii="仿宋_GB2312" w:eastAsia="仿宋_GB2312" w:hAnsi="仿宋" w:cs="仿宋" w:hint="eastAsia"/>
          <w:sz w:val="32"/>
          <w:szCs w:val="32"/>
        </w:rPr>
        <w:t>（详见附表）。</w:t>
      </w:r>
    </w:p>
    <w:p w14:paraId="07930935" w14:textId="262410B6" w:rsidR="00000000" w:rsidRDefault="00B852E1">
      <w:pPr>
        <w:pStyle w:val="2"/>
        <w:ind w:leftChars="0" w:left="0" w:firstLineChars="0" w:firstLine="0"/>
        <w:rPr>
          <w:rFonts w:hint="eastAsia"/>
        </w:rPr>
      </w:pPr>
      <w:r>
        <w:rPr>
          <w:noProof/>
        </w:rPr>
        <w:lastRenderedPageBreak/>
        <w:drawing>
          <wp:inline distT="0" distB="0" distL="0" distR="0" wp14:anchorId="47979E56" wp14:editId="01A80713">
            <wp:extent cx="6242050" cy="3140075"/>
            <wp:effectExtent l="0" t="0" r="0" b="0"/>
            <wp:docPr id="15" name="图片 16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9780" w:type="dxa"/>
        <w:tblInd w:w="96" w:type="dxa"/>
        <w:tblLook w:val="0000" w:firstRow="0" w:lastRow="0" w:firstColumn="0" w:lastColumn="0" w:noHBand="0" w:noVBand="0"/>
      </w:tblPr>
      <w:tblGrid>
        <w:gridCol w:w="2400"/>
        <w:gridCol w:w="1080"/>
        <w:gridCol w:w="1068"/>
        <w:gridCol w:w="1092"/>
        <w:gridCol w:w="780"/>
        <w:gridCol w:w="3360"/>
      </w:tblGrid>
      <w:tr w:rsidR="00000000" w14:paraId="16B9A461" w14:textId="77777777">
        <w:trPr>
          <w:trHeight w:val="1100"/>
          <w:tblHeader/>
        </w:trPr>
        <w:tc>
          <w:tcPr>
            <w:tcW w:w="2400" w:type="dxa"/>
            <w:tcBorders>
              <w:top w:val="single" w:sz="4" w:space="0" w:color="000000"/>
              <w:left w:val="single" w:sz="4" w:space="0" w:color="000000"/>
              <w:bottom w:val="single" w:sz="4" w:space="0" w:color="000000"/>
              <w:right w:val="single" w:sz="4" w:space="0" w:color="000000"/>
            </w:tcBorders>
            <w:noWrap/>
            <w:vAlign w:val="center"/>
          </w:tcPr>
          <w:p w14:paraId="2ED4F5C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单位名称</w:t>
            </w:r>
          </w:p>
        </w:tc>
        <w:tc>
          <w:tcPr>
            <w:tcW w:w="1080" w:type="dxa"/>
            <w:tcBorders>
              <w:top w:val="single" w:sz="4" w:space="0" w:color="000000"/>
              <w:left w:val="single" w:sz="4" w:space="0" w:color="000000"/>
              <w:bottom w:val="single" w:sz="4" w:space="0" w:color="000000"/>
              <w:right w:val="single" w:sz="4" w:space="0" w:color="000000"/>
            </w:tcBorders>
            <w:vAlign w:val="center"/>
          </w:tcPr>
          <w:p w14:paraId="3AE647C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行业分类含义</w:t>
            </w:r>
          </w:p>
        </w:tc>
        <w:tc>
          <w:tcPr>
            <w:tcW w:w="1068" w:type="dxa"/>
            <w:tcBorders>
              <w:top w:val="single" w:sz="4" w:space="0" w:color="000000"/>
              <w:left w:val="single" w:sz="4" w:space="0" w:color="000000"/>
              <w:bottom w:val="single" w:sz="4" w:space="0" w:color="000000"/>
              <w:right w:val="single" w:sz="4" w:space="0" w:color="000000"/>
            </w:tcBorders>
            <w:vAlign w:val="center"/>
          </w:tcPr>
          <w:p w14:paraId="2F5CB81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2022</w:t>
            </w:r>
            <w:r>
              <w:rPr>
                <w:rFonts w:ascii="宋体" w:eastAsia="宋体" w:hAnsi="宋体" w:cs="宋体" w:hint="eastAsia"/>
                <w:color w:val="000000"/>
                <w:kern w:val="0"/>
                <w:sz w:val="22"/>
                <w:szCs w:val="22"/>
                <w:lang w:bidi="ar"/>
              </w:rPr>
              <w:t>年末实有人数</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在职人员</w:t>
            </w:r>
          </w:p>
        </w:tc>
        <w:tc>
          <w:tcPr>
            <w:tcW w:w="1092" w:type="dxa"/>
            <w:tcBorders>
              <w:top w:val="single" w:sz="4" w:space="0" w:color="000000"/>
              <w:left w:val="single" w:sz="4" w:space="0" w:color="000000"/>
              <w:bottom w:val="single" w:sz="4" w:space="0" w:color="000000"/>
              <w:right w:val="single" w:sz="4" w:space="0" w:color="000000"/>
            </w:tcBorders>
            <w:vAlign w:val="center"/>
          </w:tcPr>
          <w:p w14:paraId="130F54E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年末实有人数</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在职人员</w:t>
            </w:r>
          </w:p>
        </w:tc>
        <w:tc>
          <w:tcPr>
            <w:tcW w:w="780" w:type="dxa"/>
            <w:tcBorders>
              <w:top w:val="single" w:sz="4" w:space="0" w:color="000000"/>
              <w:left w:val="single" w:sz="4" w:space="0" w:color="000000"/>
              <w:bottom w:val="single" w:sz="4" w:space="0" w:color="000000"/>
              <w:right w:val="single" w:sz="4" w:space="0" w:color="000000"/>
            </w:tcBorders>
            <w:noWrap/>
            <w:vAlign w:val="center"/>
          </w:tcPr>
          <w:p w14:paraId="4E38CFC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差异</w:t>
            </w:r>
          </w:p>
        </w:tc>
        <w:tc>
          <w:tcPr>
            <w:tcW w:w="3360" w:type="dxa"/>
            <w:tcBorders>
              <w:top w:val="single" w:sz="4" w:space="0" w:color="000000"/>
              <w:left w:val="single" w:sz="4" w:space="0" w:color="000000"/>
              <w:bottom w:val="single" w:sz="4" w:space="0" w:color="000000"/>
              <w:right w:val="single" w:sz="4" w:space="0" w:color="000000"/>
            </w:tcBorders>
            <w:noWrap/>
            <w:vAlign w:val="center"/>
          </w:tcPr>
          <w:p w14:paraId="7487BF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主要原因</w:t>
            </w:r>
          </w:p>
        </w:tc>
      </w:tr>
      <w:tr w:rsidR="00000000" w14:paraId="54AFC662" w14:textId="77777777">
        <w:trPr>
          <w:trHeight w:val="1380"/>
        </w:trPr>
        <w:tc>
          <w:tcPr>
            <w:tcW w:w="2400" w:type="dxa"/>
            <w:tcBorders>
              <w:top w:val="single" w:sz="4" w:space="0" w:color="000000"/>
              <w:left w:val="single" w:sz="4" w:space="0" w:color="000000"/>
              <w:bottom w:val="single" w:sz="4" w:space="0" w:color="000000"/>
              <w:right w:val="single" w:sz="4" w:space="0" w:color="000000"/>
            </w:tcBorders>
            <w:vAlign w:val="center"/>
          </w:tcPr>
          <w:p w14:paraId="6AE3CF8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w:t>
            </w:r>
            <w:r>
              <w:rPr>
                <w:rFonts w:ascii="宋体" w:eastAsia="宋体" w:hAnsi="宋体" w:cs="宋体" w:hint="eastAsia"/>
                <w:color w:val="000000"/>
                <w:kern w:val="0"/>
                <w:sz w:val="22"/>
                <w:szCs w:val="22"/>
                <w:lang w:bidi="ar"/>
              </w:rPr>
              <w:t>团第九师纪律检查委员会（本级）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09CD03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AECE9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w:t>
            </w:r>
          </w:p>
        </w:tc>
        <w:tc>
          <w:tcPr>
            <w:tcW w:w="1092" w:type="dxa"/>
            <w:tcBorders>
              <w:top w:val="single" w:sz="4" w:space="0" w:color="000000"/>
              <w:left w:val="single" w:sz="4" w:space="0" w:color="000000"/>
              <w:bottom w:val="single" w:sz="4" w:space="0" w:color="000000"/>
              <w:right w:val="single" w:sz="4" w:space="0" w:color="000000"/>
            </w:tcBorders>
            <w:vAlign w:val="center"/>
          </w:tcPr>
          <w:p w14:paraId="4DC503A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w:t>
            </w:r>
          </w:p>
        </w:tc>
        <w:tc>
          <w:tcPr>
            <w:tcW w:w="780" w:type="dxa"/>
            <w:tcBorders>
              <w:top w:val="single" w:sz="4" w:space="0" w:color="000000"/>
              <w:left w:val="single" w:sz="4" w:space="0" w:color="000000"/>
              <w:bottom w:val="single" w:sz="4" w:space="0" w:color="000000"/>
              <w:right w:val="single" w:sz="4" w:space="0" w:color="000000"/>
            </w:tcBorders>
            <w:vAlign w:val="center"/>
          </w:tcPr>
          <w:p w14:paraId="1A2AB2F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7321045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23</w:t>
            </w:r>
            <w:r>
              <w:rPr>
                <w:rFonts w:ascii="宋体" w:eastAsia="宋体" w:hAnsi="宋体" w:cs="宋体" w:hint="eastAsia"/>
                <w:color w:val="000000"/>
                <w:kern w:val="0"/>
                <w:sz w:val="22"/>
                <w:szCs w:val="22"/>
                <w:lang w:bidi="ar"/>
              </w:rPr>
              <w:t>年度新增</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人（从团场遴选</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人，从城市管理综合综合行政执法支队参公单位调入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人），减少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人（调往审计局）</w:t>
            </w:r>
          </w:p>
        </w:tc>
      </w:tr>
      <w:tr w:rsidR="00000000" w14:paraId="14311B6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65A7C8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新疆兵团第九师党风廉政建设教育中心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86872E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2A0DE25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71AFE6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042451D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063EAB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w:t>
            </w:r>
            <w:r>
              <w:rPr>
                <w:rFonts w:ascii="宋体" w:eastAsia="宋体" w:hAnsi="宋体" w:cs="宋体" w:hint="eastAsia"/>
                <w:color w:val="000000"/>
                <w:kern w:val="0"/>
                <w:sz w:val="22"/>
                <w:szCs w:val="22"/>
                <w:lang w:bidi="ar"/>
              </w:rPr>
              <w:t>年末在职</w:t>
            </w:r>
            <w:r>
              <w:rPr>
                <w:rFonts w:ascii="宋体" w:eastAsia="宋体" w:hAnsi="宋体" w:cs="宋体" w:hint="eastAsia"/>
                <w:color w:val="000000"/>
                <w:kern w:val="0"/>
                <w:sz w:val="22"/>
                <w:szCs w:val="22"/>
                <w:lang w:bidi="ar"/>
              </w:rPr>
              <w:t>9</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23</w:t>
            </w:r>
            <w:r>
              <w:rPr>
                <w:rFonts w:ascii="宋体" w:eastAsia="宋体" w:hAnsi="宋体" w:cs="宋体" w:hint="eastAsia"/>
                <w:color w:val="000000"/>
                <w:kern w:val="0"/>
                <w:sz w:val="22"/>
                <w:szCs w:val="22"/>
                <w:lang w:bidi="ar"/>
              </w:rPr>
              <w:t>年新入职</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人（均为校招人员），调出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人（主任）</w:t>
            </w:r>
          </w:p>
        </w:tc>
      </w:tr>
      <w:tr w:rsidR="00000000" w14:paraId="66F611A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AF4B72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新疆兵团第九师政务服务中心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923239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41A6F9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1092" w:type="dxa"/>
            <w:tcBorders>
              <w:top w:val="single" w:sz="4" w:space="0" w:color="000000"/>
              <w:left w:val="single" w:sz="4" w:space="0" w:color="000000"/>
              <w:bottom w:val="single" w:sz="4" w:space="0" w:color="000000"/>
              <w:right w:val="single" w:sz="4" w:space="0" w:color="000000"/>
            </w:tcBorders>
            <w:vAlign w:val="center"/>
          </w:tcPr>
          <w:p w14:paraId="7538C6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780" w:type="dxa"/>
            <w:tcBorders>
              <w:top w:val="single" w:sz="4" w:space="0" w:color="000000"/>
              <w:left w:val="single" w:sz="4" w:space="0" w:color="000000"/>
              <w:bottom w:val="single" w:sz="4" w:space="0" w:color="000000"/>
              <w:right w:val="single" w:sz="4" w:space="0" w:color="000000"/>
            </w:tcBorders>
            <w:vAlign w:val="center"/>
          </w:tcPr>
          <w:p w14:paraId="1E2809B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0109906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新考入人员、离职人员等造成</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年末新增</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名工作人员</w:t>
            </w:r>
          </w:p>
        </w:tc>
      </w:tr>
      <w:tr w:rsidR="00000000" w14:paraId="3DEB59A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9109AD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新疆兵团第九师机关后勤服务中心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D105D7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7DE0BF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7C7D36D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6AAD3C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13018F8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本年度单位在职人员武器库分流</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5AA62E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8DC077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新疆兵团公共资源交易第九分中心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C16E38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5238B9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0FAEAF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3B8A73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982B018" w14:textId="77777777" w:rsidR="00000000" w:rsidRDefault="00763D17">
            <w:pPr>
              <w:rPr>
                <w:rFonts w:ascii="宋体" w:eastAsia="宋体" w:hAnsi="宋体" w:cs="宋体" w:hint="eastAsia"/>
                <w:color w:val="000000"/>
                <w:sz w:val="22"/>
                <w:szCs w:val="22"/>
              </w:rPr>
            </w:pPr>
          </w:p>
        </w:tc>
      </w:tr>
      <w:tr w:rsidR="00000000" w14:paraId="7B22C4C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4A238F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新疆兵团第九师人民群众信访服务中心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E7093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FDB716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209A834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62AB85E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93D98FB" w14:textId="77777777" w:rsidR="00000000" w:rsidRDefault="00763D17">
            <w:pPr>
              <w:rPr>
                <w:rFonts w:ascii="宋体" w:eastAsia="宋体" w:hAnsi="宋体" w:cs="宋体" w:hint="eastAsia"/>
                <w:color w:val="000000"/>
                <w:sz w:val="22"/>
                <w:szCs w:val="22"/>
              </w:rPr>
            </w:pPr>
          </w:p>
        </w:tc>
      </w:tr>
      <w:tr w:rsidR="00000000" w14:paraId="2F2E1DF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FE2E5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新疆兵团第九师档案馆</w:t>
            </w:r>
          </w:p>
        </w:tc>
        <w:tc>
          <w:tcPr>
            <w:tcW w:w="1080" w:type="dxa"/>
            <w:tcBorders>
              <w:top w:val="single" w:sz="4" w:space="0" w:color="000000"/>
              <w:left w:val="single" w:sz="4" w:space="0" w:color="000000"/>
              <w:bottom w:val="single" w:sz="4" w:space="0" w:color="000000"/>
              <w:right w:val="single" w:sz="4" w:space="0" w:color="000000"/>
            </w:tcBorders>
            <w:vAlign w:val="center"/>
          </w:tcPr>
          <w:p w14:paraId="3E855AE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文化艺术业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CFC3199" w14:textId="77777777" w:rsidR="00000000" w:rsidRDefault="00763D17">
            <w:pPr>
              <w:jc w:val="center"/>
              <w:rPr>
                <w:rFonts w:ascii="宋体" w:eastAsia="宋体" w:hAnsi="宋体" w:cs="宋体" w:hint="eastAsia"/>
                <w:color w:val="000000"/>
                <w:sz w:val="22"/>
                <w:szCs w:val="22"/>
              </w:rPr>
            </w:pPr>
          </w:p>
        </w:tc>
        <w:tc>
          <w:tcPr>
            <w:tcW w:w="1092" w:type="dxa"/>
            <w:tcBorders>
              <w:top w:val="single" w:sz="4" w:space="0" w:color="000000"/>
              <w:left w:val="single" w:sz="4" w:space="0" w:color="000000"/>
              <w:bottom w:val="single" w:sz="4" w:space="0" w:color="000000"/>
              <w:right w:val="single" w:sz="4" w:space="0" w:color="000000"/>
            </w:tcBorders>
            <w:vAlign w:val="center"/>
          </w:tcPr>
          <w:p w14:paraId="1207757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780" w:type="dxa"/>
            <w:tcBorders>
              <w:top w:val="single" w:sz="4" w:space="0" w:color="000000"/>
              <w:left w:val="single" w:sz="4" w:space="0" w:color="000000"/>
              <w:bottom w:val="single" w:sz="4" w:space="0" w:color="000000"/>
              <w:right w:val="single" w:sz="4" w:space="0" w:color="000000"/>
            </w:tcBorders>
            <w:vAlign w:val="center"/>
          </w:tcPr>
          <w:p w14:paraId="43329A5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756FCD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新增单位</w:t>
            </w:r>
          </w:p>
        </w:tc>
      </w:tr>
      <w:tr w:rsidR="00000000" w14:paraId="09EB179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7407B7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新疆兵团第九师办公室（本级）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FCDBCA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32CA470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60</w:t>
            </w:r>
          </w:p>
        </w:tc>
        <w:tc>
          <w:tcPr>
            <w:tcW w:w="1092" w:type="dxa"/>
            <w:tcBorders>
              <w:top w:val="single" w:sz="4" w:space="0" w:color="000000"/>
              <w:left w:val="single" w:sz="4" w:space="0" w:color="000000"/>
              <w:bottom w:val="single" w:sz="4" w:space="0" w:color="000000"/>
              <w:right w:val="single" w:sz="4" w:space="0" w:color="000000"/>
            </w:tcBorders>
            <w:vAlign w:val="center"/>
          </w:tcPr>
          <w:p w14:paraId="1512B50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63</w:t>
            </w:r>
          </w:p>
        </w:tc>
        <w:tc>
          <w:tcPr>
            <w:tcW w:w="780" w:type="dxa"/>
            <w:tcBorders>
              <w:top w:val="single" w:sz="4" w:space="0" w:color="000000"/>
              <w:left w:val="single" w:sz="4" w:space="0" w:color="000000"/>
              <w:bottom w:val="single" w:sz="4" w:space="0" w:color="000000"/>
              <w:right w:val="single" w:sz="4" w:space="0" w:color="000000"/>
            </w:tcBorders>
            <w:vAlign w:val="center"/>
          </w:tcPr>
          <w:p w14:paraId="09B781D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5FFD0D1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r>
              <w:rPr>
                <w:rFonts w:ascii="宋体" w:eastAsia="宋体" w:hAnsi="宋体" w:cs="宋体" w:hint="eastAsia"/>
                <w:color w:val="000000"/>
                <w:kern w:val="0"/>
                <w:sz w:val="22"/>
                <w:szCs w:val="22"/>
                <w:lang w:bidi="ar"/>
              </w:rPr>
              <w:t>月师领导王岩及李静</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人从外单位调入九师任职，师领导郭亮军</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人从团场调入九师任职</w:t>
            </w:r>
          </w:p>
        </w:tc>
      </w:tr>
      <w:tr w:rsidR="00000000" w14:paraId="57BC155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AF51AE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新疆兵团第九师委员会组织部（本级）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816E7D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31C8F2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1092" w:type="dxa"/>
            <w:tcBorders>
              <w:top w:val="single" w:sz="4" w:space="0" w:color="000000"/>
              <w:left w:val="single" w:sz="4" w:space="0" w:color="000000"/>
              <w:bottom w:val="single" w:sz="4" w:space="0" w:color="000000"/>
              <w:right w:val="single" w:sz="4" w:space="0" w:color="000000"/>
            </w:tcBorders>
            <w:vAlign w:val="center"/>
          </w:tcPr>
          <w:p w14:paraId="050FF37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13</w:t>
            </w:r>
          </w:p>
        </w:tc>
        <w:tc>
          <w:tcPr>
            <w:tcW w:w="780" w:type="dxa"/>
            <w:tcBorders>
              <w:top w:val="single" w:sz="4" w:space="0" w:color="000000"/>
              <w:left w:val="single" w:sz="4" w:space="0" w:color="000000"/>
              <w:bottom w:val="single" w:sz="4" w:space="0" w:color="000000"/>
              <w:right w:val="single" w:sz="4" w:space="0" w:color="000000"/>
            </w:tcBorders>
            <w:vAlign w:val="center"/>
          </w:tcPr>
          <w:p w14:paraId="4FFABBF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610A00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23</w:t>
            </w:r>
            <w:r>
              <w:rPr>
                <w:rFonts w:ascii="宋体" w:eastAsia="宋体" w:hAnsi="宋体" w:cs="宋体" w:hint="eastAsia"/>
                <w:color w:val="000000"/>
                <w:kern w:val="0"/>
                <w:sz w:val="22"/>
                <w:szCs w:val="22"/>
                <w:lang w:bidi="ar"/>
              </w:rPr>
              <w:t>年从</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团和</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团调入到本单位</w:t>
            </w:r>
          </w:p>
        </w:tc>
      </w:tr>
      <w:tr w:rsidR="00000000" w14:paraId="4951E29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58BC7F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新疆兵团第九师老干部休养所</w:t>
            </w:r>
          </w:p>
        </w:tc>
        <w:tc>
          <w:tcPr>
            <w:tcW w:w="1080" w:type="dxa"/>
            <w:tcBorders>
              <w:top w:val="single" w:sz="4" w:space="0" w:color="000000"/>
              <w:left w:val="single" w:sz="4" w:space="0" w:color="000000"/>
              <w:bottom w:val="single" w:sz="4" w:space="0" w:color="000000"/>
              <w:right w:val="single" w:sz="4" w:space="0" w:color="000000"/>
            </w:tcBorders>
            <w:vAlign w:val="center"/>
          </w:tcPr>
          <w:p w14:paraId="3E82C69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A0863D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6EEC288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74DB4D3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C2EC54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年度新招录</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w:t>
            </w:r>
          </w:p>
        </w:tc>
      </w:tr>
      <w:tr w:rsidR="00000000" w14:paraId="4117BEA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56FB4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w:t>
            </w:r>
            <w:r>
              <w:rPr>
                <w:rFonts w:ascii="宋体" w:eastAsia="宋体" w:hAnsi="宋体" w:cs="宋体" w:hint="eastAsia"/>
                <w:color w:val="000000"/>
                <w:kern w:val="0"/>
                <w:sz w:val="22"/>
                <w:szCs w:val="22"/>
                <w:lang w:bidi="ar"/>
              </w:rPr>
              <w:t>疆兵团第九师党员干部现代远程教育管理中心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96671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A2AA8E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119DED8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72AD039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726FAB9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年初新招录人员</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p>
        </w:tc>
      </w:tr>
      <w:tr w:rsidR="00000000" w14:paraId="71B8987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6FA59B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新疆兵团第九师党委统战部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0D51D40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173EAEC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5AC423F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31A5B25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CB7C976" w14:textId="77777777" w:rsidR="00000000" w:rsidRDefault="00763D17">
            <w:pPr>
              <w:rPr>
                <w:rFonts w:ascii="宋体" w:eastAsia="宋体" w:hAnsi="宋体" w:cs="宋体" w:hint="eastAsia"/>
                <w:color w:val="000000"/>
                <w:sz w:val="22"/>
                <w:szCs w:val="22"/>
              </w:rPr>
            </w:pPr>
          </w:p>
        </w:tc>
      </w:tr>
      <w:tr w:rsidR="00000000" w14:paraId="42EC72F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1BF17C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新疆兵团第九师委员会政法委员会（本级）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2B01016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609F451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5929CB6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336C548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5DF2B3E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年新增</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名人员，分别于</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12</w:t>
            </w:r>
            <w:r>
              <w:rPr>
                <w:rFonts w:ascii="宋体" w:eastAsia="宋体" w:hAnsi="宋体" w:cs="宋体" w:hint="eastAsia"/>
                <w:color w:val="000000"/>
                <w:kern w:val="0"/>
                <w:sz w:val="22"/>
                <w:szCs w:val="22"/>
                <w:lang w:bidi="ar"/>
              </w:rPr>
              <w:t>月调入</w:t>
            </w:r>
          </w:p>
        </w:tc>
      </w:tr>
      <w:tr w:rsidR="00000000" w14:paraId="1964382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4045E7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新疆兵团第九师综治中心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6A85C5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3EC158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4303C4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0288BE7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2FEF0A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年减少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名人员，于</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月辞职。</w:t>
            </w:r>
          </w:p>
        </w:tc>
      </w:tr>
      <w:tr w:rsidR="00000000" w14:paraId="311D005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4CBF59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新疆兵团第九师政策研究室（本级）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F9929C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01E55A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56D4FB2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43B348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FEF79B5" w14:textId="77777777" w:rsidR="00000000" w:rsidRDefault="00763D17">
            <w:pPr>
              <w:rPr>
                <w:rFonts w:ascii="宋体" w:eastAsia="宋体" w:hAnsi="宋体" w:cs="宋体" w:hint="eastAsia"/>
                <w:color w:val="000000"/>
                <w:sz w:val="22"/>
                <w:szCs w:val="22"/>
              </w:rPr>
            </w:pPr>
          </w:p>
        </w:tc>
      </w:tr>
      <w:tr w:rsidR="00000000" w14:paraId="7073BEA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0A3503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新疆兵团第九师党委网络安全和信息化委员会办公室（本级）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544A224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w:t>
            </w:r>
            <w:r>
              <w:rPr>
                <w:rFonts w:ascii="宋体" w:eastAsia="宋体" w:hAnsi="宋体" w:cs="宋体" w:hint="eastAsia"/>
                <w:color w:val="000000"/>
                <w:kern w:val="0"/>
                <w:sz w:val="22"/>
                <w:szCs w:val="22"/>
                <w:lang w:bidi="ar"/>
              </w:rPr>
              <w:t>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3B12E4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5ED9A33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5E5868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0AFB9B3" w14:textId="77777777" w:rsidR="00000000" w:rsidRDefault="00763D17">
            <w:pPr>
              <w:rPr>
                <w:rFonts w:ascii="宋体" w:eastAsia="宋体" w:hAnsi="宋体" w:cs="宋体" w:hint="eastAsia"/>
                <w:color w:val="000000"/>
                <w:sz w:val="22"/>
                <w:szCs w:val="22"/>
              </w:rPr>
            </w:pPr>
          </w:p>
        </w:tc>
      </w:tr>
      <w:tr w:rsidR="00000000" w14:paraId="11E1FC5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365D01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新疆兵团第九师网络舆情中心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13ED6D1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软件和信息技术服务业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67F81B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34A052A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059080B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3A73D29" w14:textId="77777777" w:rsidR="00000000" w:rsidRDefault="00763D17">
            <w:pPr>
              <w:rPr>
                <w:rFonts w:ascii="宋体" w:eastAsia="宋体" w:hAnsi="宋体" w:cs="宋体" w:hint="eastAsia"/>
                <w:color w:val="000000"/>
                <w:sz w:val="22"/>
                <w:szCs w:val="22"/>
              </w:rPr>
            </w:pPr>
          </w:p>
        </w:tc>
      </w:tr>
      <w:tr w:rsidR="00000000" w14:paraId="514C598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59AD3D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新疆兵团第九师委员会机构编制委员会办公室（本级）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3FBE0CC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78FD7CD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2FAC488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7F677B3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FEF102D" w14:textId="77777777" w:rsidR="00000000" w:rsidRDefault="00763D17">
            <w:pPr>
              <w:rPr>
                <w:rFonts w:ascii="宋体" w:eastAsia="宋体" w:hAnsi="宋体" w:cs="宋体" w:hint="eastAsia"/>
                <w:color w:val="000000"/>
                <w:sz w:val="22"/>
                <w:szCs w:val="22"/>
              </w:rPr>
            </w:pPr>
          </w:p>
        </w:tc>
      </w:tr>
      <w:tr w:rsidR="00000000" w14:paraId="6FFBFBC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912647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新疆兵团第九师机构编制电子政务中心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1A4B7F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7335CD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487EA96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3E36D9A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94966DC" w14:textId="77777777" w:rsidR="00000000" w:rsidRDefault="00763D17">
            <w:pPr>
              <w:rPr>
                <w:rFonts w:ascii="宋体" w:eastAsia="宋体" w:hAnsi="宋体" w:cs="宋体" w:hint="eastAsia"/>
                <w:color w:val="000000"/>
                <w:sz w:val="22"/>
                <w:szCs w:val="22"/>
              </w:rPr>
            </w:pPr>
          </w:p>
        </w:tc>
      </w:tr>
      <w:tr w:rsidR="00000000" w14:paraId="090D56A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0F71D2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新疆兵团第九师党委直属机关工作委员会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1325E71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301F1E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34D815E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60CD0F8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5DA0C0E" w14:textId="77777777" w:rsidR="00000000" w:rsidRDefault="00763D17">
            <w:pPr>
              <w:rPr>
                <w:rFonts w:ascii="宋体" w:eastAsia="宋体" w:hAnsi="宋体" w:cs="宋体" w:hint="eastAsia"/>
                <w:color w:val="000000"/>
                <w:sz w:val="22"/>
                <w:szCs w:val="22"/>
              </w:rPr>
            </w:pPr>
          </w:p>
        </w:tc>
      </w:tr>
      <w:tr w:rsidR="00000000" w14:paraId="52315CE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FC1BE7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新疆兵团第九师委员会巡察工作领导小组办公室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26B418B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6624331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15C9C03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77DEFDC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0BA9D4D" w14:textId="77777777" w:rsidR="00000000" w:rsidRDefault="00763D17">
            <w:pPr>
              <w:rPr>
                <w:rFonts w:ascii="宋体" w:eastAsia="宋体" w:hAnsi="宋体" w:cs="宋体" w:hint="eastAsia"/>
                <w:color w:val="000000"/>
                <w:sz w:val="22"/>
                <w:szCs w:val="22"/>
              </w:rPr>
            </w:pPr>
          </w:p>
        </w:tc>
      </w:tr>
      <w:tr w:rsidR="00000000" w14:paraId="679716C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AC6D4A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新疆兵团第九师机要保密局（本级）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8D8DB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426470A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22437A4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11B7096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5F087D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月遴选至兵团</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人，较上年末减少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618B95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A51661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保密技术服务中心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FC6A17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专业技术服务业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22CA6D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1609A62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0B37FF6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7E4E1F6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，总人数较上年增加</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3843E20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D8A4A1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新疆兵团第九师财政局（本级）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D49434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EA5C18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13</w:t>
            </w:r>
          </w:p>
        </w:tc>
        <w:tc>
          <w:tcPr>
            <w:tcW w:w="1092" w:type="dxa"/>
            <w:tcBorders>
              <w:top w:val="single" w:sz="4" w:space="0" w:color="000000"/>
              <w:left w:val="single" w:sz="4" w:space="0" w:color="000000"/>
              <w:bottom w:val="single" w:sz="4" w:space="0" w:color="000000"/>
              <w:right w:val="single" w:sz="4" w:space="0" w:color="000000"/>
            </w:tcBorders>
            <w:vAlign w:val="center"/>
          </w:tcPr>
          <w:p w14:paraId="07FCF76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0EAC3B8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00758A3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月新入职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人和</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月新入职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1BB0C7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F42168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新疆兵团第九师国库集中支付中心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567405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其他服务业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51D0B4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66464DF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3229551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76B2502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新录用人员</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名，工资社保医保公积金增加，各项支出增加</w:t>
            </w:r>
          </w:p>
        </w:tc>
      </w:tr>
      <w:tr w:rsidR="00000000" w14:paraId="1E75A4D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FD91E2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新疆兵团第九师财政金融服务中心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7665C2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其他服务业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CE99DB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1954E1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686A517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1C5706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工资社保公积金等有所上升，</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月通过招录考试新增加</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0286B97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2409C6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新疆兵团第九师商务局（本级）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23BCD0E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DA7956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411A3AB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64BA38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ECE119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王芳莉调出</w:t>
            </w:r>
          </w:p>
        </w:tc>
      </w:tr>
      <w:tr w:rsidR="00000000" w14:paraId="1246664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58690C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新疆兵团第九师投资促进服务中心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166D0E1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商务服务业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70C36DF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145EFFA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1B82743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6B17E4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新考入一人</w:t>
            </w:r>
          </w:p>
        </w:tc>
      </w:tr>
      <w:tr w:rsidR="00000000" w14:paraId="3CF18A5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1CD73D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新疆兵团第九师审计局（本级）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31E23A6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EE845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3FB8B0A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2B5D202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2EA64D5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2022</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月退休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CB21D0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95460D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新疆兵团第九师农牧团场第一审计中心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513743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65E3B9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4821195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8D6511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0F18619" w14:textId="77777777" w:rsidR="00000000" w:rsidRDefault="00763D17">
            <w:pPr>
              <w:rPr>
                <w:rFonts w:ascii="宋体" w:eastAsia="宋体" w:hAnsi="宋体" w:cs="宋体" w:hint="eastAsia"/>
                <w:color w:val="000000"/>
                <w:sz w:val="22"/>
                <w:szCs w:val="22"/>
              </w:rPr>
            </w:pPr>
          </w:p>
        </w:tc>
      </w:tr>
      <w:tr w:rsidR="00000000" w14:paraId="7D06BD4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810C5B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新疆兵团第九师农牧团场第二审计中心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67D3F4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DF1DD0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42B8A1D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4025A8B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FC67F18" w14:textId="77777777" w:rsidR="00000000" w:rsidRDefault="00763D17">
            <w:pPr>
              <w:rPr>
                <w:rFonts w:ascii="宋体" w:eastAsia="宋体" w:hAnsi="宋体" w:cs="宋体" w:hint="eastAsia"/>
                <w:color w:val="000000"/>
                <w:sz w:val="22"/>
                <w:szCs w:val="22"/>
              </w:rPr>
            </w:pPr>
          </w:p>
        </w:tc>
      </w:tr>
      <w:tr w:rsidR="00000000" w14:paraId="7C10977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697DC2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新疆兵团第九师统计局（本级）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AE5A72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74A349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64D18D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561F1A6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243BF5A" w14:textId="77777777" w:rsidR="00000000" w:rsidRDefault="00763D17">
            <w:pPr>
              <w:rPr>
                <w:rFonts w:ascii="宋体" w:eastAsia="宋体" w:hAnsi="宋体" w:cs="宋体" w:hint="eastAsia"/>
                <w:color w:val="000000"/>
                <w:sz w:val="22"/>
                <w:szCs w:val="22"/>
              </w:rPr>
            </w:pPr>
          </w:p>
        </w:tc>
      </w:tr>
      <w:tr w:rsidR="00000000" w14:paraId="4FD690E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38EA94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新疆兵团第九师社会经济调查队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3301413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22ECF5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68D41A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BF998A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216236A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人退休关红武，</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人辞职刘乐</w:t>
            </w:r>
          </w:p>
        </w:tc>
      </w:tr>
      <w:tr w:rsidR="00000000" w14:paraId="43BE67A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5820CF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新疆兵团第九师市场监督管理局（本级）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93937A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318D15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2A22ED7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18FD9ED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54C2799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年从团场遴选考入</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名在职公务人员</w:t>
            </w:r>
          </w:p>
        </w:tc>
      </w:tr>
      <w:tr w:rsidR="00000000" w14:paraId="19F4B75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A9B191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新疆兵团第九师市场监管综合</w:t>
            </w:r>
            <w:r>
              <w:rPr>
                <w:rFonts w:ascii="宋体" w:eastAsia="宋体" w:hAnsi="宋体" w:cs="宋体" w:hint="eastAsia"/>
                <w:color w:val="000000"/>
                <w:kern w:val="0"/>
                <w:sz w:val="22"/>
                <w:szCs w:val="22"/>
                <w:lang w:bidi="ar"/>
              </w:rPr>
              <w:t>行政执法支队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2B1E02F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9636F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36</w:t>
            </w:r>
          </w:p>
        </w:tc>
        <w:tc>
          <w:tcPr>
            <w:tcW w:w="1092" w:type="dxa"/>
            <w:tcBorders>
              <w:top w:val="single" w:sz="4" w:space="0" w:color="000000"/>
              <w:left w:val="single" w:sz="4" w:space="0" w:color="000000"/>
              <w:bottom w:val="single" w:sz="4" w:space="0" w:color="000000"/>
              <w:right w:val="single" w:sz="4" w:space="0" w:color="000000"/>
            </w:tcBorders>
            <w:vAlign w:val="center"/>
          </w:tcPr>
          <w:p w14:paraId="36BD4C8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780" w:type="dxa"/>
            <w:tcBorders>
              <w:top w:val="single" w:sz="4" w:space="0" w:color="000000"/>
              <w:left w:val="single" w:sz="4" w:space="0" w:color="000000"/>
              <w:bottom w:val="single" w:sz="4" w:space="0" w:color="000000"/>
              <w:right w:val="single" w:sz="4" w:space="0" w:color="000000"/>
            </w:tcBorders>
            <w:vAlign w:val="center"/>
          </w:tcPr>
          <w:p w14:paraId="172E7C6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D66C08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本年度新招录两名公务人员，调出一名公务人员</w:t>
            </w:r>
          </w:p>
        </w:tc>
      </w:tr>
      <w:tr w:rsidR="00000000" w14:paraId="23F84E9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C2B26C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新疆兵团第九师特种设备安全检测检验中心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E7C734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其他服务业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75EEE0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5FDDE21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5E37C0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BDA624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本年度聘用人员考入本单位在编人员</w:t>
            </w:r>
          </w:p>
        </w:tc>
      </w:tr>
      <w:tr w:rsidR="00000000" w14:paraId="4160CB0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7EC2E8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中国共产主义青年团新疆兵团第九师委员会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0AC0EC6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63AB1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34C19C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780" w:type="dxa"/>
            <w:tcBorders>
              <w:top w:val="single" w:sz="4" w:space="0" w:color="000000"/>
              <w:left w:val="single" w:sz="4" w:space="0" w:color="000000"/>
              <w:bottom w:val="single" w:sz="4" w:space="0" w:color="000000"/>
              <w:right w:val="single" w:sz="4" w:space="0" w:color="000000"/>
            </w:tcBorders>
            <w:vAlign w:val="center"/>
          </w:tcPr>
          <w:p w14:paraId="02AE980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F0A18A7" w14:textId="77777777" w:rsidR="00000000" w:rsidRDefault="00763D17">
            <w:pPr>
              <w:rPr>
                <w:rFonts w:ascii="宋体" w:eastAsia="宋体" w:hAnsi="宋体" w:cs="宋体" w:hint="eastAsia"/>
                <w:color w:val="000000"/>
                <w:sz w:val="22"/>
                <w:szCs w:val="22"/>
              </w:rPr>
            </w:pPr>
          </w:p>
        </w:tc>
      </w:tr>
      <w:tr w:rsidR="00000000" w14:paraId="521483A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95904B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新疆兵团第九师妇女联合会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2717878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CB7EB3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46C853C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0E430A9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CF9B15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w:t>
            </w:r>
            <w:r>
              <w:rPr>
                <w:rFonts w:ascii="宋体" w:eastAsia="宋体" w:hAnsi="宋体" w:cs="宋体" w:hint="eastAsia"/>
                <w:color w:val="000000"/>
                <w:kern w:val="0"/>
                <w:sz w:val="22"/>
                <w:szCs w:val="22"/>
                <w:lang w:bidi="ar"/>
              </w:rPr>
              <w:t>12</w:t>
            </w:r>
            <w:r>
              <w:rPr>
                <w:rFonts w:ascii="宋体" w:eastAsia="宋体" w:hAnsi="宋体" w:cs="宋体" w:hint="eastAsia"/>
                <w:color w:val="000000"/>
                <w:kern w:val="0"/>
                <w:sz w:val="22"/>
                <w:szCs w:val="22"/>
                <w:lang w:bidi="ar"/>
              </w:rPr>
              <w:t>月新增一名在职人员。</w:t>
            </w:r>
          </w:p>
        </w:tc>
      </w:tr>
      <w:tr w:rsidR="00000000" w14:paraId="015F936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80BC14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新疆兵团第九师工商业联合会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7603E88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EFBCA5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6C8D98C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780" w:type="dxa"/>
            <w:tcBorders>
              <w:top w:val="single" w:sz="4" w:space="0" w:color="000000"/>
              <w:left w:val="single" w:sz="4" w:space="0" w:color="000000"/>
              <w:bottom w:val="single" w:sz="4" w:space="0" w:color="000000"/>
              <w:right w:val="single" w:sz="4" w:space="0" w:color="000000"/>
            </w:tcBorders>
            <w:vAlign w:val="center"/>
          </w:tcPr>
          <w:p w14:paraId="0F2C220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B23397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年内法定年龄退休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0152718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AA6606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新疆兵团第九师公安局（本级）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BCC6F8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CDEC6B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78</w:t>
            </w:r>
          </w:p>
        </w:tc>
        <w:tc>
          <w:tcPr>
            <w:tcW w:w="1092" w:type="dxa"/>
            <w:tcBorders>
              <w:top w:val="single" w:sz="4" w:space="0" w:color="000000"/>
              <w:left w:val="single" w:sz="4" w:space="0" w:color="000000"/>
              <w:bottom w:val="single" w:sz="4" w:space="0" w:color="000000"/>
              <w:right w:val="single" w:sz="4" w:space="0" w:color="000000"/>
            </w:tcBorders>
            <w:vAlign w:val="center"/>
          </w:tcPr>
          <w:p w14:paraId="297A10F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89</w:t>
            </w:r>
          </w:p>
        </w:tc>
        <w:tc>
          <w:tcPr>
            <w:tcW w:w="780" w:type="dxa"/>
            <w:tcBorders>
              <w:top w:val="single" w:sz="4" w:space="0" w:color="000000"/>
              <w:left w:val="single" w:sz="4" w:space="0" w:color="000000"/>
              <w:bottom w:val="single" w:sz="4" w:space="0" w:color="000000"/>
              <w:right w:val="single" w:sz="4" w:space="0" w:color="000000"/>
            </w:tcBorders>
            <w:vAlign w:val="center"/>
          </w:tcPr>
          <w:p w14:paraId="4AE93C8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3360" w:type="dxa"/>
            <w:tcBorders>
              <w:top w:val="single" w:sz="4" w:space="0" w:color="000000"/>
              <w:left w:val="single" w:sz="4" w:space="0" w:color="000000"/>
              <w:bottom w:val="single" w:sz="4" w:space="0" w:color="000000"/>
              <w:right w:val="single" w:sz="4" w:space="0" w:color="000000"/>
            </w:tcBorders>
            <w:vAlign w:val="center"/>
          </w:tcPr>
          <w:p w14:paraId="70C2EED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增加人员为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年新招录公务员</w:t>
            </w:r>
          </w:p>
        </w:tc>
      </w:tr>
      <w:tr w:rsidR="00000000" w14:paraId="3D91330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2D8ED7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新疆额敏垦区公安局</w:t>
            </w:r>
          </w:p>
        </w:tc>
        <w:tc>
          <w:tcPr>
            <w:tcW w:w="1080" w:type="dxa"/>
            <w:tcBorders>
              <w:top w:val="single" w:sz="4" w:space="0" w:color="000000"/>
              <w:left w:val="single" w:sz="4" w:space="0" w:color="000000"/>
              <w:bottom w:val="single" w:sz="4" w:space="0" w:color="000000"/>
              <w:right w:val="single" w:sz="4" w:space="0" w:color="000000"/>
            </w:tcBorders>
            <w:vAlign w:val="center"/>
          </w:tcPr>
          <w:p w14:paraId="671B411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B9C86D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94</w:t>
            </w:r>
          </w:p>
        </w:tc>
        <w:tc>
          <w:tcPr>
            <w:tcW w:w="1092" w:type="dxa"/>
            <w:tcBorders>
              <w:top w:val="single" w:sz="4" w:space="0" w:color="000000"/>
              <w:left w:val="single" w:sz="4" w:space="0" w:color="000000"/>
              <w:bottom w:val="single" w:sz="4" w:space="0" w:color="000000"/>
              <w:right w:val="single" w:sz="4" w:space="0" w:color="000000"/>
            </w:tcBorders>
            <w:vAlign w:val="center"/>
          </w:tcPr>
          <w:p w14:paraId="5EECBEA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105</w:t>
            </w:r>
          </w:p>
        </w:tc>
        <w:tc>
          <w:tcPr>
            <w:tcW w:w="780" w:type="dxa"/>
            <w:tcBorders>
              <w:top w:val="single" w:sz="4" w:space="0" w:color="000000"/>
              <w:left w:val="single" w:sz="4" w:space="0" w:color="000000"/>
              <w:bottom w:val="single" w:sz="4" w:space="0" w:color="000000"/>
              <w:right w:val="single" w:sz="4" w:space="0" w:color="000000"/>
            </w:tcBorders>
            <w:vAlign w:val="center"/>
          </w:tcPr>
          <w:p w14:paraId="3B5A74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3360" w:type="dxa"/>
            <w:tcBorders>
              <w:top w:val="single" w:sz="4" w:space="0" w:color="000000"/>
              <w:left w:val="single" w:sz="4" w:space="0" w:color="000000"/>
              <w:bottom w:val="single" w:sz="4" w:space="0" w:color="000000"/>
              <w:right w:val="single" w:sz="4" w:space="0" w:color="000000"/>
            </w:tcBorders>
            <w:vAlign w:val="center"/>
          </w:tcPr>
          <w:p w14:paraId="183B7F5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年调动增加</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名，通过招录新增在职行政人员</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名</w:t>
            </w:r>
          </w:p>
        </w:tc>
      </w:tr>
      <w:tr w:rsidR="00000000" w14:paraId="1841CC0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65F682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新疆塔城垦区公安局</w:t>
            </w:r>
          </w:p>
        </w:tc>
        <w:tc>
          <w:tcPr>
            <w:tcW w:w="1080" w:type="dxa"/>
            <w:tcBorders>
              <w:top w:val="single" w:sz="4" w:space="0" w:color="000000"/>
              <w:left w:val="single" w:sz="4" w:space="0" w:color="000000"/>
              <w:bottom w:val="single" w:sz="4" w:space="0" w:color="000000"/>
              <w:right w:val="single" w:sz="4" w:space="0" w:color="000000"/>
            </w:tcBorders>
            <w:vAlign w:val="center"/>
          </w:tcPr>
          <w:p w14:paraId="152AE3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95FD47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49</w:t>
            </w:r>
          </w:p>
        </w:tc>
        <w:tc>
          <w:tcPr>
            <w:tcW w:w="1092" w:type="dxa"/>
            <w:tcBorders>
              <w:top w:val="single" w:sz="4" w:space="0" w:color="000000"/>
              <w:left w:val="single" w:sz="4" w:space="0" w:color="000000"/>
              <w:bottom w:val="single" w:sz="4" w:space="0" w:color="000000"/>
              <w:right w:val="single" w:sz="4" w:space="0" w:color="000000"/>
            </w:tcBorders>
            <w:vAlign w:val="center"/>
          </w:tcPr>
          <w:p w14:paraId="5C67005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61</w:t>
            </w:r>
          </w:p>
        </w:tc>
        <w:tc>
          <w:tcPr>
            <w:tcW w:w="780" w:type="dxa"/>
            <w:tcBorders>
              <w:top w:val="single" w:sz="4" w:space="0" w:color="000000"/>
              <w:left w:val="single" w:sz="4" w:space="0" w:color="000000"/>
              <w:bottom w:val="single" w:sz="4" w:space="0" w:color="000000"/>
              <w:right w:val="single" w:sz="4" w:space="0" w:color="000000"/>
            </w:tcBorders>
            <w:vAlign w:val="center"/>
          </w:tcPr>
          <w:p w14:paraId="768425D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3360" w:type="dxa"/>
            <w:tcBorders>
              <w:top w:val="single" w:sz="4" w:space="0" w:color="000000"/>
              <w:left w:val="single" w:sz="4" w:space="0" w:color="000000"/>
              <w:bottom w:val="single" w:sz="4" w:space="0" w:color="000000"/>
              <w:right w:val="single" w:sz="4" w:space="0" w:color="000000"/>
            </w:tcBorders>
            <w:vAlign w:val="center"/>
          </w:tcPr>
          <w:p w14:paraId="46ADE54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当年新入职民警</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人，师公安局调入</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人，新增人数</w:t>
            </w:r>
            <w:r>
              <w:rPr>
                <w:rFonts w:ascii="宋体" w:eastAsia="宋体" w:hAnsi="宋体" w:cs="宋体" w:hint="eastAsia"/>
                <w:color w:val="000000"/>
                <w:kern w:val="0"/>
                <w:sz w:val="22"/>
                <w:szCs w:val="22"/>
                <w:lang w:bidi="ar"/>
              </w:rPr>
              <w:t>12</w:t>
            </w:r>
            <w:r>
              <w:rPr>
                <w:rFonts w:ascii="宋体" w:eastAsia="宋体" w:hAnsi="宋体" w:cs="宋体" w:hint="eastAsia"/>
                <w:color w:val="000000"/>
                <w:kern w:val="0"/>
                <w:sz w:val="22"/>
                <w:szCs w:val="22"/>
                <w:lang w:bidi="ar"/>
              </w:rPr>
              <w:t>人。</w:t>
            </w:r>
          </w:p>
        </w:tc>
      </w:tr>
      <w:tr w:rsidR="00000000" w14:paraId="4F38488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F3C1BD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新疆兵团人民检察院第九师分院（本级）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3004693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445044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1092" w:type="dxa"/>
            <w:tcBorders>
              <w:top w:val="single" w:sz="4" w:space="0" w:color="000000"/>
              <w:left w:val="single" w:sz="4" w:space="0" w:color="000000"/>
              <w:bottom w:val="single" w:sz="4" w:space="0" w:color="000000"/>
              <w:right w:val="single" w:sz="4" w:space="0" w:color="000000"/>
            </w:tcBorders>
            <w:vAlign w:val="center"/>
          </w:tcPr>
          <w:p w14:paraId="56C0D7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3F1C0C4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210F29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月从额敏垦区人民检察院新调入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750FD15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D44290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新疆兵团额敏垦区人民检察院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7AE7E42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D27FB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71EF7B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0B568C2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24B7D3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今年新招</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人，调走</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人，调进</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4D1D1B8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ADFDEE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新疆兵团叶尔盖提垦区人民检察院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7978644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AAC79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65C2A3A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770CFDC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871B442" w14:textId="77777777" w:rsidR="00000000" w:rsidRDefault="00763D17">
            <w:pPr>
              <w:rPr>
                <w:rFonts w:ascii="宋体" w:eastAsia="宋体" w:hAnsi="宋体" w:cs="宋体" w:hint="eastAsia"/>
                <w:color w:val="000000"/>
                <w:sz w:val="22"/>
                <w:szCs w:val="22"/>
              </w:rPr>
            </w:pPr>
          </w:p>
        </w:tc>
      </w:tr>
      <w:tr w:rsidR="00000000" w14:paraId="71BF8C6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0B5AB7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新疆兵团第九师中级人民法院（本级）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47FA82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w:t>
            </w:r>
            <w:r>
              <w:rPr>
                <w:rFonts w:ascii="宋体" w:eastAsia="宋体" w:hAnsi="宋体" w:cs="宋体" w:hint="eastAsia"/>
                <w:color w:val="000000"/>
                <w:kern w:val="0"/>
                <w:sz w:val="22"/>
                <w:szCs w:val="22"/>
                <w:lang w:bidi="ar"/>
              </w:rPr>
              <w:t>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062DBB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w:t>
            </w:r>
          </w:p>
        </w:tc>
        <w:tc>
          <w:tcPr>
            <w:tcW w:w="1092" w:type="dxa"/>
            <w:tcBorders>
              <w:top w:val="single" w:sz="4" w:space="0" w:color="000000"/>
              <w:left w:val="single" w:sz="4" w:space="0" w:color="000000"/>
              <w:bottom w:val="single" w:sz="4" w:space="0" w:color="000000"/>
              <w:right w:val="single" w:sz="4" w:space="0" w:color="000000"/>
            </w:tcBorders>
            <w:vAlign w:val="center"/>
          </w:tcPr>
          <w:p w14:paraId="5B94363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780" w:type="dxa"/>
            <w:tcBorders>
              <w:top w:val="single" w:sz="4" w:space="0" w:color="000000"/>
              <w:left w:val="single" w:sz="4" w:space="0" w:color="000000"/>
              <w:bottom w:val="single" w:sz="4" w:space="0" w:color="000000"/>
              <w:right w:val="single" w:sz="4" w:space="0" w:color="000000"/>
            </w:tcBorders>
            <w:vAlign w:val="center"/>
          </w:tcPr>
          <w:p w14:paraId="5FF0353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1D3768E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年中级法院遴选至兵检院</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人，调至政法委</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人，正常退休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04CB2C6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C793CC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新疆兵团额敏垦区人民法院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321C97F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DFE04F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24</w:t>
            </w:r>
          </w:p>
        </w:tc>
        <w:tc>
          <w:tcPr>
            <w:tcW w:w="1092" w:type="dxa"/>
            <w:tcBorders>
              <w:top w:val="single" w:sz="4" w:space="0" w:color="000000"/>
              <w:left w:val="single" w:sz="4" w:space="0" w:color="000000"/>
              <w:bottom w:val="single" w:sz="4" w:space="0" w:color="000000"/>
              <w:right w:val="single" w:sz="4" w:space="0" w:color="000000"/>
            </w:tcBorders>
            <w:vAlign w:val="center"/>
          </w:tcPr>
          <w:p w14:paraId="651160B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24</w:t>
            </w:r>
          </w:p>
        </w:tc>
        <w:tc>
          <w:tcPr>
            <w:tcW w:w="780" w:type="dxa"/>
            <w:tcBorders>
              <w:top w:val="single" w:sz="4" w:space="0" w:color="000000"/>
              <w:left w:val="single" w:sz="4" w:space="0" w:color="000000"/>
              <w:bottom w:val="single" w:sz="4" w:space="0" w:color="000000"/>
              <w:right w:val="single" w:sz="4" w:space="0" w:color="000000"/>
            </w:tcBorders>
            <w:vAlign w:val="center"/>
          </w:tcPr>
          <w:p w14:paraId="66B7C59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323F06C" w14:textId="77777777" w:rsidR="00000000" w:rsidRDefault="00763D17">
            <w:pPr>
              <w:rPr>
                <w:rFonts w:ascii="宋体" w:eastAsia="宋体" w:hAnsi="宋体" w:cs="宋体" w:hint="eastAsia"/>
                <w:color w:val="000000"/>
                <w:sz w:val="22"/>
                <w:szCs w:val="22"/>
              </w:rPr>
            </w:pPr>
          </w:p>
        </w:tc>
      </w:tr>
      <w:tr w:rsidR="00000000" w14:paraId="6341E9D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173956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新疆兵团叶尔盖提垦区人民法院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4A387C4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4043EB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1092" w:type="dxa"/>
            <w:tcBorders>
              <w:top w:val="single" w:sz="4" w:space="0" w:color="000000"/>
              <w:left w:val="single" w:sz="4" w:space="0" w:color="000000"/>
              <w:bottom w:val="single" w:sz="4" w:space="0" w:color="000000"/>
              <w:right w:val="single" w:sz="4" w:space="0" w:color="000000"/>
            </w:tcBorders>
            <w:vAlign w:val="center"/>
          </w:tcPr>
          <w:p w14:paraId="61E66A5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17</w:t>
            </w:r>
          </w:p>
        </w:tc>
        <w:tc>
          <w:tcPr>
            <w:tcW w:w="780" w:type="dxa"/>
            <w:tcBorders>
              <w:top w:val="single" w:sz="4" w:space="0" w:color="000000"/>
              <w:left w:val="single" w:sz="4" w:space="0" w:color="000000"/>
              <w:bottom w:val="single" w:sz="4" w:space="0" w:color="000000"/>
              <w:right w:val="single" w:sz="4" w:space="0" w:color="000000"/>
            </w:tcBorders>
            <w:vAlign w:val="center"/>
          </w:tcPr>
          <w:p w14:paraId="5F8960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44F5A2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w:t>
            </w:r>
            <w:r>
              <w:rPr>
                <w:rFonts w:ascii="宋体" w:eastAsia="宋体" w:hAnsi="宋体" w:cs="宋体" w:hint="eastAsia"/>
                <w:color w:val="000000"/>
                <w:kern w:val="0"/>
                <w:sz w:val="22"/>
                <w:szCs w:val="22"/>
                <w:lang w:bidi="ar"/>
              </w:rPr>
              <w:t>2022</w:t>
            </w:r>
            <w:r>
              <w:rPr>
                <w:rFonts w:ascii="宋体" w:eastAsia="宋体" w:hAnsi="宋体" w:cs="宋体" w:hint="eastAsia"/>
                <w:color w:val="000000"/>
                <w:kern w:val="0"/>
                <w:sz w:val="22"/>
                <w:szCs w:val="22"/>
                <w:lang w:bidi="ar"/>
              </w:rPr>
              <w:t>年我院一名干警调到中级法院，造成我院空编一人，因此</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名公务员</w:t>
            </w:r>
          </w:p>
        </w:tc>
      </w:tr>
      <w:tr w:rsidR="00000000" w14:paraId="6710CE4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2B6053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新疆兵团第九师司法局（本级）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BF252A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A5A15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51</w:t>
            </w:r>
          </w:p>
        </w:tc>
        <w:tc>
          <w:tcPr>
            <w:tcW w:w="1092" w:type="dxa"/>
            <w:tcBorders>
              <w:top w:val="single" w:sz="4" w:space="0" w:color="000000"/>
              <w:left w:val="single" w:sz="4" w:space="0" w:color="000000"/>
              <w:bottom w:val="single" w:sz="4" w:space="0" w:color="000000"/>
              <w:right w:val="single" w:sz="4" w:space="0" w:color="000000"/>
            </w:tcBorders>
            <w:vAlign w:val="center"/>
          </w:tcPr>
          <w:p w14:paraId="5CEC56B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46</w:t>
            </w:r>
          </w:p>
        </w:tc>
        <w:tc>
          <w:tcPr>
            <w:tcW w:w="780" w:type="dxa"/>
            <w:tcBorders>
              <w:top w:val="single" w:sz="4" w:space="0" w:color="000000"/>
              <w:left w:val="single" w:sz="4" w:space="0" w:color="000000"/>
              <w:bottom w:val="single" w:sz="4" w:space="0" w:color="000000"/>
              <w:right w:val="single" w:sz="4" w:space="0" w:color="000000"/>
            </w:tcBorders>
            <w:vAlign w:val="center"/>
          </w:tcPr>
          <w:p w14:paraId="71C86B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3360" w:type="dxa"/>
            <w:tcBorders>
              <w:top w:val="single" w:sz="4" w:space="0" w:color="000000"/>
              <w:left w:val="single" w:sz="4" w:space="0" w:color="000000"/>
              <w:bottom w:val="single" w:sz="4" w:space="0" w:color="000000"/>
              <w:right w:val="single" w:sz="4" w:space="0" w:color="000000"/>
            </w:tcBorders>
            <w:vAlign w:val="center"/>
          </w:tcPr>
          <w:p w14:paraId="30C740E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退休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人，调离两人其中：一人调至额敏垦区人民法院，一人调至兵团监狱管理局；离职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64C51E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AC6722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新疆额敏信诚公证处</w:t>
            </w:r>
          </w:p>
        </w:tc>
        <w:tc>
          <w:tcPr>
            <w:tcW w:w="1080" w:type="dxa"/>
            <w:tcBorders>
              <w:top w:val="single" w:sz="4" w:space="0" w:color="000000"/>
              <w:left w:val="single" w:sz="4" w:space="0" w:color="000000"/>
              <w:bottom w:val="single" w:sz="4" w:space="0" w:color="000000"/>
              <w:right w:val="single" w:sz="4" w:space="0" w:color="000000"/>
            </w:tcBorders>
            <w:vAlign w:val="center"/>
          </w:tcPr>
          <w:p w14:paraId="7A152A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商务服务业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91B2A9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423CF04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780" w:type="dxa"/>
            <w:tcBorders>
              <w:top w:val="single" w:sz="4" w:space="0" w:color="000000"/>
              <w:left w:val="single" w:sz="4" w:space="0" w:color="000000"/>
              <w:bottom w:val="single" w:sz="4" w:space="0" w:color="000000"/>
              <w:right w:val="single" w:sz="4" w:space="0" w:color="000000"/>
            </w:tcBorders>
            <w:vAlign w:val="center"/>
          </w:tcPr>
          <w:p w14:paraId="36DB2B2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112B8E8" w14:textId="77777777" w:rsidR="00000000" w:rsidRDefault="00763D17">
            <w:pPr>
              <w:rPr>
                <w:rFonts w:ascii="宋体" w:eastAsia="宋体" w:hAnsi="宋体" w:cs="宋体" w:hint="eastAsia"/>
                <w:color w:val="000000"/>
                <w:sz w:val="22"/>
                <w:szCs w:val="22"/>
              </w:rPr>
            </w:pPr>
          </w:p>
        </w:tc>
      </w:tr>
      <w:tr w:rsidR="00000000" w14:paraId="31E27D4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8EFF36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中国共产党新疆兵团第九师</w:t>
            </w:r>
            <w:r>
              <w:rPr>
                <w:rFonts w:ascii="宋体" w:eastAsia="宋体" w:hAnsi="宋体" w:cs="宋体" w:hint="eastAsia"/>
                <w:color w:val="000000"/>
                <w:kern w:val="0"/>
                <w:sz w:val="22"/>
                <w:szCs w:val="22"/>
                <w:lang w:bidi="ar"/>
              </w:rPr>
              <w:t>委员会宣传部（二级预算单位）</w:t>
            </w:r>
            <w:r>
              <w:rPr>
                <w:rFonts w:ascii="宋体" w:eastAsia="宋体" w:hAnsi="宋体" w:cs="宋体" w:hint="eastAsia"/>
                <w:color w:val="000000"/>
                <w:kern w:val="0"/>
                <w:sz w:val="22"/>
                <w:szCs w:val="22"/>
                <w:lang w:bidi="ar"/>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7859650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中国共产党机关</w:t>
            </w:r>
          </w:p>
        </w:tc>
        <w:tc>
          <w:tcPr>
            <w:tcW w:w="1068" w:type="dxa"/>
            <w:tcBorders>
              <w:top w:val="single" w:sz="4" w:space="0" w:color="000000"/>
              <w:left w:val="single" w:sz="4" w:space="0" w:color="000000"/>
              <w:bottom w:val="single" w:sz="4" w:space="0" w:color="000000"/>
              <w:right w:val="single" w:sz="4" w:space="0" w:color="000000"/>
            </w:tcBorders>
            <w:vAlign w:val="center"/>
          </w:tcPr>
          <w:p w14:paraId="1885704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5230DFD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3808B7C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17EA090" w14:textId="77777777" w:rsidR="00000000" w:rsidRDefault="00763D17">
            <w:pPr>
              <w:rPr>
                <w:rFonts w:ascii="宋体" w:eastAsia="宋体" w:hAnsi="宋体" w:cs="宋体" w:hint="eastAsia"/>
                <w:color w:val="000000"/>
                <w:sz w:val="22"/>
                <w:szCs w:val="22"/>
              </w:rPr>
            </w:pPr>
          </w:p>
        </w:tc>
      </w:tr>
      <w:tr w:rsidR="00000000" w14:paraId="351CE3E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8ED7CF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新疆兵团第九师融媒体中心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9DEE31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广播、电视、电影和录音制作业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6BAFCB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1092" w:type="dxa"/>
            <w:tcBorders>
              <w:top w:val="single" w:sz="4" w:space="0" w:color="000000"/>
              <w:left w:val="single" w:sz="4" w:space="0" w:color="000000"/>
              <w:bottom w:val="single" w:sz="4" w:space="0" w:color="000000"/>
              <w:right w:val="single" w:sz="4" w:space="0" w:color="000000"/>
            </w:tcBorders>
            <w:vAlign w:val="center"/>
          </w:tcPr>
          <w:p w14:paraId="2E7EC38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780" w:type="dxa"/>
            <w:tcBorders>
              <w:top w:val="single" w:sz="4" w:space="0" w:color="000000"/>
              <w:left w:val="single" w:sz="4" w:space="0" w:color="000000"/>
              <w:bottom w:val="single" w:sz="4" w:space="0" w:color="000000"/>
              <w:right w:val="single" w:sz="4" w:space="0" w:color="000000"/>
            </w:tcBorders>
            <w:vAlign w:val="center"/>
          </w:tcPr>
          <w:p w14:paraId="501F652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F78B74D" w14:textId="77777777" w:rsidR="00000000" w:rsidRDefault="00763D17">
            <w:pPr>
              <w:rPr>
                <w:rFonts w:ascii="宋体" w:eastAsia="宋体" w:hAnsi="宋体" w:cs="宋体" w:hint="eastAsia"/>
                <w:color w:val="000000"/>
                <w:sz w:val="22"/>
                <w:szCs w:val="22"/>
              </w:rPr>
            </w:pPr>
          </w:p>
        </w:tc>
      </w:tr>
      <w:tr w:rsidR="00000000" w14:paraId="463A933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0601A7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新疆兵团第九师新时代文明实践促进中心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1E32EC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其他服务业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3385637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1F451B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3940C1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0440D51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单位人数增加</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人，相应增加支出和收入</w:t>
            </w:r>
          </w:p>
        </w:tc>
      </w:tr>
      <w:tr w:rsidR="00000000" w14:paraId="4ADFDAB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02F6F7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新疆兵团第九师教育局（本级）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6D4F0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21DC29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7ABE10F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689E8B5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25550CF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退休</w:t>
            </w:r>
            <w:r>
              <w:rPr>
                <w:rFonts w:ascii="宋体" w:eastAsia="宋体" w:hAnsi="宋体" w:cs="宋体" w:hint="eastAsia"/>
                <w:color w:val="000000"/>
                <w:kern w:val="0"/>
                <w:sz w:val="22"/>
                <w:szCs w:val="22"/>
                <w:lang w:bidi="ar"/>
              </w:rPr>
              <w:t xml:space="preserve">2 </w:t>
            </w:r>
            <w:r>
              <w:rPr>
                <w:rFonts w:ascii="宋体" w:eastAsia="宋体" w:hAnsi="宋体" w:cs="宋体" w:hint="eastAsia"/>
                <w:color w:val="000000"/>
                <w:kern w:val="0"/>
                <w:sz w:val="22"/>
                <w:szCs w:val="22"/>
                <w:lang w:bidi="ar"/>
              </w:rPr>
              <w:t>人</w:t>
            </w:r>
          </w:p>
        </w:tc>
      </w:tr>
      <w:tr w:rsidR="00000000" w14:paraId="3CBCC9D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8D7718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新疆兵团第九师教学研究和师资培训中心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C2B455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330F4F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w:t>
            </w:r>
          </w:p>
        </w:tc>
        <w:tc>
          <w:tcPr>
            <w:tcW w:w="1092" w:type="dxa"/>
            <w:tcBorders>
              <w:top w:val="single" w:sz="4" w:space="0" w:color="000000"/>
              <w:left w:val="single" w:sz="4" w:space="0" w:color="000000"/>
              <w:bottom w:val="single" w:sz="4" w:space="0" w:color="000000"/>
              <w:right w:val="single" w:sz="4" w:space="0" w:color="000000"/>
            </w:tcBorders>
            <w:vAlign w:val="center"/>
          </w:tcPr>
          <w:p w14:paraId="6D6DA7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24</w:t>
            </w:r>
          </w:p>
        </w:tc>
        <w:tc>
          <w:tcPr>
            <w:tcW w:w="780" w:type="dxa"/>
            <w:tcBorders>
              <w:top w:val="single" w:sz="4" w:space="0" w:color="000000"/>
              <w:left w:val="single" w:sz="4" w:space="0" w:color="000000"/>
              <w:bottom w:val="single" w:sz="4" w:space="0" w:color="000000"/>
              <w:right w:val="single" w:sz="4" w:space="0" w:color="000000"/>
            </w:tcBorders>
            <w:vAlign w:val="center"/>
          </w:tcPr>
          <w:p w14:paraId="22C3A4E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469AD3D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调入</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p>
        </w:tc>
      </w:tr>
      <w:tr w:rsidR="00000000" w14:paraId="7C2E91A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1986A4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3F3183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999314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1092" w:type="dxa"/>
            <w:tcBorders>
              <w:top w:val="single" w:sz="4" w:space="0" w:color="000000"/>
              <w:left w:val="single" w:sz="4" w:space="0" w:color="000000"/>
              <w:bottom w:val="single" w:sz="4" w:space="0" w:color="000000"/>
              <w:right w:val="single" w:sz="4" w:space="0" w:color="000000"/>
            </w:tcBorders>
            <w:vAlign w:val="center"/>
          </w:tcPr>
          <w:p w14:paraId="35051FC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w:t>
            </w:r>
          </w:p>
        </w:tc>
        <w:tc>
          <w:tcPr>
            <w:tcW w:w="780" w:type="dxa"/>
            <w:tcBorders>
              <w:top w:val="single" w:sz="4" w:space="0" w:color="000000"/>
              <w:left w:val="single" w:sz="4" w:space="0" w:color="000000"/>
              <w:bottom w:val="single" w:sz="4" w:space="0" w:color="000000"/>
              <w:right w:val="single" w:sz="4" w:space="0" w:color="000000"/>
            </w:tcBorders>
            <w:vAlign w:val="center"/>
          </w:tcPr>
          <w:p w14:paraId="20A1EA9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3360" w:type="dxa"/>
            <w:tcBorders>
              <w:top w:val="single" w:sz="4" w:space="0" w:color="000000"/>
              <w:left w:val="single" w:sz="4" w:space="0" w:color="000000"/>
              <w:bottom w:val="single" w:sz="4" w:space="0" w:color="000000"/>
              <w:right w:val="single" w:sz="4" w:space="0" w:color="000000"/>
            </w:tcBorders>
            <w:vAlign w:val="center"/>
          </w:tcPr>
          <w:p w14:paraId="7EB18B0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人，新增教师</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人</w:t>
            </w:r>
          </w:p>
        </w:tc>
      </w:tr>
      <w:tr w:rsidR="00000000" w14:paraId="23D340B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195DFD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新疆兵团第九师小白杨中学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0DB871C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77F0B34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165</w:t>
            </w:r>
          </w:p>
        </w:tc>
        <w:tc>
          <w:tcPr>
            <w:tcW w:w="1092" w:type="dxa"/>
            <w:tcBorders>
              <w:top w:val="single" w:sz="4" w:space="0" w:color="000000"/>
              <w:left w:val="single" w:sz="4" w:space="0" w:color="000000"/>
              <w:bottom w:val="single" w:sz="4" w:space="0" w:color="000000"/>
              <w:right w:val="single" w:sz="4" w:space="0" w:color="000000"/>
            </w:tcBorders>
            <w:vAlign w:val="center"/>
          </w:tcPr>
          <w:p w14:paraId="6819C3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166</w:t>
            </w:r>
          </w:p>
        </w:tc>
        <w:tc>
          <w:tcPr>
            <w:tcW w:w="780" w:type="dxa"/>
            <w:tcBorders>
              <w:top w:val="single" w:sz="4" w:space="0" w:color="000000"/>
              <w:left w:val="single" w:sz="4" w:space="0" w:color="000000"/>
              <w:bottom w:val="single" w:sz="4" w:space="0" w:color="000000"/>
              <w:right w:val="single" w:sz="4" w:space="0" w:color="000000"/>
            </w:tcBorders>
            <w:vAlign w:val="center"/>
          </w:tcPr>
          <w:p w14:paraId="3F5B5A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EB6547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存在招聘人员，人员数量较去年增加</w:t>
            </w:r>
          </w:p>
        </w:tc>
      </w:tr>
      <w:tr w:rsidR="00000000" w14:paraId="45CBB34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A6633A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新疆兵团第九师龙珍高级中学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3DD9381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514A4FE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116</w:t>
            </w:r>
          </w:p>
        </w:tc>
        <w:tc>
          <w:tcPr>
            <w:tcW w:w="1092" w:type="dxa"/>
            <w:tcBorders>
              <w:top w:val="single" w:sz="4" w:space="0" w:color="000000"/>
              <w:left w:val="single" w:sz="4" w:space="0" w:color="000000"/>
              <w:bottom w:val="single" w:sz="4" w:space="0" w:color="000000"/>
              <w:right w:val="single" w:sz="4" w:space="0" w:color="000000"/>
            </w:tcBorders>
            <w:vAlign w:val="center"/>
          </w:tcPr>
          <w:p w14:paraId="2AE93B6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117</w:t>
            </w:r>
          </w:p>
        </w:tc>
        <w:tc>
          <w:tcPr>
            <w:tcW w:w="780" w:type="dxa"/>
            <w:tcBorders>
              <w:top w:val="single" w:sz="4" w:space="0" w:color="000000"/>
              <w:left w:val="single" w:sz="4" w:space="0" w:color="000000"/>
              <w:bottom w:val="single" w:sz="4" w:space="0" w:color="000000"/>
              <w:right w:val="single" w:sz="4" w:space="0" w:color="000000"/>
            </w:tcBorders>
            <w:vAlign w:val="center"/>
          </w:tcPr>
          <w:p w14:paraId="50996F8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958915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年新增在职教师</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人、退休</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人调走一人</w:t>
            </w:r>
          </w:p>
        </w:tc>
      </w:tr>
      <w:tr w:rsidR="00000000" w14:paraId="228EEF9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2A8B4D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新疆兵团第九师职业技术学校</w:t>
            </w:r>
          </w:p>
        </w:tc>
        <w:tc>
          <w:tcPr>
            <w:tcW w:w="1080" w:type="dxa"/>
            <w:tcBorders>
              <w:top w:val="single" w:sz="4" w:space="0" w:color="000000"/>
              <w:left w:val="single" w:sz="4" w:space="0" w:color="000000"/>
              <w:bottom w:val="single" w:sz="4" w:space="0" w:color="000000"/>
              <w:right w:val="single" w:sz="4" w:space="0" w:color="000000"/>
            </w:tcBorders>
            <w:vAlign w:val="center"/>
          </w:tcPr>
          <w:p w14:paraId="0D2F13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1FE474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54</w:t>
            </w:r>
          </w:p>
        </w:tc>
        <w:tc>
          <w:tcPr>
            <w:tcW w:w="1092" w:type="dxa"/>
            <w:tcBorders>
              <w:top w:val="single" w:sz="4" w:space="0" w:color="000000"/>
              <w:left w:val="single" w:sz="4" w:space="0" w:color="000000"/>
              <w:bottom w:val="single" w:sz="4" w:space="0" w:color="000000"/>
              <w:right w:val="single" w:sz="4" w:space="0" w:color="000000"/>
            </w:tcBorders>
            <w:vAlign w:val="center"/>
          </w:tcPr>
          <w:p w14:paraId="7300A07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99</w:t>
            </w:r>
          </w:p>
        </w:tc>
        <w:tc>
          <w:tcPr>
            <w:tcW w:w="780" w:type="dxa"/>
            <w:tcBorders>
              <w:top w:val="single" w:sz="4" w:space="0" w:color="000000"/>
              <w:left w:val="single" w:sz="4" w:space="0" w:color="000000"/>
              <w:bottom w:val="single" w:sz="4" w:space="0" w:color="000000"/>
              <w:right w:val="single" w:sz="4" w:space="0" w:color="000000"/>
            </w:tcBorders>
            <w:vAlign w:val="center"/>
          </w:tcPr>
          <w:p w14:paraId="7A19E2B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45</w:t>
            </w:r>
          </w:p>
        </w:tc>
        <w:tc>
          <w:tcPr>
            <w:tcW w:w="3360" w:type="dxa"/>
            <w:tcBorders>
              <w:top w:val="single" w:sz="4" w:space="0" w:color="000000"/>
              <w:left w:val="single" w:sz="4" w:space="0" w:color="000000"/>
              <w:bottom w:val="single" w:sz="4" w:space="0" w:color="000000"/>
              <w:right w:val="single" w:sz="4" w:space="0" w:color="000000"/>
            </w:tcBorders>
            <w:vAlign w:val="center"/>
          </w:tcPr>
          <w:p w14:paraId="4E1BFB9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本年下半年新增</w:t>
            </w:r>
            <w:r>
              <w:rPr>
                <w:rFonts w:ascii="宋体" w:eastAsia="宋体" w:hAnsi="宋体" w:cs="宋体" w:hint="eastAsia"/>
                <w:color w:val="000000"/>
                <w:kern w:val="0"/>
                <w:sz w:val="22"/>
                <w:szCs w:val="22"/>
                <w:lang w:bidi="ar"/>
              </w:rPr>
              <w:t>50</w:t>
            </w:r>
            <w:r>
              <w:rPr>
                <w:rFonts w:ascii="宋体" w:eastAsia="宋体" w:hAnsi="宋体" w:cs="宋体" w:hint="eastAsia"/>
                <w:color w:val="000000"/>
                <w:kern w:val="0"/>
                <w:sz w:val="22"/>
                <w:szCs w:val="22"/>
                <w:lang w:bidi="ar"/>
              </w:rPr>
              <w:t>人</w:t>
            </w:r>
          </w:p>
        </w:tc>
      </w:tr>
      <w:tr w:rsidR="00000000" w14:paraId="7A438BE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089A49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新疆兵团第九师一六一团中学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1B7BBB3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74CA646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1092" w:type="dxa"/>
            <w:tcBorders>
              <w:top w:val="single" w:sz="4" w:space="0" w:color="000000"/>
              <w:left w:val="single" w:sz="4" w:space="0" w:color="000000"/>
              <w:bottom w:val="single" w:sz="4" w:space="0" w:color="000000"/>
              <w:right w:val="single" w:sz="4" w:space="0" w:color="000000"/>
            </w:tcBorders>
            <w:vAlign w:val="center"/>
          </w:tcPr>
          <w:p w14:paraId="137AB67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780" w:type="dxa"/>
            <w:tcBorders>
              <w:top w:val="single" w:sz="4" w:space="0" w:color="000000"/>
              <w:left w:val="single" w:sz="4" w:space="0" w:color="000000"/>
              <w:bottom w:val="single" w:sz="4" w:space="0" w:color="000000"/>
              <w:right w:val="single" w:sz="4" w:space="0" w:color="000000"/>
            </w:tcBorders>
            <w:vAlign w:val="center"/>
          </w:tcPr>
          <w:p w14:paraId="65B5934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1DF9AD5" w14:textId="77777777" w:rsidR="00000000" w:rsidRDefault="00763D17">
            <w:pPr>
              <w:rPr>
                <w:rFonts w:ascii="宋体" w:eastAsia="宋体" w:hAnsi="宋体" w:cs="宋体" w:hint="eastAsia"/>
                <w:color w:val="000000"/>
                <w:sz w:val="22"/>
                <w:szCs w:val="22"/>
              </w:rPr>
            </w:pPr>
          </w:p>
        </w:tc>
      </w:tr>
      <w:tr w:rsidR="00000000" w14:paraId="7CAC8EA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C5B3BC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新疆兵团第九师一六二团中学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2310C21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54F3D2A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38</w:t>
            </w:r>
          </w:p>
        </w:tc>
        <w:tc>
          <w:tcPr>
            <w:tcW w:w="1092" w:type="dxa"/>
            <w:tcBorders>
              <w:top w:val="single" w:sz="4" w:space="0" w:color="000000"/>
              <w:left w:val="single" w:sz="4" w:space="0" w:color="000000"/>
              <w:bottom w:val="single" w:sz="4" w:space="0" w:color="000000"/>
              <w:right w:val="single" w:sz="4" w:space="0" w:color="000000"/>
            </w:tcBorders>
            <w:vAlign w:val="center"/>
          </w:tcPr>
          <w:p w14:paraId="28E58E7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780" w:type="dxa"/>
            <w:tcBorders>
              <w:top w:val="single" w:sz="4" w:space="0" w:color="000000"/>
              <w:left w:val="single" w:sz="4" w:space="0" w:color="000000"/>
              <w:bottom w:val="single" w:sz="4" w:space="0" w:color="000000"/>
              <w:right w:val="single" w:sz="4" w:space="0" w:color="000000"/>
            </w:tcBorders>
            <w:vAlign w:val="center"/>
          </w:tcPr>
          <w:p w14:paraId="0997226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060EB11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人员调动</w:t>
            </w:r>
          </w:p>
        </w:tc>
      </w:tr>
      <w:tr w:rsidR="00000000" w14:paraId="57A75F8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2E8971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新疆兵团第九师一六三团中学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2FF86C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86BFC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1092" w:type="dxa"/>
            <w:tcBorders>
              <w:top w:val="single" w:sz="4" w:space="0" w:color="000000"/>
              <w:left w:val="single" w:sz="4" w:space="0" w:color="000000"/>
              <w:bottom w:val="single" w:sz="4" w:space="0" w:color="000000"/>
              <w:right w:val="single" w:sz="4" w:space="0" w:color="000000"/>
            </w:tcBorders>
            <w:vAlign w:val="center"/>
          </w:tcPr>
          <w:p w14:paraId="11D0606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780" w:type="dxa"/>
            <w:tcBorders>
              <w:top w:val="single" w:sz="4" w:space="0" w:color="000000"/>
              <w:left w:val="single" w:sz="4" w:space="0" w:color="000000"/>
              <w:bottom w:val="single" w:sz="4" w:space="0" w:color="000000"/>
              <w:right w:val="single" w:sz="4" w:space="0" w:color="000000"/>
            </w:tcBorders>
            <w:vAlign w:val="center"/>
          </w:tcPr>
          <w:p w14:paraId="020E6E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EC49C26" w14:textId="77777777" w:rsidR="00000000" w:rsidRDefault="00763D17">
            <w:pPr>
              <w:rPr>
                <w:rFonts w:ascii="宋体" w:eastAsia="宋体" w:hAnsi="宋体" w:cs="宋体" w:hint="eastAsia"/>
                <w:color w:val="000000"/>
                <w:sz w:val="22"/>
                <w:szCs w:val="22"/>
              </w:rPr>
            </w:pPr>
          </w:p>
        </w:tc>
      </w:tr>
      <w:tr w:rsidR="00000000" w14:paraId="7ACC536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B07D8D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新疆兵团第九师一六四团中学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0715948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1F0E22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w:t>
            </w:r>
          </w:p>
        </w:tc>
        <w:tc>
          <w:tcPr>
            <w:tcW w:w="1092" w:type="dxa"/>
            <w:tcBorders>
              <w:top w:val="single" w:sz="4" w:space="0" w:color="000000"/>
              <w:left w:val="single" w:sz="4" w:space="0" w:color="000000"/>
              <w:bottom w:val="single" w:sz="4" w:space="0" w:color="000000"/>
              <w:right w:val="single" w:sz="4" w:space="0" w:color="000000"/>
            </w:tcBorders>
            <w:vAlign w:val="center"/>
          </w:tcPr>
          <w:p w14:paraId="711FDDF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w:t>
            </w:r>
          </w:p>
        </w:tc>
        <w:tc>
          <w:tcPr>
            <w:tcW w:w="780" w:type="dxa"/>
            <w:tcBorders>
              <w:top w:val="single" w:sz="4" w:space="0" w:color="000000"/>
              <w:left w:val="single" w:sz="4" w:space="0" w:color="000000"/>
              <w:bottom w:val="single" w:sz="4" w:space="0" w:color="000000"/>
              <w:right w:val="single" w:sz="4" w:space="0" w:color="000000"/>
            </w:tcBorders>
            <w:vAlign w:val="center"/>
          </w:tcPr>
          <w:p w14:paraId="6E92F54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16D815E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退休人数增加、在职人数减少</w:t>
            </w:r>
          </w:p>
        </w:tc>
      </w:tr>
      <w:tr w:rsidR="00000000" w14:paraId="5B1DDBD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BA830C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新疆兵团第九师一六五团中学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4E64B33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w:t>
            </w:r>
            <w:r>
              <w:rPr>
                <w:rFonts w:ascii="宋体" w:eastAsia="宋体" w:hAnsi="宋体" w:cs="宋体" w:hint="eastAsia"/>
                <w:color w:val="000000"/>
                <w:kern w:val="0"/>
                <w:sz w:val="22"/>
                <w:szCs w:val="22"/>
                <w:lang w:bidi="ar"/>
              </w:rPr>
              <w:t>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083B114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w:t>
            </w:r>
          </w:p>
        </w:tc>
        <w:tc>
          <w:tcPr>
            <w:tcW w:w="1092" w:type="dxa"/>
            <w:tcBorders>
              <w:top w:val="single" w:sz="4" w:space="0" w:color="000000"/>
              <w:left w:val="single" w:sz="4" w:space="0" w:color="000000"/>
              <w:bottom w:val="single" w:sz="4" w:space="0" w:color="000000"/>
              <w:right w:val="single" w:sz="4" w:space="0" w:color="000000"/>
            </w:tcBorders>
            <w:vAlign w:val="center"/>
          </w:tcPr>
          <w:p w14:paraId="5D13A12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w:t>
            </w:r>
          </w:p>
        </w:tc>
        <w:tc>
          <w:tcPr>
            <w:tcW w:w="780" w:type="dxa"/>
            <w:tcBorders>
              <w:top w:val="single" w:sz="4" w:space="0" w:color="000000"/>
              <w:left w:val="single" w:sz="4" w:space="0" w:color="000000"/>
              <w:bottom w:val="single" w:sz="4" w:space="0" w:color="000000"/>
              <w:right w:val="single" w:sz="4" w:space="0" w:color="000000"/>
            </w:tcBorders>
            <w:vAlign w:val="center"/>
          </w:tcPr>
          <w:p w14:paraId="5519F10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F40FC59" w14:textId="77777777" w:rsidR="00000000" w:rsidRDefault="00763D17">
            <w:pPr>
              <w:rPr>
                <w:rFonts w:ascii="宋体" w:eastAsia="宋体" w:hAnsi="宋体" w:cs="宋体" w:hint="eastAsia"/>
                <w:color w:val="000000"/>
                <w:sz w:val="22"/>
                <w:szCs w:val="22"/>
              </w:rPr>
            </w:pPr>
          </w:p>
        </w:tc>
      </w:tr>
      <w:tr w:rsidR="00000000" w14:paraId="05E5BF4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3889EF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新疆兵团第九师一六六团中学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4B46BF2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7420CE3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w:t>
            </w:r>
          </w:p>
        </w:tc>
        <w:tc>
          <w:tcPr>
            <w:tcW w:w="1092" w:type="dxa"/>
            <w:tcBorders>
              <w:top w:val="single" w:sz="4" w:space="0" w:color="000000"/>
              <w:left w:val="single" w:sz="4" w:space="0" w:color="000000"/>
              <w:bottom w:val="single" w:sz="4" w:space="0" w:color="000000"/>
              <w:right w:val="single" w:sz="4" w:space="0" w:color="000000"/>
            </w:tcBorders>
            <w:vAlign w:val="center"/>
          </w:tcPr>
          <w:p w14:paraId="29947FB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45</w:t>
            </w:r>
          </w:p>
        </w:tc>
        <w:tc>
          <w:tcPr>
            <w:tcW w:w="780" w:type="dxa"/>
            <w:tcBorders>
              <w:top w:val="single" w:sz="4" w:space="0" w:color="000000"/>
              <w:left w:val="single" w:sz="4" w:space="0" w:color="000000"/>
              <w:bottom w:val="single" w:sz="4" w:space="0" w:color="000000"/>
              <w:right w:val="single" w:sz="4" w:space="0" w:color="000000"/>
            </w:tcBorders>
            <w:vAlign w:val="center"/>
          </w:tcPr>
          <w:p w14:paraId="40F4075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CC9699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人，特岗进编</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0E10740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9E7910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新疆兵团第九师一六七团中学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23B4C1D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87E3E2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55</w:t>
            </w:r>
          </w:p>
        </w:tc>
        <w:tc>
          <w:tcPr>
            <w:tcW w:w="1092" w:type="dxa"/>
            <w:tcBorders>
              <w:top w:val="single" w:sz="4" w:space="0" w:color="000000"/>
              <w:left w:val="single" w:sz="4" w:space="0" w:color="000000"/>
              <w:bottom w:val="single" w:sz="4" w:space="0" w:color="000000"/>
              <w:right w:val="single" w:sz="4" w:space="0" w:color="000000"/>
            </w:tcBorders>
            <w:vAlign w:val="center"/>
          </w:tcPr>
          <w:p w14:paraId="4E24776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55</w:t>
            </w:r>
          </w:p>
        </w:tc>
        <w:tc>
          <w:tcPr>
            <w:tcW w:w="780" w:type="dxa"/>
            <w:tcBorders>
              <w:top w:val="single" w:sz="4" w:space="0" w:color="000000"/>
              <w:left w:val="single" w:sz="4" w:space="0" w:color="000000"/>
              <w:bottom w:val="single" w:sz="4" w:space="0" w:color="000000"/>
              <w:right w:val="single" w:sz="4" w:space="0" w:color="000000"/>
            </w:tcBorders>
            <w:vAlign w:val="center"/>
          </w:tcPr>
          <w:p w14:paraId="68066F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9E05457" w14:textId="77777777" w:rsidR="00000000" w:rsidRDefault="00763D17">
            <w:pPr>
              <w:rPr>
                <w:rFonts w:ascii="宋体" w:eastAsia="宋体" w:hAnsi="宋体" w:cs="宋体" w:hint="eastAsia"/>
                <w:color w:val="000000"/>
                <w:sz w:val="22"/>
                <w:szCs w:val="22"/>
              </w:rPr>
            </w:pPr>
          </w:p>
        </w:tc>
      </w:tr>
      <w:tr w:rsidR="00000000" w14:paraId="4E7E52D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8403C5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新疆兵团第九师一六八团中学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43586D0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325AF2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1092" w:type="dxa"/>
            <w:tcBorders>
              <w:top w:val="single" w:sz="4" w:space="0" w:color="000000"/>
              <w:left w:val="single" w:sz="4" w:space="0" w:color="000000"/>
              <w:bottom w:val="single" w:sz="4" w:space="0" w:color="000000"/>
              <w:right w:val="single" w:sz="4" w:space="0" w:color="000000"/>
            </w:tcBorders>
            <w:vAlign w:val="center"/>
          </w:tcPr>
          <w:p w14:paraId="6624F6C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36</w:t>
            </w:r>
          </w:p>
        </w:tc>
        <w:tc>
          <w:tcPr>
            <w:tcW w:w="780" w:type="dxa"/>
            <w:tcBorders>
              <w:top w:val="single" w:sz="4" w:space="0" w:color="000000"/>
              <w:left w:val="single" w:sz="4" w:space="0" w:color="000000"/>
              <w:bottom w:val="single" w:sz="4" w:space="0" w:color="000000"/>
              <w:right w:val="single" w:sz="4" w:space="0" w:color="000000"/>
            </w:tcBorders>
            <w:vAlign w:val="center"/>
          </w:tcPr>
          <w:p w14:paraId="331B59D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B51DC5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退休人数增加、在职人数减少</w:t>
            </w:r>
          </w:p>
        </w:tc>
      </w:tr>
      <w:tr w:rsidR="00000000" w14:paraId="4C870CA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F3CD12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新疆兵团第九师一六九团中学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3B30B73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56F157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1092" w:type="dxa"/>
            <w:tcBorders>
              <w:top w:val="single" w:sz="4" w:space="0" w:color="000000"/>
              <w:left w:val="single" w:sz="4" w:space="0" w:color="000000"/>
              <w:bottom w:val="single" w:sz="4" w:space="0" w:color="000000"/>
              <w:right w:val="single" w:sz="4" w:space="0" w:color="000000"/>
            </w:tcBorders>
            <w:vAlign w:val="center"/>
          </w:tcPr>
          <w:p w14:paraId="03BB7A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780" w:type="dxa"/>
            <w:tcBorders>
              <w:top w:val="single" w:sz="4" w:space="0" w:color="000000"/>
              <w:left w:val="single" w:sz="4" w:space="0" w:color="000000"/>
              <w:bottom w:val="single" w:sz="4" w:space="0" w:color="000000"/>
              <w:right w:val="single" w:sz="4" w:space="0" w:color="000000"/>
            </w:tcBorders>
            <w:vAlign w:val="center"/>
          </w:tcPr>
          <w:p w14:paraId="4A4918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12FA983" w14:textId="77777777" w:rsidR="00000000" w:rsidRDefault="00763D17">
            <w:pPr>
              <w:rPr>
                <w:rFonts w:ascii="宋体" w:eastAsia="宋体" w:hAnsi="宋体" w:cs="宋体" w:hint="eastAsia"/>
                <w:color w:val="000000"/>
                <w:sz w:val="22"/>
                <w:szCs w:val="22"/>
              </w:rPr>
            </w:pPr>
          </w:p>
        </w:tc>
      </w:tr>
      <w:tr w:rsidR="00000000" w14:paraId="0E77D13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3FCA16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新疆兵团第九师一七</w:t>
            </w:r>
            <w:r>
              <w:rPr>
                <w:rFonts w:ascii="宋体" w:eastAsia="宋体" w:hAnsi="宋体" w:cs="宋体" w:hint="eastAsia"/>
                <w:color w:val="000000"/>
                <w:kern w:val="0"/>
                <w:sz w:val="22"/>
                <w:szCs w:val="22"/>
                <w:lang w:bidi="ar"/>
              </w:rPr>
              <w:t>0</w:t>
            </w:r>
            <w:r>
              <w:rPr>
                <w:rFonts w:ascii="宋体" w:eastAsia="宋体" w:hAnsi="宋体" w:cs="宋体" w:hint="eastAsia"/>
                <w:color w:val="000000"/>
                <w:kern w:val="0"/>
                <w:sz w:val="22"/>
                <w:szCs w:val="22"/>
                <w:lang w:bidi="ar"/>
              </w:rPr>
              <w:t>团中学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3DC8E4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5EF6CF4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w:t>
            </w:r>
          </w:p>
        </w:tc>
        <w:tc>
          <w:tcPr>
            <w:tcW w:w="1092" w:type="dxa"/>
            <w:tcBorders>
              <w:top w:val="single" w:sz="4" w:space="0" w:color="000000"/>
              <w:left w:val="single" w:sz="4" w:space="0" w:color="000000"/>
              <w:bottom w:val="single" w:sz="4" w:space="0" w:color="000000"/>
              <w:right w:val="single" w:sz="4" w:space="0" w:color="000000"/>
            </w:tcBorders>
            <w:vAlign w:val="center"/>
          </w:tcPr>
          <w:p w14:paraId="3D7A766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44</w:t>
            </w:r>
          </w:p>
        </w:tc>
        <w:tc>
          <w:tcPr>
            <w:tcW w:w="780" w:type="dxa"/>
            <w:tcBorders>
              <w:top w:val="single" w:sz="4" w:space="0" w:color="000000"/>
              <w:left w:val="single" w:sz="4" w:space="0" w:color="000000"/>
              <w:bottom w:val="single" w:sz="4" w:space="0" w:color="000000"/>
              <w:right w:val="single" w:sz="4" w:space="0" w:color="000000"/>
            </w:tcBorders>
            <w:vAlign w:val="center"/>
          </w:tcPr>
          <w:p w14:paraId="1E1D8D0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EB77105" w14:textId="77777777" w:rsidR="00000000" w:rsidRDefault="00763D17">
            <w:pPr>
              <w:rPr>
                <w:rFonts w:ascii="宋体" w:eastAsia="宋体" w:hAnsi="宋体" w:cs="宋体" w:hint="eastAsia"/>
                <w:color w:val="000000"/>
                <w:sz w:val="22"/>
                <w:szCs w:val="22"/>
              </w:rPr>
            </w:pPr>
          </w:p>
        </w:tc>
      </w:tr>
      <w:tr w:rsidR="00000000" w14:paraId="380B1DA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5A2035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新疆兵团第九师团结农场中学</w:t>
            </w:r>
          </w:p>
        </w:tc>
        <w:tc>
          <w:tcPr>
            <w:tcW w:w="1080" w:type="dxa"/>
            <w:tcBorders>
              <w:top w:val="single" w:sz="4" w:space="0" w:color="000000"/>
              <w:left w:val="single" w:sz="4" w:space="0" w:color="000000"/>
              <w:bottom w:val="single" w:sz="4" w:space="0" w:color="000000"/>
              <w:right w:val="single" w:sz="4" w:space="0" w:color="000000"/>
            </w:tcBorders>
            <w:vAlign w:val="center"/>
          </w:tcPr>
          <w:p w14:paraId="536640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14C719F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36</w:t>
            </w:r>
          </w:p>
        </w:tc>
        <w:tc>
          <w:tcPr>
            <w:tcW w:w="1092" w:type="dxa"/>
            <w:tcBorders>
              <w:top w:val="single" w:sz="4" w:space="0" w:color="000000"/>
              <w:left w:val="single" w:sz="4" w:space="0" w:color="000000"/>
              <w:bottom w:val="single" w:sz="4" w:space="0" w:color="000000"/>
              <w:right w:val="single" w:sz="4" w:space="0" w:color="000000"/>
            </w:tcBorders>
            <w:vAlign w:val="center"/>
          </w:tcPr>
          <w:p w14:paraId="353B1FA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780" w:type="dxa"/>
            <w:tcBorders>
              <w:top w:val="single" w:sz="4" w:space="0" w:color="000000"/>
              <w:left w:val="single" w:sz="4" w:space="0" w:color="000000"/>
              <w:bottom w:val="single" w:sz="4" w:space="0" w:color="000000"/>
              <w:right w:val="single" w:sz="4" w:space="0" w:color="000000"/>
            </w:tcBorders>
            <w:vAlign w:val="center"/>
          </w:tcPr>
          <w:p w14:paraId="3839E8C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0A3694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人员新增一人</w:t>
            </w:r>
          </w:p>
        </w:tc>
      </w:tr>
      <w:tr w:rsidR="00000000" w14:paraId="0FC3302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D7DDE2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新疆兵团第九师科学技术局（本级）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0C1088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87165B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0157A6D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1AA8AC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3FC43D5" w14:textId="77777777" w:rsidR="00000000" w:rsidRDefault="00763D17">
            <w:pPr>
              <w:rPr>
                <w:rFonts w:ascii="宋体" w:eastAsia="宋体" w:hAnsi="宋体" w:cs="宋体" w:hint="eastAsia"/>
                <w:color w:val="000000"/>
                <w:sz w:val="22"/>
                <w:szCs w:val="22"/>
              </w:rPr>
            </w:pPr>
          </w:p>
        </w:tc>
      </w:tr>
      <w:tr w:rsidR="00000000" w14:paraId="738913F3" w14:textId="77777777">
        <w:trPr>
          <w:trHeight w:val="1280"/>
        </w:trPr>
        <w:tc>
          <w:tcPr>
            <w:tcW w:w="2400" w:type="dxa"/>
            <w:tcBorders>
              <w:top w:val="single" w:sz="4" w:space="0" w:color="000000"/>
              <w:left w:val="single" w:sz="4" w:space="0" w:color="000000"/>
              <w:bottom w:val="single" w:sz="4" w:space="0" w:color="000000"/>
              <w:right w:val="single" w:sz="4" w:space="0" w:color="000000"/>
            </w:tcBorders>
            <w:vAlign w:val="center"/>
          </w:tcPr>
          <w:p w14:paraId="4E1AFF9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新疆兵团第九师农业科学研究所（畜牧科学研究</w:t>
            </w:r>
            <w:r>
              <w:rPr>
                <w:rFonts w:ascii="宋体" w:eastAsia="宋体" w:hAnsi="宋体" w:cs="宋体" w:hint="eastAsia"/>
                <w:color w:val="000000"/>
                <w:kern w:val="0"/>
                <w:sz w:val="22"/>
                <w:szCs w:val="22"/>
                <w:lang w:bidi="ar"/>
              </w:rPr>
              <w:t>所）</w:t>
            </w:r>
          </w:p>
        </w:tc>
        <w:tc>
          <w:tcPr>
            <w:tcW w:w="1080" w:type="dxa"/>
            <w:tcBorders>
              <w:top w:val="single" w:sz="4" w:space="0" w:color="000000"/>
              <w:left w:val="single" w:sz="4" w:space="0" w:color="000000"/>
              <w:bottom w:val="single" w:sz="4" w:space="0" w:color="000000"/>
              <w:right w:val="single" w:sz="4" w:space="0" w:color="000000"/>
            </w:tcBorders>
            <w:vAlign w:val="center"/>
          </w:tcPr>
          <w:p w14:paraId="7CCD13C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研究和试验发展</w:t>
            </w:r>
          </w:p>
        </w:tc>
        <w:tc>
          <w:tcPr>
            <w:tcW w:w="1068" w:type="dxa"/>
            <w:tcBorders>
              <w:top w:val="single" w:sz="4" w:space="0" w:color="000000"/>
              <w:left w:val="single" w:sz="4" w:space="0" w:color="000000"/>
              <w:bottom w:val="single" w:sz="4" w:space="0" w:color="000000"/>
              <w:right w:val="single" w:sz="4" w:space="0" w:color="000000"/>
            </w:tcBorders>
            <w:vAlign w:val="center"/>
          </w:tcPr>
          <w:p w14:paraId="627BDE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1092" w:type="dxa"/>
            <w:tcBorders>
              <w:top w:val="single" w:sz="4" w:space="0" w:color="000000"/>
              <w:left w:val="single" w:sz="4" w:space="0" w:color="000000"/>
              <w:bottom w:val="single" w:sz="4" w:space="0" w:color="000000"/>
              <w:right w:val="single" w:sz="4" w:space="0" w:color="000000"/>
            </w:tcBorders>
            <w:vAlign w:val="center"/>
          </w:tcPr>
          <w:p w14:paraId="4518A8B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45</w:t>
            </w:r>
          </w:p>
        </w:tc>
        <w:tc>
          <w:tcPr>
            <w:tcW w:w="780" w:type="dxa"/>
            <w:tcBorders>
              <w:top w:val="single" w:sz="4" w:space="0" w:color="000000"/>
              <w:left w:val="single" w:sz="4" w:space="0" w:color="000000"/>
              <w:bottom w:val="single" w:sz="4" w:space="0" w:color="000000"/>
              <w:right w:val="single" w:sz="4" w:space="0" w:color="000000"/>
            </w:tcBorders>
            <w:vAlign w:val="center"/>
          </w:tcPr>
          <w:p w14:paraId="5E0D79B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3360" w:type="dxa"/>
            <w:tcBorders>
              <w:top w:val="single" w:sz="4" w:space="0" w:color="000000"/>
              <w:left w:val="single" w:sz="4" w:space="0" w:color="000000"/>
              <w:bottom w:val="single" w:sz="4" w:space="0" w:color="000000"/>
              <w:right w:val="single" w:sz="4" w:space="0" w:color="000000"/>
            </w:tcBorders>
            <w:vAlign w:val="center"/>
          </w:tcPr>
          <w:p w14:paraId="4602C69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单位编制</w:t>
            </w:r>
            <w:r>
              <w:rPr>
                <w:rFonts w:ascii="宋体" w:eastAsia="宋体" w:hAnsi="宋体" w:cs="宋体" w:hint="eastAsia"/>
                <w:color w:val="000000"/>
                <w:kern w:val="0"/>
                <w:sz w:val="22"/>
                <w:szCs w:val="22"/>
                <w:lang w:bidi="ar"/>
              </w:rPr>
              <w:t>49</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年底实有人数</w:t>
            </w:r>
            <w:r>
              <w:rPr>
                <w:rFonts w:ascii="宋体" w:eastAsia="宋体" w:hAnsi="宋体" w:cs="宋体" w:hint="eastAsia"/>
                <w:color w:val="000000"/>
                <w:kern w:val="0"/>
                <w:sz w:val="22"/>
                <w:szCs w:val="22"/>
                <w:lang w:bidi="ar"/>
              </w:rPr>
              <w:t>45</w:t>
            </w:r>
            <w:r>
              <w:rPr>
                <w:rFonts w:ascii="宋体" w:eastAsia="宋体" w:hAnsi="宋体" w:cs="宋体" w:hint="eastAsia"/>
                <w:color w:val="000000"/>
                <w:kern w:val="0"/>
                <w:sz w:val="22"/>
                <w:szCs w:val="22"/>
                <w:lang w:bidi="ar"/>
              </w:rPr>
              <w:t>人，比较</w:t>
            </w:r>
            <w:r>
              <w:rPr>
                <w:rFonts w:ascii="宋体" w:eastAsia="宋体" w:hAnsi="宋体" w:cs="宋体" w:hint="eastAsia"/>
                <w:color w:val="000000"/>
                <w:kern w:val="0"/>
                <w:sz w:val="22"/>
                <w:szCs w:val="22"/>
                <w:lang w:bidi="ar"/>
              </w:rPr>
              <w:t>2022</w:t>
            </w:r>
            <w:r>
              <w:rPr>
                <w:rFonts w:ascii="宋体" w:eastAsia="宋体" w:hAnsi="宋体" w:cs="宋体" w:hint="eastAsia"/>
                <w:color w:val="000000"/>
                <w:kern w:val="0"/>
                <w:sz w:val="22"/>
                <w:szCs w:val="22"/>
                <w:lang w:bidi="ar"/>
              </w:rPr>
              <w:t>年底，离职人员</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人，退休人员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人，业务运转人数不够，</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人</w:t>
            </w:r>
          </w:p>
        </w:tc>
      </w:tr>
      <w:tr w:rsidR="00000000" w14:paraId="4ABD130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CCF389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新疆兵团第九师科学技术协会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64BB585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239E1B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0194317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780" w:type="dxa"/>
            <w:tcBorders>
              <w:top w:val="single" w:sz="4" w:space="0" w:color="000000"/>
              <w:left w:val="single" w:sz="4" w:space="0" w:color="000000"/>
              <w:bottom w:val="single" w:sz="4" w:space="0" w:color="000000"/>
              <w:right w:val="single" w:sz="4" w:space="0" w:color="000000"/>
            </w:tcBorders>
            <w:vAlign w:val="center"/>
          </w:tcPr>
          <w:p w14:paraId="2D39BCB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B093182" w14:textId="77777777" w:rsidR="00000000" w:rsidRDefault="00763D17">
            <w:pPr>
              <w:rPr>
                <w:rFonts w:ascii="宋体" w:eastAsia="宋体" w:hAnsi="宋体" w:cs="宋体" w:hint="eastAsia"/>
                <w:color w:val="000000"/>
                <w:sz w:val="22"/>
                <w:szCs w:val="22"/>
              </w:rPr>
            </w:pPr>
          </w:p>
        </w:tc>
      </w:tr>
      <w:tr w:rsidR="00000000" w14:paraId="6C7D274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29061C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新疆兵团第九师文化体育广电和旅游局（本级）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803EA1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938ED5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7F613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76496BE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9BD4140" w14:textId="77777777" w:rsidR="00000000" w:rsidRDefault="00763D17">
            <w:pPr>
              <w:rPr>
                <w:rFonts w:ascii="宋体" w:eastAsia="宋体" w:hAnsi="宋体" w:cs="宋体" w:hint="eastAsia"/>
                <w:color w:val="000000"/>
                <w:sz w:val="22"/>
                <w:szCs w:val="22"/>
              </w:rPr>
            </w:pPr>
          </w:p>
        </w:tc>
      </w:tr>
      <w:tr w:rsidR="00000000" w14:paraId="5A19678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8582EA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新疆兵团第九师豫剧团</w:t>
            </w:r>
          </w:p>
        </w:tc>
        <w:tc>
          <w:tcPr>
            <w:tcW w:w="1080" w:type="dxa"/>
            <w:tcBorders>
              <w:top w:val="single" w:sz="4" w:space="0" w:color="000000"/>
              <w:left w:val="single" w:sz="4" w:space="0" w:color="000000"/>
              <w:bottom w:val="single" w:sz="4" w:space="0" w:color="000000"/>
              <w:right w:val="single" w:sz="4" w:space="0" w:color="000000"/>
            </w:tcBorders>
            <w:vAlign w:val="center"/>
          </w:tcPr>
          <w:p w14:paraId="0A02732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文化艺术业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B0807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1092" w:type="dxa"/>
            <w:tcBorders>
              <w:top w:val="single" w:sz="4" w:space="0" w:color="000000"/>
              <w:left w:val="single" w:sz="4" w:space="0" w:color="000000"/>
              <w:bottom w:val="single" w:sz="4" w:space="0" w:color="000000"/>
              <w:right w:val="single" w:sz="4" w:space="0" w:color="000000"/>
            </w:tcBorders>
            <w:vAlign w:val="center"/>
          </w:tcPr>
          <w:p w14:paraId="1E25768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780" w:type="dxa"/>
            <w:tcBorders>
              <w:top w:val="single" w:sz="4" w:space="0" w:color="000000"/>
              <w:left w:val="single" w:sz="4" w:space="0" w:color="000000"/>
              <w:bottom w:val="single" w:sz="4" w:space="0" w:color="000000"/>
              <w:right w:val="single" w:sz="4" w:space="0" w:color="000000"/>
            </w:tcBorders>
            <w:vAlign w:val="center"/>
          </w:tcPr>
          <w:p w14:paraId="1E41DC7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5FB266A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豫剧团</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6</w:t>
            </w:r>
            <w:r>
              <w:rPr>
                <w:rFonts w:ascii="宋体" w:eastAsia="宋体" w:hAnsi="宋体" w:cs="宋体" w:hint="eastAsia"/>
                <w:color w:val="000000"/>
                <w:kern w:val="0"/>
                <w:sz w:val="22"/>
                <w:szCs w:val="22"/>
                <w:lang w:bidi="ar"/>
              </w:rPr>
              <w:t>月退休魏振峰、刘世宏</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0A79C2E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BA5120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新疆兵团第九师文化体育广电和旅游发展服务中心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6B1D0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文化艺术业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E936B9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489401C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7114514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337E2C6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本年度事业单位新招录</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人，从</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团文广中心调入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人，从小白杨中学调入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人，离职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7C6CBAF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C3627A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新疆兵团第九师文学艺术界联合会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449CED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36105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4C0F716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780" w:type="dxa"/>
            <w:tcBorders>
              <w:top w:val="single" w:sz="4" w:space="0" w:color="000000"/>
              <w:left w:val="single" w:sz="4" w:space="0" w:color="000000"/>
              <w:bottom w:val="single" w:sz="4" w:space="0" w:color="000000"/>
              <w:right w:val="single" w:sz="4" w:space="0" w:color="000000"/>
            </w:tcBorders>
            <w:vAlign w:val="center"/>
          </w:tcPr>
          <w:p w14:paraId="077E33C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F95AF2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本年度在职人员调出单位，</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人调入宣传部</w:t>
            </w:r>
          </w:p>
        </w:tc>
      </w:tr>
      <w:tr w:rsidR="00000000" w14:paraId="0A090F9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24E5D9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新疆兵团第九师委员会党校</w:t>
            </w:r>
          </w:p>
        </w:tc>
        <w:tc>
          <w:tcPr>
            <w:tcW w:w="1080" w:type="dxa"/>
            <w:tcBorders>
              <w:top w:val="single" w:sz="4" w:space="0" w:color="000000"/>
              <w:left w:val="single" w:sz="4" w:space="0" w:color="000000"/>
              <w:bottom w:val="single" w:sz="4" w:space="0" w:color="000000"/>
              <w:right w:val="single" w:sz="4" w:space="0" w:color="000000"/>
            </w:tcBorders>
            <w:vAlign w:val="center"/>
          </w:tcPr>
          <w:p w14:paraId="436A4AD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5FC60F3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27</w:t>
            </w:r>
          </w:p>
        </w:tc>
        <w:tc>
          <w:tcPr>
            <w:tcW w:w="1092" w:type="dxa"/>
            <w:tcBorders>
              <w:top w:val="single" w:sz="4" w:space="0" w:color="000000"/>
              <w:left w:val="single" w:sz="4" w:space="0" w:color="000000"/>
              <w:bottom w:val="single" w:sz="4" w:space="0" w:color="000000"/>
              <w:right w:val="single" w:sz="4" w:space="0" w:color="000000"/>
            </w:tcBorders>
            <w:vAlign w:val="center"/>
          </w:tcPr>
          <w:p w14:paraId="4C42AD8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28</w:t>
            </w:r>
          </w:p>
        </w:tc>
        <w:tc>
          <w:tcPr>
            <w:tcW w:w="780" w:type="dxa"/>
            <w:tcBorders>
              <w:top w:val="single" w:sz="4" w:space="0" w:color="000000"/>
              <w:left w:val="single" w:sz="4" w:space="0" w:color="000000"/>
              <w:bottom w:val="single" w:sz="4" w:space="0" w:color="000000"/>
              <w:right w:val="single" w:sz="4" w:space="0" w:color="000000"/>
            </w:tcBorders>
            <w:vAlign w:val="center"/>
          </w:tcPr>
          <w:p w14:paraId="3507501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498192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较上年新招录人员增加</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CA29B2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8A7A61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新疆兵团第九师农业农村局（本级）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29A92F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F05282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73E26E4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50AE962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54C24A2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年本单位编制数增加，</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月从</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团调入</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月从团结调入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月从</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团点入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62ADA9F1" w14:textId="77777777">
        <w:trPr>
          <w:trHeight w:val="1560"/>
        </w:trPr>
        <w:tc>
          <w:tcPr>
            <w:tcW w:w="2400" w:type="dxa"/>
            <w:tcBorders>
              <w:top w:val="single" w:sz="4" w:space="0" w:color="000000"/>
              <w:left w:val="single" w:sz="4" w:space="0" w:color="000000"/>
              <w:bottom w:val="single" w:sz="4" w:space="0" w:color="000000"/>
              <w:right w:val="single" w:sz="4" w:space="0" w:color="000000"/>
            </w:tcBorders>
            <w:vAlign w:val="center"/>
          </w:tcPr>
          <w:p w14:paraId="4527AFE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新疆兵团第九师农业技术推广站</w:t>
            </w:r>
          </w:p>
        </w:tc>
        <w:tc>
          <w:tcPr>
            <w:tcW w:w="1080" w:type="dxa"/>
            <w:tcBorders>
              <w:top w:val="single" w:sz="4" w:space="0" w:color="000000"/>
              <w:left w:val="single" w:sz="4" w:space="0" w:color="000000"/>
              <w:bottom w:val="single" w:sz="4" w:space="0" w:color="000000"/>
              <w:right w:val="single" w:sz="4" w:space="0" w:color="000000"/>
            </w:tcBorders>
            <w:vAlign w:val="center"/>
          </w:tcPr>
          <w:p w14:paraId="1E938D8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DAA3E4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1092" w:type="dxa"/>
            <w:tcBorders>
              <w:top w:val="single" w:sz="4" w:space="0" w:color="000000"/>
              <w:left w:val="single" w:sz="4" w:space="0" w:color="000000"/>
              <w:bottom w:val="single" w:sz="4" w:space="0" w:color="000000"/>
              <w:right w:val="single" w:sz="4" w:space="0" w:color="000000"/>
            </w:tcBorders>
            <w:vAlign w:val="center"/>
          </w:tcPr>
          <w:p w14:paraId="272309E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21</w:t>
            </w:r>
          </w:p>
        </w:tc>
        <w:tc>
          <w:tcPr>
            <w:tcW w:w="780" w:type="dxa"/>
            <w:tcBorders>
              <w:top w:val="single" w:sz="4" w:space="0" w:color="000000"/>
              <w:left w:val="single" w:sz="4" w:space="0" w:color="000000"/>
              <w:bottom w:val="single" w:sz="4" w:space="0" w:color="000000"/>
              <w:right w:val="single" w:sz="4" w:space="0" w:color="000000"/>
            </w:tcBorders>
            <w:vAlign w:val="center"/>
          </w:tcPr>
          <w:p w14:paraId="063F7E9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4CE75B7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月从</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团农发中心调入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月调入</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人，分别从</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团农发中心、</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团经发办、农</w:t>
            </w:r>
            <w:r>
              <w:rPr>
                <w:rFonts w:ascii="宋体" w:eastAsia="宋体" w:hAnsi="宋体" w:cs="宋体" w:hint="eastAsia"/>
                <w:color w:val="000000"/>
                <w:kern w:val="0"/>
                <w:sz w:val="22"/>
                <w:szCs w:val="22"/>
                <w:lang w:bidi="ar"/>
              </w:rPr>
              <w:t>畜科所调入，</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人辞职，</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人调出到兽医站，</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月从南疆调入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085BCD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B5D731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新疆兵团第九师畜牧兽医工作站</w:t>
            </w:r>
          </w:p>
        </w:tc>
        <w:tc>
          <w:tcPr>
            <w:tcW w:w="1080" w:type="dxa"/>
            <w:tcBorders>
              <w:top w:val="single" w:sz="4" w:space="0" w:color="000000"/>
              <w:left w:val="single" w:sz="4" w:space="0" w:color="000000"/>
              <w:bottom w:val="single" w:sz="4" w:space="0" w:color="000000"/>
              <w:right w:val="single" w:sz="4" w:space="0" w:color="000000"/>
            </w:tcBorders>
            <w:vAlign w:val="center"/>
          </w:tcPr>
          <w:p w14:paraId="0B1532D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畜牧业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474B404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1092" w:type="dxa"/>
            <w:tcBorders>
              <w:top w:val="single" w:sz="4" w:space="0" w:color="000000"/>
              <w:left w:val="single" w:sz="4" w:space="0" w:color="000000"/>
              <w:bottom w:val="single" w:sz="4" w:space="0" w:color="000000"/>
              <w:right w:val="single" w:sz="4" w:space="0" w:color="000000"/>
            </w:tcBorders>
            <w:vAlign w:val="center"/>
          </w:tcPr>
          <w:p w14:paraId="2CED16F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1E97E1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3A51E3C" w14:textId="77777777" w:rsidR="00000000" w:rsidRDefault="00763D17">
            <w:pPr>
              <w:rPr>
                <w:rFonts w:ascii="宋体" w:eastAsia="宋体" w:hAnsi="宋体" w:cs="宋体" w:hint="eastAsia"/>
                <w:color w:val="000000"/>
                <w:sz w:val="22"/>
                <w:szCs w:val="22"/>
              </w:rPr>
            </w:pPr>
          </w:p>
        </w:tc>
      </w:tr>
      <w:tr w:rsidR="00000000" w14:paraId="4D419A9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5A9495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新疆兵团第九师农机技术推广站</w:t>
            </w:r>
          </w:p>
        </w:tc>
        <w:tc>
          <w:tcPr>
            <w:tcW w:w="1080" w:type="dxa"/>
            <w:tcBorders>
              <w:top w:val="single" w:sz="4" w:space="0" w:color="000000"/>
              <w:left w:val="single" w:sz="4" w:space="0" w:color="000000"/>
              <w:bottom w:val="single" w:sz="4" w:space="0" w:color="000000"/>
              <w:right w:val="single" w:sz="4" w:space="0" w:color="000000"/>
            </w:tcBorders>
            <w:vAlign w:val="center"/>
          </w:tcPr>
          <w:p w14:paraId="1A6E3C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202D58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11C774B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2BD558F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2C1BB77" w14:textId="77777777" w:rsidR="00000000" w:rsidRDefault="00763D17">
            <w:pPr>
              <w:rPr>
                <w:rFonts w:ascii="宋体" w:eastAsia="宋体" w:hAnsi="宋体" w:cs="宋体" w:hint="eastAsia"/>
                <w:color w:val="000000"/>
                <w:sz w:val="22"/>
                <w:szCs w:val="22"/>
              </w:rPr>
            </w:pPr>
          </w:p>
        </w:tc>
      </w:tr>
      <w:tr w:rsidR="00000000" w14:paraId="5E48A06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8D5B02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新疆兵团第九师水利局（本级）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8D3EC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512F8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63D8E66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130C7DF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14990E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年本单位调出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名干部到</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w:t>
            </w:r>
          </w:p>
        </w:tc>
      </w:tr>
      <w:tr w:rsidR="00000000" w14:paraId="12DA45F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33F130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新疆兵团第九师水政监察支队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45CA759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30E37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5384C55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279425B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978301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月本单位调出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人到水利管理中心</w:t>
            </w:r>
          </w:p>
        </w:tc>
      </w:tr>
      <w:tr w:rsidR="00000000" w14:paraId="60F111A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ABBCE2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新疆兵团第九师水文水资源管理中心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1E0A6C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水利管理业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26BF1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1212D19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76FF16D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31C54E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w:t>
            </w:r>
            <w:r>
              <w:rPr>
                <w:rFonts w:ascii="宋体" w:eastAsia="宋体" w:hAnsi="宋体" w:cs="宋体" w:hint="eastAsia"/>
                <w:color w:val="000000"/>
                <w:kern w:val="0"/>
                <w:sz w:val="22"/>
                <w:szCs w:val="22"/>
                <w:lang w:bidi="ar"/>
              </w:rPr>
              <w:t>9</w:t>
            </w:r>
            <w:r>
              <w:rPr>
                <w:rFonts w:ascii="宋体" w:eastAsia="宋体" w:hAnsi="宋体" w:cs="宋体" w:hint="eastAsia"/>
                <w:color w:val="000000"/>
                <w:kern w:val="0"/>
                <w:sz w:val="22"/>
                <w:szCs w:val="22"/>
                <w:lang w:bidi="ar"/>
              </w:rPr>
              <w:t>月份调出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名干部到水利管理中心</w:t>
            </w:r>
          </w:p>
        </w:tc>
      </w:tr>
      <w:tr w:rsidR="00000000" w14:paraId="72307E8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B40272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新疆兵团第九师水利工程管理服务中</w:t>
            </w:r>
            <w:r>
              <w:rPr>
                <w:rFonts w:ascii="宋体" w:eastAsia="宋体" w:hAnsi="宋体" w:cs="宋体" w:hint="eastAsia"/>
                <w:color w:val="000000"/>
                <w:kern w:val="0"/>
                <w:sz w:val="22"/>
                <w:szCs w:val="22"/>
                <w:lang w:bidi="ar"/>
              </w:rPr>
              <w:t>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72B3FC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水利管理业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139FCF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72</w:t>
            </w:r>
          </w:p>
        </w:tc>
        <w:tc>
          <w:tcPr>
            <w:tcW w:w="1092" w:type="dxa"/>
            <w:tcBorders>
              <w:top w:val="single" w:sz="4" w:space="0" w:color="000000"/>
              <w:left w:val="single" w:sz="4" w:space="0" w:color="000000"/>
              <w:bottom w:val="single" w:sz="4" w:space="0" w:color="000000"/>
              <w:right w:val="single" w:sz="4" w:space="0" w:color="000000"/>
            </w:tcBorders>
            <w:vAlign w:val="center"/>
          </w:tcPr>
          <w:p w14:paraId="48A9B95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75</w:t>
            </w:r>
          </w:p>
        </w:tc>
        <w:tc>
          <w:tcPr>
            <w:tcW w:w="780" w:type="dxa"/>
            <w:tcBorders>
              <w:top w:val="single" w:sz="4" w:space="0" w:color="000000"/>
              <w:left w:val="single" w:sz="4" w:space="0" w:color="000000"/>
              <w:bottom w:val="single" w:sz="4" w:space="0" w:color="000000"/>
              <w:right w:val="single" w:sz="4" w:space="0" w:color="000000"/>
            </w:tcBorders>
            <w:vAlign w:val="center"/>
          </w:tcPr>
          <w:p w14:paraId="323807E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2A935BA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退休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月各退休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p>
        </w:tc>
      </w:tr>
      <w:tr w:rsidR="00000000" w14:paraId="20AB52A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973890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新疆兵团第九师发展和改革委员会（本级）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05C354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C756C1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5FC0934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79DF24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08F9DF4" w14:textId="77777777" w:rsidR="00000000" w:rsidRDefault="00763D17">
            <w:pPr>
              <w:rPr>
                <w:rFonts w:ascii="宋体" w:eastAsia="宋体" w:hAnsi="宋体" w:cs="宋体" w:hint="eastAsia"/>
                <w:color w:val="000000"/>
                <w:sz w:val="22"/>
                <w:szCs w:val="22"/>
              </w:rPr>
            </w:pPr>
          </w:p>
        </w:tc>
      </w:tr>
      <w:tr w:rsidR="00000000" w14:paraId="678BE96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78F000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新疆兵团第九师发展改革综合服务中心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3FFE6D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其他服务业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3B47986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1092" w:type="dxa"/>
            <w:tcBorders>
              <w:top w:val="single" w:sz="4" w:space="0" w:color="000000"/>
              <w:left w:val="single" w:sz="4" w:space="0" w:color="000000"/>
              <w:bottom w:val="single" w:sz="4" w:space="0" w:color="000000"/>
              <w:right w:val="single" w:sz="4" w:space="0" w:color="000000"/>
            </w:tcBorders>
            <w:vAlign w:val="center"/>
          </w:tcPr>
          <w:p w14:paraId="44AD85C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4FF2C4A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F6F9AA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年，调出一</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人，辞职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人，新增人员</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p>
        </w:tc>
      </w:tr>
      <w:tr w:rsidR="00000000" w14:paraId="4236D30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D86093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新疆兵团第九师工业和信息化局（本级）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A1CFD1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526417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07AAFB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4584113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694B6D4" w14:textId="77777777" w:rsidR="00000000" w:rsidRDefault="00763D17">
            <w:pPr>
              <w:rPr>
                <w:rFonts w:ascii="宋体" w:eastAsia="宋体" w:hAnsi="宋体" w:cs="宋体" w:hint="eastAsia"/>
                <w:color w:val="000000"/>
                <w:sz w:val="22"/>
                <w:szCs w:val="22"/>
              </w:rPr>
            </w:pPr>
          </w:p>
        </w:tc>
      </w:tr>
      <w:tr w:rsidR="00000000" w14:paraId="75B641F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C4AC90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新疆兵团第九师中小企业服务中心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6C0ED3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其他服务业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FCE29C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7325EF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1174B34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50F442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因上年人员属于年中追加，本年人均水平整体增加。</w:t>
            </w:r>
          </w:p>
        </w:tc>
      </w:tr>
      <w:tr w:rsidR="00000000" w14:paraId="64F45BD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C0D8A9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新疆兵团第九师自然资</w:t>
            </w:r>
            <w:r>
              <w:rPr>
                <w:rFonts w:ascii="宋体" w:eastAsia="宋体" w:hAnsi="宋体" w:cs="宋体" w:hint="eastAsia"/>
                <w:color w:val="000000"/>
                <w:kern w:val="0"/>
                <w:sz w:val="22"/>
                <w:szCs w:val="22"/>
                <w:lang w:bidi="ar"/>
              </w:rPr>
              <w:t>源和规划局（本级）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5E8B291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BB4F8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1092" w:type="dxa"/>
            <w:tcBorders>
              <w:top w:val="single" w:sz="4" w:space="0" w:color="000000"/>
              <w:left w:val="single" w:sz="4" w:space="0" w:color="000000"/>
              <w:bottom w:val="single" w:sz="4" w:space="0" w:color="000000"/>
              <w:right w:val="single" w:sz="4" w:space="0" w:color="000000"/>
            </w:tcBorders>
            <w:vAlign w:val="center"/>
          </w:tcPr>
          <w:p w14:paraId="089D059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0AECE0F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C7EBBB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该单位本年从国土资源执法监察大队调入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025885E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D73D9F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新疆兵团第九师国土资源局师直分局</w:t>
            </w:r>
          </w:p>
        </w:tc>
        <w:tc>
          <w:tcPr>
            <w:tcW w:w="1080" w:type="dxa"/>
            <w:tcBorders>
              <w:top w:val="single" w:sz="4" w:space="0" w:color="000000"/>
              <w:left w:val="single" w:sz="4" w:space="0" w:color="000000"/>
              <w:bottom w:val="single" w:sz="4" w:space="0" w:color="000000"/>
              <w:right w:val="single" w:sz="4" w:space="0" w:color="000000"/>
            </w:tcBorders>
            <w:vAlign w:val="center"/>
          </w:tcPr>
          <w:p w14:paraId="307E90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2695E6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1092" w:type="dxa"/>
            <w:tcBorders>
              <w:top w:val="single" w:sz="4" w:space="0" w:color="000000"/>
              <w:left w:val="single" w:sz="4" w:space="0" w:color="000000"/>
              <w:bottom w:val="single" w:sz="4" w:space="0" w:color="000000"/>
              <w:right w:val="single" w:sz="4" w:space="0" w:color="000000"/>
            </w:tcBorders>
            <w:vAlign w:val="center"/>
          </w:tcPr>
          <w:p w14:paraId="1F58404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27</w:t>
            </w:r>
          </w:p>
        </w:tc>
        <w:tc>
          <w:tcPr>
            <w:tcW w:w="780" w:type="dxa"/>
            <w:tcBorders>
              <w:top w:val="single" w:sz="4" w:space="0" w:color="000000"/>
              <w:left w:val="single" w:sz="4" w:space="0" w:color="000000"/>
              <w:bottom w:val="single" w:sz="4" w:space="0" w:color="000000"/>
              <w:right w:val="single" w:sz="4" w:space="0" w:color="000000"/>
            </w:tcBorders>
            <w:vAlign w:val="center"/>
          </w:tcPr>
          <w:p w14:paraId="17A7DFD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3360" w:type="dxa"/>
            <w:tcBorders>
              <w:top w:val="single" w:sz="4" w:space="0" w:color="000000"/>
              <w:left w:val="single" w:sz="4" w:space="0" w:color="000000"/>
              <w:bottom w:val="single" w:sz="4" w:space="0" w:color="000000"/>
              <w:right w:val="single" w:sz="4" w:space="0" w:color="000000"/>
            </w:tcBorders>
            <w:vAlign w:val="center"/>
          </w:tcPr>
          <w:p w14:paraId="1E42C3A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该单位本年有</w:t>
            </w:r>
            <w:r>
              <w:rPr>
                <w:rFonts w:ascii="宋体" w:eastAsia="宋体" w:hAnsi="宋体" w:cs="宋体" w:hint="eastAsia"/>
                <w:color w:val="000000"/>
                <w:kern w:val="0"/>
                <w:sz w:val="22"/>
                <w:szCs w:val="22"/>
                <w:lang w:bidi="ar"/>
              </w:rPr>
              <w:t>6</w:t>
            </w:r>
            <w:r>
              <w:rPr>
                <w:rFonts w:ascii="宋体" w:eastAsia="宋体" w:hAnsi="宋体" w:cs="宋体" w:hint="eastAsia"/>
                <w:color w:val="000000"/>
                <w:kern w:val="0"/>
                <w:sz w:val="22"/>
                <w:szCs w:val="22"/>
                <w:lang w:bidi="ar"/>
              </w:rPr>
              <w:t>人退休，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人调出至自然资源和规划局。</w:t>
            </w:r>
          </w:p>
        </w:tc>
      </w:tr>
      <w:tr w:rsidR="00000000" w14:paraId="5DF31CB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915DD8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新疆兵团第九师林业工作管理站</w:t>
            </w:r>
          </w:p>
        </w:tc>
        <w:tc>
          <w:tcPr>
            <w:tcW w:w="1080" w:type="dxa"/>
            <w:tcBorders>
              <w:top w:val="single" w:sz="4" w:space="0" w:color="000000"/>
              <w:left w:val="single" w:sz="4" w:space="0" w:color="000000"/>
              <w:bottom w:val="single" w:sz="4" w:space="0" w:color="000000"/>
              <w:right w:val="single" w:sz="4" w:space="0" w:color="000000"/>
            </w:tcBorders>
            <w:vAlign w:val="center"/>
          </w:tcPr>
          <w:p w14:paraId="76DFC85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林业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21511E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7D5CF7E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72A0289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05425CE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该单位本年度新招聘</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人，调出至其他单位</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4CAF17E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2A0F8D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新疆兵团第九师不动产登记管理中心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477F7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土地管理业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94F587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4402AE8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35EDE88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2FD5B9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该单位本年度新招聘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名工作人员。</w:t>
            </w:r>
          </w:p>
        </w:tc>
      </w:tr>
      <w:tr w:rsidR="00000000" w14:paraId="22146C7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433E7C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新疆兵团第九师生态环境局（本级）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64FDAB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086907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056049D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59FCC00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060867E" w14:textId="77777777" w:rsidR="00000000" w:rsidRDefault="00763D17">
            <w:pPr>
              <w:rPr>
                <w:rFonts w:ascii="宋体" w:eastAsia="宋体" w:hAnsi="宋体" w:cs="宋体" w:hint="eastAsia"/>
                <w:color w:val="000000"/>
                <w:sz w:val="22"/>
                <w:szCs w:val="22"/>
              </w:rPr>
            </w:pPr>
          </w:p>
        </w:tc>
      </w:tr>
      <w:tr w:rsidR="00000000" w14:paraId="0A07F55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491B8C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新疆兵团第九师生态环境监测站（污染源监控中心）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656B19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生</w:t>
            </w:r>
            <w:r>
              <w:rPr>
                <w:rFonts w:ascii="宋体" w:eastAsia="宋体" w:hAnsi="宋体" w:cs="宋体" w:hint="eastAsia"/>
                <w:color w:val="000000"/>
                <w:kern w:val="0"/>
                <w:sz w:val="22"/>
                <w:szCs w:val="22"/>
                <w:lang w:bidi="ar"/>
              </w:rPr>
              <w:t>态保护和环境治理业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8D0DB5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5F7CAA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4CB4F5C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5466E72" w14:textId="77777777" w:rsidR="00000000" w:rsidRDefault="00763D17">
            <w:pPr>
              <w:rPr>
                <w:rFonts w:ascii="宋体" w:eastAsia="宋体" w:hAnsi="宋体" w:cs="宋体" w:hint="eastAsia"/>
                <w:color w:val="000000"/>
                <w:sz w:val="22"/>
                <w:szCs w:val="22"/>
              </w:rPr>
            </w:pPr>
          </w:p>
        </w:tc>
      </w:tr>
      <w:tr w:rsidR="00000000" w14:paraId="2194DF2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E5CC47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新疆兵团第九师生态环境保护综合行政执法支队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77EA786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919D97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1092" w:type="dxa"/>
            <w:tcBorders>
              <w:top w:val="single" w:sz="4" w:space="0" w:color="000000"/>
              <w:left w:val="single" w:sz="4" w:space="0" w:color="000000"/>
              <w:bottom w:val="single" w:sz="4" w:space="0" w:color="000000"/>
              <w:right w:val="single" w:sz="4" w:space="0" w:color="000000"/>
            </w:tcBorders>
            <w:vAlign w:val="center"/>
          </w:tcPr>
          <w:p w14:paraId="6FB8802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1419FF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4458E6A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年年末退休一人、调离至机关事务管理局一人。</w:t>
            </w:r>
          </w:p>
        </w:tc>
      </w:tr>
      <w:tr w:rsidR="00000000" w14:paraId="66757A6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7425A4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新疆兵团第九师住房和城乡建设局（本级）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78F02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450A0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642074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4C0FA3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EF4F55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本年度较上年度调走</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人，遴选</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048CBBE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3E4984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新疆兵团第九师建设工程质量安全监督站</w:t>
            </w:r>
          </w:p>
        </w:tc>
        <w:tc>
          <w:tcPr>
            <w:tcW w:w="1080" w:type="dxa"/>
            <w:tcBorders>
              <w:top w:val="single" w:sz="4" w:space="0" w:color="000000"/>
              <w:left w:val="single" w:sz="4" w:space="0" w:color="000000"/>
              <w:bottom w:val="single" w:sz="4" w:space="0" w:color="000000"/>
              <w:right w:val="single" w:sz="4" w:space="0" w:color="000000"/>
            </w:tcBorders>
            <w:vAlign w:val="center"/>
          </w:tcPr>
          <w:p w14:paraId="33B3C3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房屋建筑业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263A7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142017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2E2422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B45EC73" w14:textId="77777777" w:rsidR="00000000" w:rsidRDefault="00763D17">
            <w:pPr>
              <w:rPr>
                <w:rFonts w:ascii="宋体" w:eastAsia="宋体" w:hAnsi="宋体" w:cs="宋体" w:hint="eastAsia"/>
                <w:color w:val="000000"/>
                <w:sz w:val="22"/>
                <w:szCs w:val="22"/>
              </w:rPr>
            </w:pPr>
          </w:p>
        </w:tc>
      </w:tr>
      <w:tr w:rsidR="00000000" w14:paraId="4A03DE1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610D19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新疆兵团第九师住房和城乡建设发展服务中心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6E44D3A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房屋建筑业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177E8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502E09D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780" w:type="dxa"/>
            <w:tcBorders>
              <w:top w:val="single" w:sz="4" w:space="0" w:color="000000"/>
              <w:left w:val="single" w:sz="4" w:space="0" w:color="000000"/>
              <w:bottom w:val="single" w:sz="4" w:space="0" w:color="000000"/>
              <w:right w:val="single" w:sz="4" w:space="0" w:color="000000"/>
            </w:tcBorders>
            <w:vAlign w:val="center"/>
          </w:tcPr>
          <w:p w14:paraId="113C012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3360" w:type="dxa"/>
            <w:tcBorders>
              <w:top w:val="single" w:sz="4" w:space="0" w:color="000000"/>
              <w:left w:val="single" w:sz="4" w:space="0" w:color="000000"/>
              <w:bottom w:val="single" w:sz="4" w:space="0" w:color="000000"/>
              <w:right w:val="single" w:sz="4" w:space="0" w:color="000000"/>
            </w:tcBorders>
            <w:vAlign w:val="center"/>
          </w:tcPr>
          <w:p w14:paraId="460507A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本年度单位调入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人，考入</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人，校园招聘</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人，辞职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5E04EC7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16B462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新疆兵团第九师交通运输局（本级）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5B6F62C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B2CEB2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6546B50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649B904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EFBD41B" w14:textId="77777777" w:rsidR="00000000" w:rsidRDefault="00763D17">
            <w:pPr>
              <w:rPr>
                <w:rFonts w:ascii="宋体" w:eastAsia="宋体" w:hAnsi="宋体" w:cs="宋体" w:hint="eastAsia"/>
                <w:color w:val="000000"/>
                <w:sz w:val="22"/>
                <w:szCs w:val="22"/>
              </w:rPr>
            </w:pPr>
          </w:p>
        </w:tc>
      </w:tr>
      <w:tr w:rsidR="00000000" w14:paraId="2868F45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DF1920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新疆兵团第九师交通运输事业发展中心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77D460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道路运输业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BF5639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19</w:t>
            </w:r>
          </w:p>
        </w:tc>
        <w:tc>
          <w:tcPr>
            <w:tcW w:w="1092" w:type="dxa"/>
            <w:tcBorders>
              <w:top w:val="single" w:sz="4" w:space="0" w:color="000000"/>
              <w:left w:val="single" w:sz="4" w:space="0" w:color="000000"/>
              <w:bottom w:val="single" w:sz="4" w:space="0" w:color="000000"/>
              <w:right w:val="single" w:sz="4" w:space="0" w:color="000000"/>
            </w:tcBorders>
            <w:vAlign w:val="center"/>
          </w:tcPr>
          <w:p w14:paraId="6FFBB11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23</w:t>
            </w:r>
          </w:p>
        </w:tc>
        <w:tc>
          <w:tcPr>
            <w:tcW w:w="780" w:type="dxa"/>
            <w:tcBorders>
              <w:top w:val="single" w:sz="4" w:space="0" w:color="000000"/>
              <w:left w:val="single" w:sz="4" w:space="0" w:color="000000"/>
              <w:bottom w:val="single" w:sz="4" w:space="0" w:color="000000"/>
              <w:right w:val="single" w:sz="4" w:space="0" w:color="000000"/>
            </w:tcBorders>
            <w:vAlign w:val="center"/>
          </w:tcPr>
          <w:p w14:paraId="25C6840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4BC38F9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单位新招录人员</w:t>
            </w:r>
          </w:p>
        </w:tc>
      </w:tr>
      <w:tr w:rsidR="00000000" w14:paraId="2463F1F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D728EF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新疆兵团第九师交通运输综合行政执法支队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0EE2652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E4F6C7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1092" w:type="dxa"/>
            <w:tcBorders>
              <w:top w:val="single" w:sz="4" w:space="0" w:color="000000"/>
              <w:left w:val="single" w:sz="4" w:space="0" w:color="000000"/>
              <w:bottom w:val="single" w:sz="4" w:space="0" w:color="000000"/>
              <w:right w:val="single" w:sz="4" w:space="0" w:color="000000"/>
            </w:tcBorders>
            <w:vAlign w:val="center"/>
          </w:tcPr>
          <w:p w14:paraId="680045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780" w:type="dxa"/>
            <w:tcBorders>
              <w:top w:val="single" w:sz="4" w:space="0" w:color="000000"/>
              <w:left w:val="single" w:sz="4" w:space="0" w:color="000000"/>
              <w:bottom w:val="single" w:sz="4" w:space="0" w:color="000000"/>
              <w:right w:val="single" w:sz="4" w:space="0" w:color="000000"/>
            </w:tcBorders>
            <w:vAlign w:val="center"/>
          </w:tcPr>
          <w:p w14:paraId="6D67E1A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4549343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年公务员招录一人，水政监察支队调入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DAE087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946C3D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新疆兵团第九师应急管理局（本级）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AD2BAB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150A74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2E2E81F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493C06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ECD1BB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人至</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w:t>
            </w:r>
          </w:p>
        </w:tc>
      </w:tr>
      <w:tr w:rsidR="00000000" w14:paraId="136A2A9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88778C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新疆兵团第九师应急管理综合行政执法支队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603213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C21582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1092" w:type="dxa"/>
            <w:tcBorders>
              <w:top w:val="single" w:sz="4" w:space="0" w:color="000000"/>
              <w:left w:val="single" w:sz="4" w:space="0" w:color="000000"/>
              <w:bottom w:val="single" w:sz="4" w:space="0" w:color="000000"/>
              <w:right w:val="single" w:sz="4" w:space="0" w:color="000000"/>
            </w:tcBorders>
            <w:vAlign w:val="center"/>
          </w:tcPr>
          <w:p w14:paraId="2640AD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1A3B015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4AE7277" w14:textId="77777777" w:rsidR="00000000" w:rsidRDefault="00763D17">
            <w:pPr>
              <w:rPr>
                <w:rFonts w:ascii="宋体" w:eastAsia="宋体" w:hAnsi="宋体" w:cs="宋体" w:hint="eastAsia"/>
                <w:color w:val="000000"/>
                <w:sz w:val="22"/>
                <w:szCs w:val="22"/>
              </w:rPr>
            </w:pPr>
          </w:p>
        </w:tc>
      </w:tr>
      <w:tr w:rsidR="00000000" w14:paraId="3D55B14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AF13AF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新疆兵团第九师自然灾害综合监测预警应急管理中心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36F506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社会保障</w:t>
            </w:r>
          </w:p>
        </w:tc>
        <w:tc>
          <w:tcPr>
            <w:tcW w:w="1068" w:type="dxa"/>
            <w:tcBorders>
              <w:top w:val="single" w:sz="4" w:space="0" w:color="000000"/>
              <w:left w:val="single" w:sz="4" w:space="0" w:color="000000"/>
              <w:bottom w:val="single" w:sz="4" w:space="0" w:color="000000"/>
              <w:right w:val="single" w:sz="4" w:space="0" w:color="000000"/>
            </w:tcBorders>
            <w:vAlign w:val="center"/>
          </w:tcPr>
          <w:p w14:paraId="206D187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1450C09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78F9F4A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282C0F5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该单位本年度辞职</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10D4219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B7E08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新疆兵团第九师城市管理行政执法局（本级）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D12E9D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9A2B19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218362F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487977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6DCD494" w14:textId="77777777" w:rsidR="00000000" w:rsidRDefault="00763D17">
            <w:pPr>
              <w:rPr>
                <w:rFonts w:ascii="宋体" w:eastAsia="宋体" w:hAnsi="宋体" w:cs="宋体" w:hint="eastAsia"/>
                <w:color w:val="000000"/>
                <w:sz w:val="22"/>
                <w:szCs w:val="22"/>
              </w:rPr>
            </w:pPr>
          </w:p>
        </w:tc>
      </w:tr>
      <w:tr w:rsidR="00000000" w14:paraId="25ED9AA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518451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新疆兵团第九师城市管理综合行政执法支队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7F1F4A8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E7B59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w:t>
            </w:r>
          </w:p>
        </w:tc>
        <w:tc>
          <w:tcPr>
            <w:tcW w:w="1092" w:type="dxa"/>
            <w:tcBorders>
              <w:top w:val="single" w:sz="4" w:space="0" w:color="000000"/>
              <w:left w:val="single" w:sz="4" w:space="0" w:color="000000"/>
              <w:bottom w:val="single" w:sz="4" w:space="0" w:color="000000"/>
              <w:right w:val="single" w:sz="4" w:space="0" w:color="000000"/>
            </w:tcBorders>
            <w:vAlign w:val="center"/>
          </w:tcPr>
          <w:p w14:paraId="0D13A46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24</w:t>
            </w:r>
          </w:p>
        </w:tc>
        <w:tc>
          <w:tcPr>
            <w:tcW w:w="780" w:type="dxa"/>
            <w:tcBorders>
              <w:top w:val="single" w:sz="4" w:space="0" w:color="000000"/>
              <w:left w:val="single" w:sz="4" w:space="0" w:color="000000"/>
              <w:bottom w:val="single" w:sz="4" w:space="0" w:color="000000"/>
              <w:right w:val="single" w:sz="4" w:space="0" w:color="000000"/>
            </w:tcBorders>
            <w:vAlign w:val="center"/>
          </w:tcPr>
          <w:p w14:paraId="4597FB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7286516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本年度单位社会招聘新招录</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w:t>
            </w:r>
          </w:p>
        </w:tc>
      </w:tr>
      <w:tr w:rsidR="00000000" w14:paraId="193AAB4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754035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新疆兵团第九师城市管理服务中心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D1008C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4B2E7A2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19</w:t>
            </w:r>
          </w:p>
        </w:tc>
        <w:tc>
          <w:tcPr>
            <w:tcW w:w="1092" w:type="dxa"/>
            <w:tcBorders>
              <w:top w:val="single" w:sz="4" w:space="0" w:color="000000"/>
              <w:left w:val="single" w:sz="4" w:space="0" w:color="000000"/>
              <w:bottom w:val="single" w:sz="4" w:space="0" w:color="000000"/>
              <w:right w:val="single" w:sz="4" w:space="0" w:color="000000"/>
            </w:tcBorders>
            <w:vAlign w:val="center"/>
          </w:tcPr>
          <w:p w14:paraId="511160F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780" w:type="dxa"/>
            <w:tcBorders>
              <w:top w:val="single" w:sz="4" w:space="0" w:color="000000"/>
              <w:left w:val="single" w:sz="4" w:space="0" w:color="000000"/>
              <w:bottom w:val="single" w:sz="4" w:space="0" w:color="000000"/>
              <w:right w:val="single" w:sz="4" w:space="0" w:color="000000"/>
            </w:tcBorders>
            <w:vAlign w:val="center"/>
          </w:tcPr>
          <w:p w14:paraId="22C2D1E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6FB7EC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本年度本单位退休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212A059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AC96B4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新疆兵团第九师朝阳新区管理委员会（本级）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C2479C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居民服务业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3E5F8C3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17</w:t>
            </w:r>
          </w:p>
        </w:tc>
        <w:tc>
          <w:tcPr>
            <w:tcW w:w="1092" w:type="dxa"/>
            <w:tcBorders>
              <w:top w:val="single" w:sz="4" w:space="0" w:color="000000"/>
              <w:left w:val="single" w:sz="4" w:space="0" w:color="000000"/>
              <w:bottom w:val="single" w:sz="4" w:space="0" w:color="000000"/>
              <w:right w:val="single" w:sz="4" w:space="0" w:color="000000"/>
            </w:tcBorders>
            <w:vAlign w:val="center"/>
          </w:tcPr>
          <w:p w14:paraId="7292450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780" w:type="dxa"/>
            <w:tcBorders>
              <w:top w:val="single" w:sz="4" w:space="0" w:color="000000"/>
              <w:left w:val="single" w:sz="4" w:space="0" w:color="000000"/>
              <w:bottom w:val="single" w:sz="4" w:space="0" w:color="000000"/>
              <w:right w:val="single" w:sz="4" w:space="0" w:color="000000"/>
            </w:tcBorders>
            <w:vAlign w:val="center"/>
          </w:tcPr>
          <w:p w14:paraId="706E5EA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53303E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本年新增招考录用在职在编人员</w:t>
            </w:r>
          </w:p>
        </w:tc>
      </w:tr>
      <w:tr w:rsidR="00000000" w14:paraId="5F84115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4256D0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新疆兵团第九师朝阳新区管理委员会新华路社区</w:t>
            </w:r>
          </w:p>
        </w:tc>
        <w:tc>
          <w:tcPr>
            <w:tcW w:w="1080" w:type="dxa"/>
            <w:tcBorders>
              <w:top w:val="single" w:sz="4" w:space="0" w:color="000000"/>
              <w:left w:val="single" w:sz="4" w:space="0" w:color="000000"/>
              <w:bottom w:val="single" w:sz="4" w:space="0" w:color="000000"/>
              <w:right w:val="single" w:sz="4" w:space="0" w:color="000000"/>
            </w:tcBorders>
            <w:vAlign w:val="center"/>
          </w:tcPr>
          <w:p w14:paraId="0AD4E3C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居民服务业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43376F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6568304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13</w:t>
            </w:r>
          </w:p>
        </w:tc>
        <w:tc>
          <w:tcPr>
            <w:tcW w:w="780" w:type="dxa"/>
            <w:tcBorders>
              <w:top w:val="single" w:sz="4" w:space="0" w:color="000000"/>
              <w:left w:val="single" w:sz="4" w:space="0" w:color="000000"/>
              <w:bottom w:val="single" w:sz="4" w:space="0" w:color="000000"/>
              <w:right w:val="single" w:sz="4" w:space="0" w:color="000000"/>
            </w:tcBorders>
            <w:vAlign w:val="center"/>
          </w:tcPr>
          <w:p w14:paraId="6912183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76380E2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月从第九师武器库调入在职人员</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w:t>
            </w:r>
          </w:p>
        </w:tc>
      </w:tr>
      <w:tr w:rsidR="00000000" w14:paraId="3093FFC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89AE7F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新疆兵团第九师民政局（本级）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9C0C3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30B3DE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3153A4F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70ED22F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4648D77" w14:textId="77777777" w:rsidR="00000000" w:rsidRDefault="00763D17">
            <w:pPr>
              <w:rPr>
                <w:rFonts w:ascii="宋体" w:eastAsia="宋体" w:hAnsi="宋体" w:cs="宋体" w:hint="eastAsia"/>
                <w:color w:val="000000"/>
                <w:sz w:val="22"/>
                <w:szCs w:val="22"/>
              </w:rPr>
            </w:pPr>
          </w:p>
        </w:tc>
      </w:tr>
      <w:tr w:rsidR="00000000" w14:paraId="0D09389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8C723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新疆兵团第九师社会事务管理中心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AA3C2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社会保障</w:t>
            </w:r>
          </w:p>
        </w:tc>
        <w:tc>
          <w:tcPr>
            <w:tcW w:w="1068" w:type="dxa"/>
            <w:tcBorders>
              <w:top w:val="single" w:sz="4" w:space="0" w:color="000000"/>
              <w:left w:val="single" w:sz="4" w:space="0" w:color="000000"/>
              <w:bottom w:val="single" w:sz="4" w:space="0" w:color="000000"/>
              <w:right w:val="single" w:sz="4" w:space="0" w:color="000000"/>
            </w:tcBorders>
            <w:vAlign w:val="center"/>
          </w:tcPr>
          <w:p w14:paraId="0767D40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53DDBF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212D9C1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DCA82CF" w14:textId="77777777" w:rsidR="00000000" w:rsidRDefault="00763D17">
            <w:pPr>
              <w:rPr>
                <w:rFonts w:ascii="宋体" w:eastAsia="宋体" w:hAnsi="宋体" w:cs="宋体" w:hint="eastAsia"/>
                <w:color w:val="000000"/>
                <w:sz w:val="22"/>
                <w:szCs w:val="22"/>
              </w:rPr>
            </w:pPr>
          </w:p>
        </w:tc>
      </w:tr>
      <w:tr w:rsidR="00000000" w14:paraId="4A30B1D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5CC8FD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新疆兵团第九师人力资源和社会保障局（本级）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3B7BBB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AA86E2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6A96F4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C2382E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9609B40" w14:textId="77777777" w:rsidR="00000000" w:rsidRDefault="00763D17">
            <w:pPr>
              <w:rPr>
                <w:rFonts w:ascii="宋体" w:eastAsia="宋体" w:hAnsi="宋体" w:cs="宋体" w:hint="eastAsia"/>
                <w:color w:val="000000"/>
                <w:sz w:val="22"/>
                <w:szCs w:val="22"/>
              </w:rPr>
            </w:pPr>
          </w:p>
        </w:tc>
      </w:tr>
      <w:tr w:rsidR="00000000" w14:paraId="06AD515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923DC9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新疆兵团第九师社会保险事业管理局</w:t>
            </w:r>
          </w:p>
        </w:tc>
        <w:tc>
          <w:tcPr>
            <w:tcW w:w="1080" w:type="dxa"/>
            <w:tcBorders>
              <w:top w:val="single" w:sz="4" w:space="0" w:color="000000"/>
              <w:left w:val="single" w:sz="4" w:space="0" w:color="000000"/>
              <w:bottom w:val="single" w:sz="4" w:space="0" w:color="000000"/>
              <w:right w:val="single" w:sz="4" w:space="0" w:color="000000"/>
            </w:tcBorders>
            <w:vAlign w:val="center"/>
          </w:tcPr>
          <w:p w14:paraId="7FD2C2B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3846D8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81</w:t>
            </w:r>
          </w:p>
        </w:tc>
        <w:tc>
          <w:tcPr>
            <w:tcW w:w="1092" w:type="dxa"/>
            <w:tcBorders>
              <w:top w:val="single" w:sz="4" w:space="0" w:color="000000"/>
              <w:left w:val="single" w:sz="4" w:space="0" w:color="000000"/>
              <w:bottom w:val="single" w:sz="4" w:space="0" w:color="000000"/>
              <w:right w:val="single" w:sz="4" w:space="0" w:color="000000"/>
            </w:tcBorders>
            <w:vAlign w:val="center"/>
          </w:tcPr>
          <w:p w14:paraId="1A6A8A8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64</w:t>
            </w:r>
          </w:p>
        </w:tc>
        <w:tc>
          <w:tcPr>
            <w:tcW w:w="780" w:type="dxa"/>
            <w:tcBorders>
              <w:top w:val="single" w:sz="4" w:space="0" w:color="000000"/>
              <w:left w:val="single" w:sz="4" w:space="0" w:color="000000"/>
              <w:bottom w:val="single" w:sz="4" w:space="0" w:color="000000"/>
              <w:right w:val="single" w:sz="4" w:space="0" w:color="000000"/>
            </w:tcBorders>
            <w:vAlign w:val="center"/>
          </w:tcPr>
          <w:p w14:paraId="0450C5D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-17</w:t>
            </w:r>
          </w:p>
        </w:tc>
        <w:tc>
          <w:tcPr>
            <w:tcW w:w="3360" w:type="dxa"/>
            <w:tcBorders>
              <w:top w:val="single" w:sz="4" w:space="0" w:color="000000"/>
              <w:left w:val="single" w:sz="4" w:space="0" w:color="000000"/>
              <w:bottom w:val="single" w:sz="4" w:space="0" w:color="000000"/>
              <w:right w:val="single" w:sz="4" w:space="0" w:color="000000"/>
            </w:tcBorders>
            <w:vAlign w:val="center"/>
          </w:tcPr>
          <w:p w14:paraId="29C1B0E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由医保局</w:t>
            </w:r>
            <w:r>
              <w:rPr>
                <w:rFonts w:ascii="宋体" w:eastAsia="宋体" w:hAnsi="宋体" w:cs="宋体" w:hint="eastAsia"/>
                <w:color w:val="000000"/>
                <w:kern w:val="0"/>
                <w:sz w:val="22"/>
                <w:szCs w:val="22"/>
                <w:lang w:bidi="ar"/>
              </w:rPr>
              <w:t>13</w:t>
            </w:r>
            <w:r>
              <w:rPr>
                <w:rFonts w:ascii="宋体" w:eastAsia="宋体" w:hAnsi="宋体" w:cs="宋体" w:hint="eastAsia"/>
                <w:color w:val="000000"/>
                <w:kern w:val="0"/>
                <w:sz w:val="22"/>
                <w:szCs w:val="22"/>
                <w:lang w:bidi="ar"/>
              </w:rPr>
              <w:t>人从社保中心分离，</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人退休，</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人调入监察支队</w:t>
            </w:r>
          </w:p>
        </w:tc>
      </w:tr>
      <w:tr w:rsidR="00000000" w14:paraId="7AF607C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2151C0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新疆兵团第九师劳动人事争议仲裁院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3EE18B6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社会保障</w:t>
            </w:r>
          </w:p>
        </w:tc>
        <w:tc>
          <w:tcPr>
            <w:tcW w:w="1068" w:type="dxa"/>
            <w:tcBorders>
              <w:top w:val="single" w:sz="4" w:space="0" w:color="000000"/>
              <w:left w:val="single" w:sz="4" w:space="0" w:color="000000"/>
              <w:bottom w:val="single" w:sz="4" w:space="0" w:color="000000"/>
              <w:right w:val="single" w:sz="4" w:space="0" w:color="000000"/>
            </w:tcBorders>
            <w:vAlign w:val="center"/>
          </w:tcPr>
          <w:p w14:paraId="6DAD5A6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2E725B3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74231EF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02686BA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本年我单位新考入事业编</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512B38C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B956D0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新疆兵团第九师劳动保障监察支队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3E83BF1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F47B01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5C3C876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1922603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56D1FED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年我单位新调入</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人，实有在职人数</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人</w:t>
            </w:r>
          </w:p>
        </w:tc>
      </w:tr>
      <w:tr w:rsidR="00000000" w14:paraId="1C19C8A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22F0C7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新疆兵团第九师公共就业和人才服务局</w:t>
            </w:r>
          </w:p>
        </w:tc>
        <w:tc>
          <w:tcPr>
            <w:tcW w:w="1080" w:type="dxa"/>
            <w:tcBorders>
              <w:top w:val="single" w:sz="4" w:space="0" w:color="000000"/>
              <w:left w:val="single" w:sz="4" w:space="0" w:color="000000"/>
              <w:bottom w:val="single" w:sz="4" w:space="0" w:color="000000"/>
              <w:right w:val="single" w:sz="4" w:space="0" w:color="000000"/>
            </w:tcBorders>
            <w:vAlign w:val="center"/>
          </w:tcPr>
          <w:p w14:paraId="61FE95C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社会保障</w:t>
            </w:r>
          </w:p>
        </w:tc>
        <w:tc>
          <w:tcPr>
            <w:tcW w:w="1068" w:type="dxa"/>
            <w:tcBorders>
              <w:top w:val="single" w:sz="4" w:space="0" w:color="000000"/>
              <w:left w:val="single" w:sz="4" w:space="0" w:color="000000"/>
              <w:bottom w:val="single" w:sz="4" w:space="0" w:color="000000"/>
              <w:right w:val="single" w:sz="4" w:space="0" w:color="000000"/>
            </w:tcBorders>
            <w:vAlign w:val="center"/>
          </w:tcPr>
          <w:p w14:paraId="7EC433D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1092" w:type="dxa"/>
            <w:tcBorders>
              <w:top w:val="single" w:sz="4" w:space="0" w:color="000000"/>
              <w:left w:val="single" w:sz="4" w:space="0" w:color="000000"/>
              <w:bottom w:val="single" w:sz="4" w:space="0" w:color="000000"/>
              <w:right w:val="single" w:sz="4" w:space="0" w:color="000000"/>
            </w:tcBorders>
            <w:vAlign w:val="center"/>
          </w:tcPr>
          <w:p w14:paraId="480542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780" w:type="dxa"/>
            <w:tcBorders>
              <w:top w:val="single" w:sz="4" w:space="0" w:color="000000"/>
              <w:left w:val="single" w:sz="4" w:space="0" w:color="000000"/>
              <w:bottom w:val="single" w:sz="4" w:space="0" w:color="000000"/>
              <w:right w:val="single" w:sz="4" w:space="0" w:color="000000"/>
            </w:tcBorders>
            <w:vAlign w:val="center"/>
          </w:tcPr>
          <w:p w14:paraId="0CD9E2A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DD8AAB6" w14:textId="77777777" w:rsidR="00000000" w:rsidRDefault="00763D17">
            <w:pPr>
              <w:rPr>
                <w:rFonts w:ascii="宋体" w:eastAsia="宋体" w:hAnsi="宋体" w:cs="宋体" w:hint="eastAsia"/>
                <w:color w:val="000000"/>
                <w:sz w:val="22"/>
                <w:szCs w:val="22"/>
              </w:rPr>
            </w:pPr>
          </w:p>
        </w:tc>
      </w:tr>
      <w:tr w:rsidR="00000000" w14:paraId="2FE14B4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432B16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新疆兵团第九师工伤与劳动能力鉴定办公</w:t>
            </w:r>
            <w:r>
              <w:rPr>
                <w:rFonts w:ascii="宋体" w:eastAsia="宋体" w:hAnsi="宋体" w:cs="宋体" w:hint="eastAsia"/>
                <w:color w:val="000000"/>
                <w:kern w:val="0"/>
                <w:sz w:val="22"/>
                <w:szCs w:val="22"/>
                <w:lang w:bidi="ar"/>
              </w:rPr>
              <w:t>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47CC083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社会保障</w:t>
            </w:r>
          </w:p>
        </w:tc>
        <w:tc>
          <w:tcPr>
            <w:tcW w:w="1068" w:type="dxa"/>
            <w:tcBorders>
              <w:top w:val="single" w:sz="4" w:space="0" w:color="000000"/>
              <w:left w:val="single" w:sz="4" w:space="0" w:color="000000"/>
              <w:bottom w:val="single" w:sz="4" w:space="0" w:color="000000"/>
              <w:right w:val="single" w:sz="4" w:space="0" w:color="000000"/>
            </w:tcBorders>
            <w:vAlign w:val="center"/>
          </w:tcPr>
          <w:p w14:paraId="796328D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6C22FFF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15C3BA8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0D754EA" w14:textId="77777777" w:rsidR="00000000" w:rsidRDefault="00763D17">
            <w:pPr>
              <w:rPr>
                <w:rFonts w:ascii="宋体" w:eastAsia="宋体" w:hAnsi="宋体" w:cs="宋体" w:hint="eastAsia"/>
                <w:color w:val="000000"/>
                <w:sz w:val="22"/>
                <w:szCs w:val="22"/>
              </w:rPr>
            </w:pPr>
          </w:p>
        </w:tc>
      </w:tr>
      <w:tr w:rsidR="00000000" w14:paraId="4D4F107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110E9E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新疆兵团第九师卫生健康委员会（本级）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30EB503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E701DA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3E2F40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35C39F1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2CBC427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新增两人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月调入</w:t>
            </w:r>
          </w:p>
        </w:tc>
      </w:tr>
      <w:tr w:rsidR="00000000" w14:paraId="09B47B0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D37B6B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新疆兵团第九师医学会医疗事故技术鉴定工作办公室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0D6A672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4602F0D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79DE6D7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780" w:type="dxa"/>
            <w:tcBorders>
              <w:top w:val="single" w:sz="4" w:space="0" w:color="000000"/>
              <w:left w:val="single" w:sz="4" w:space="0" w:color="000000"/>
              <w:bottom w:val="single" w:sz="4" w:space="0" w:color="000000"/>
              <w:right w:val="single" w:sz="4" w:space="0" w:color="000000"/>
            </w:tcBorders>
            <w:vAlign w:val="center"/>
          </w:tcPr>
          <w:p w14:paraId="651AC77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F62506E" w14:textId="77777777" w:rsidR="00000000" w:rsidRDefault="00763D17">
            <w:pPr>
              <w:rPr>
                <w:rFonts w:ascii="宋体" w:eastAsia="宋体" w:hAnsi="宋体" w:cs="宋体" w:hint="eastAsia"/>
                <w:color w:val="000000"/>
                <w:sz w:val="22"/>
                <w:szCs w:val="22"/>
              </w:rPr>
            </w:pPr>
          </w:p>
        </w:tc>
      </w:tr>
      <w:tr w:rsidR="00000000" w14:paraId="2634E19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BDFB68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新疆兵团第九师疾病预防控制中心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06AE2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1F8F09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1092" w:type="dxa"/>
            <w:tcBorders>
              <w:top w:val="single" w:sz="4" w:space="0" w:color="000000"/>
              <w:left w:val="single" w:sz="4" w:space="0" w:color="000000"/>
              <w:bottom w:val="single" w:sz="4" w:space="0" w:color="000000"/>
              <w:right w:val="single" w:sz="4" w:space="0" w:color="000000"/>
            </w:tcBorders>
            <w:vAlign w:val="center"/>
          </w:tcPr>
          <w:p w14:paraId="4D7EFB7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780" w:type="dxa"/>
            <w:tcBorders>
              <w:top w:val="single" w:sz="4" w:space="0" w:color="000000"/>
              <w:left w:val="single" w:sz="4" w:space="0" w:color="000000"/>
              <w:bottom w:val="single" w:sz="4" w:space="0" w:color="000000"/>
              <w:right w:val="single" w:sz="4" w:space="0" w:color="000000"/>
            </w:tcBorders>
            <w:vAlign w:val="center"/>
          </w:tcPr>
          <w:p w14:paraId="1B82C1D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252312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人，新招考</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31A761A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5C0173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新疆兵团第九师计划生育服务指导中心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5472E8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56D209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52CDEB5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40CB20F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BBD20FD" w14:textId="77777777" w:rsidR="00000000" w:rsidRDefault="00763D17">
            <w:pPr>
              <w:rPr>
                <w:rFonts w:ascii="宋体" w:eastAsia="宋体" w:hAnsi="宋体" w:cs="宋体" w:hint="eastAsia"/>
                <w:color w:val="000000"/>
                <w:sz w:val="22"/>
                <w:szCs w:val="22"/>
              </w:rPr>
            </w:pPr>
          </w:p>
        </w:tc>
      </w:tr>
      <w:tr w:rsidR="00000000" w14:paraId="055D89A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D5A120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037309B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6F4768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330</w:t>
            </w:r>
          </w:p>
        </w:tc>
        <w:tc>
          <w:tcPr>
            <w:tcW w:w="1092" w:type="dxa"/>
            <w:tcBorders>
              <w:top w:val="single" w:sz="4" w:space="0" w:color="000000"/>
              <w:left w:val="single" w:sz="4" w:space="0" w:color="000000"/>
              <w:bottom w:val="single" w:sz="4" w:space="0" w:color="000000"/>
              <w:right w:val="single" w:sz="4" w:space="0" w:color="000000"/>
            </w:tcBorders>
            <w:vAlign w:val="center"/>
          </w:tcPr>
          <w:p w14:paraId="218A4F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304</w:t>
            </w:r>
          </w:p>
        </w:tc>
        <w:tc>
          <w:tcPr>
            <w:tcW w:w="780" w:type="dxa"/>
            <w:tcBorders>
              <w:top w:val="single" w:sz="4" w:space="0" w:color="000000"/>
              <w:left w:val="single" w:sz="4" w:space="0" w:color="000000"/>
              <w:bottom w:val="single" w:sz="4" w:space="0" w:color="000000"/>
              <w:right w:val="single" w:sz="4" w:space="0" w:color="000000"/>
            </w:tcBorders>
            <w:vAlign w:val="center"/>
          </w:tcPr>
          <w:p w14:paraId="522B664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-26</w:t>
            </w:r>
          </w:p>
        </w:tc>
        <w:tc>
          <w:tcPr>
            <w:tcW w:w="3360" w:type="dxa"/>
            <w:tcBorders>
              <w:top w:val="single" w:sz="4" w:space="0" w:color="000000"/>
              <w:left w:val="single" w:sz="4" w:space="0" w:color="000000"/>
              <w:bottom w:val="single" w:sz="4" w:space="0" w:color="000000"/>
              <w:right w:val="single" w:sz="4" w:space="0" w:color="000000"/>
            </w:tcBorders>
            <w:vAlign w:val="center"/>
          </w:tcPr>
          <w:p w14:paraId="65FF11D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年本单位退休</w:t>
            </w:r>
            <w:r>
              <w:rPr>
                <w:rFonts w:ascii="宋体" w:eastAsia="宋体" w:hAnsi="宋体" w:cs="宋体" w:hint="eastAsia"/>
                <w:color w:val="000000"/>
                <w:kern w:val="0"/>
                <w:sz w:val="22"/>
                <w:szCs w:val="22"/>
                <w:lang w:bidi="ar"/>
              </w:rPr>
              <w:t>23</w:t>
            </w:r>
            <w:r>
              <w:rPr>
                <w:rFonts w:ascii="宋体" w:eastAsia="宋体" w:hAnsi="宋体" w:cs="宋体" w:hint="eastAsia"/>
                <w:color w:val="000000"/>
                <w:kern w:val="0"/>
                <w:sz w:val="22"/>
                <w:szCs w:val="22"/>
                <w:lang w:bidi="ar"/>
              </w:rPr>
              <w:t>人，辞职</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人，去世</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BD94F1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077A0B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新疆兵团第九师医院１６１团分院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385E6C4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196C656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w:t>
            </w:r>
          </w:p>
        </w:tc>
        <w:tc>
          <w:tcPr>
            <w:tcW w:w="1092" w:type="dxa"/>
            <w:tcBorders>
              <w:top w:val="single" w:sz="4" w:space="0" w:color="000000"/>
              <w:left w:val="single" w:sz="4" w:space="0" w:color="000000"/>
              <w:bottom w:val="single" w:sz="4" w:space="0" w:color="000000"/>
              <w:right w:val="single" w:sz="4" w:space="0" w:color="000000"/>
            </w:tcBorders>
            <w:vAlign w:val="center"/>
          </w:tcPr>
          <w:p w14:paraId="6E7B5E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780" w:type="dxa"/>
            <w:tcBorders>
              <w:top w:val="single" w:sz="4" w:space="0" w:color="000000"/>
              <w:left w:val="single" w:sz="4" w:space="0" w:color="000000"/>
              <w:bottom w:val="single" w:sz="4" w:space="0" w:color="000000"/>
              <w:right w:val="single" w:sz="4" w:space="0" w:color="000000"/>
            </w:tcBorders>
            <w:vAlign w:val="center"/>
          </w:tcPr>
          <w:p w14:paraId="0DF3F9F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3360" w:type="dxa"/>
            <w:tcBorders>
              <w:top w:val="single" w:sz="4" w:space="0" w:color="000000"/>
              <w:left w:val="single" w:sz="4" w:space="0" w:color="000000"/>
              <w:bottom w:val="single" w:sz="4" w:space="0" w:color="000000"/>
              <w:right w:val="single" w:sz="4" w:space="0" w:color="000000"/>
            </w:tcBorders>
            <w:vAlign w:val="center"/>
          </w:tcPr>
          <w:p w14:paraId="63C947E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6C8D6B1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ABB6F0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新疆兵团第九师医院１６２团分院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239F6BA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35F1FF7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25</w:t>
            </w:r>
          </w:p>
        </w:tc>
        <w:tc>
          <w:tcPr>
            <w:tcW w:w="1092" w:type="dxa"/>
            <w:tcBorders>
              <w:top w:val="single" w:sz="4" w:space="0" w:color="000000"/>
              <w:left w:val="single" w:sz="4" w:space="0" w:color="000000"/>
              <w:bottom w:val="single" w:sz="4" w:space="0" w:color="000000"/>
              <w:right w:val="single" w:sz="4" w:space="0" w:color="000000"/>
            </w:tcBorders>
            <w:vAlign w:val="center"/>
          </w:tcPr>
          <w:p w14:paraId="1FE381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22</w:t>
            </w:r>
          </w:p>
        </w:tc>
        <w:tc>
          <w:tcPr>
            <w:tcW w:w="780" w:type="dxa"/>
            <w:tcBorders>
              <w:top w:val="single" w:sz="4" w:space="0" w:color="000000"/>
              <w:left w:val="single" w:sz="4" w:space="0" w:color="000000"/>
              <w:bottom w:val="single" w:sz="4" w:space="0" w:color="000000"/>
              <w:right w:val="single" w:sz="4" w:space="0" w:color="000000"/>
            </w:tcBorders>
            <w:vAlign w:val="center"/>
          </w:tcPr>
          <w:p w14:paraId="75EA22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323D164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071CABC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852AA3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新疆兵团第九师医院１６３团分院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665833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60C73D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39</w:t>
            </w:r>
          </w:p>
        </w:tc>
        <w:tc>
          <w:tcPr>
            <w:tcW w:w="1092" w:type="dxa"/>
            <w:tcBorders>
              <w:top w:val="single" w:sz="4" w:space="0" w:color="000000"/>
              <w:left w:val="single" w:sz="4" w:space="0" w:color="000000"/>
              <w:bottom w:val="single" w:sz="4" w:space="0" w:color="000000"/>
              <w:right w:val="single" w:sz="4" w:space="0" w:color="000000"/>
            </w:tcBorders>
            <w:vAlign w:val="center"/>
          </w:tcPr>
          <w:p w14:paraId="5690FF0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33</w:t>
            </w:r>
          </w:p>
        </w:tc>
        <w:tc>
          <w:tcPr>
            <w:tcW w:w="780" w:type="dxa"/>
            <w:tcBorders>
              <w:top w:val="single" w:sz="4" w:space="0" w:color="000000"/>
              <w:left w:val="single" w:sz="4" w:space="0" w:color="000000"/>
              <w:bottom w:val="single" w:sz="4" w:space="0" w:color="000000"/>
              <w:right w:val="single" w:sz="4" w:space="0" w:color="000000"/>
            </w:tcBorders>
            <w:vAlign w:val="center"/>
          </w:tcPr>
          <w:p w14:paraId="13954B6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3360" w:type="dxa"/>
            <w:tcBorders>
              <w:top w:val="single" w:sz="4" w:space="0" w:color="000000"/>
              <w:left w:val="single" w:sz="4" w:space="0" w:color="000000"/>
              <w:bottom w:val="single" w:sz="4" w:space="0" w:color="000000"/>
              <w:right w:val="single" w:sz="4" w:space="0" w:color="000000"/>
            </w:tcBorders>
            <w:vAlign w:val="center"/>
          </w:tcPr>
          <w:p w14:paraId="6179577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5B22944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1F5977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新疆兵团第九师医院１６４团分院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75C0FC0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0791C18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36</w:t>
            </w:r>
          </w:p>
        </w:tc>
        <w:tc>
          <w:tcPr>
            <w:tcW w:w="1092" w:type="dxa"/>
            <w:tcBorders>
              <w:top w:val="single" w:sz="4" w:space="0" w:color="000000"/>
              <w:left w:val="single" w:sz="4" w:space="0" w:color="000000"/>
              <w:bottom w:val="single" w:sz="4" w:space="0" w:color="000000"/>
              <w:right w:val="single" w:sz="4" w:space="0" w:color="000000"/>
            </w:tcBorders>
            <w:vAlign w:val="center"/>
          </w:tcPr>
          <w:p w14:paraId="7DB962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27</w:t>
            </w:r>
          </w:p>
        </w:tc>
        <w:tc>
          <w:tcPr>
            <w:tcW w:w="780" w:type="dxa"/>
            <w:tcBorders>
              <w:top w:val="single" w:sz="4" w:space="0" w:color="000000"/>
              <w:left w:val="single" w:sz="4" w:space="0" w:color="000000"/>
              <w:bottom w:val="single" w:sz="4" w:space="0" w:color="000000"/>
              <w:right w:val="single" w:sz="4" w:space="0" w:color="000000"/>
            </w:tcBorders>
            <w:vAlign w:val="center"/>
          </w:tcPr>
          <w:p w14:paraId="4C0F623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3360" w:type="dxa"/>
            <w:tcBorders>
              <w:top w:val="single" w:sz="4" w:space="0" w:color="000000"/>
              <w:left w:val="single" w:sz="4" w:space="0" w:color="000000"/>
              <w:bottom w:val="single" w:sz="4" w:space="0" w:color="000000"/>
              <w:right w:val="single" w:sz="4" w:space="0" w:color="000000"/>
            </w:tcBorders>
            <w:vAlign w:val="center"/>
          </w:tcPr>
          <w:p w14:paraId="053847A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49E0152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8A07A1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医院１６５团分院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1F785A3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672A8B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w:t>
            </w:r>
          </w:p>
        </w:tc>
        <w:tc>
          <w:tcPr>
            <w:tcW w:w="1092" w:type="dxa"/>
            <w:tcBorders>
              <w:top w:val="single" w:sz="4" w:space="0" w:color="000000"/>
              <w:left w:val="single" w:sz="4" w:space="0" w:color="000000"/>
              <w:bottom w:val="single" w:sz="4" w:space="0" w:color="000000"/>
              <w:right w:val="single" w:sz="4" w:space="0" w:color="000000"/>
            </w:tcBorders>
            <w:vAlign w:val="center"/>
          </w:tcPr>
          <w:p w14:paraId="6628814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29</w:t>
            </w:r>
          </w:p>
        </w:tc>
        <w:tc>
          <w:tcPr>
            <w:tcW w:w="780" w:type="dxa"/>
            <w:tcBorders>
              <w:top w:val="single" w:sz="4" w:space="0" w:color="000000"/>
              <w:left w:val="single" w:sz="4" w:space="0" w:color="000000"/>
              <w:bottom w:val="single" w:sz="4" w:space="0" w:color="000000"/>
              <w:right w:val="single" w:sz="4" w:space="0" w:color="000000"/>
            </w:tcBorders>
            <w:vAlign w:val="center"/>
          </w:tcPr>
          <w:p w14:paraId="3AF53AA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-13</w:t>
            </w:r>
          </w:p>
        </w:tc>
        <w:tc>
          <w:tcPr>
            <w:tcW w:w="3360" w:type="dxa"/>
            <w:tcBorders>
              <w:top w:val="single" w:sz="4" w:space="0" w:color="000000"/>
              <w:left w:val="single" w:sz="4" w:space="0" w:color="000000"/>
              <w:bottom w:val="single" w:sz="4" w:space="0" w:color="000000"/>
              <w:right w:val="single" w:sz="4" w:space="0" w:color="000000"/>
            </w:tcBorders>
            <w:vAlign w:val="center"/>
          </w:tcPr>
          <w:p w14:paraId="6CD887D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49F7BB6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4984F1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新疆兵团第九师医院１６６团分院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521FCC1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28E6B1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43</w:t>
            </w:r>
          </w:p>
        </w:tc>
        <w:tc>
          <w:tcPr>
            <w:tcW w:w="1092" w:type="dxa"/>
            <w:tcBorders>
              <w:top w:val="single" w:sz="4" w:space="0" w:color="000000"/>
              <w:left w:val="single" w:sz="4" w:space="0" w:color="000000"/>
              <w:bottom w:val="single" w:sz="4" w:space="0" w:color="000000"/>
              <w:right w:val="single" w:sz="4" w:space="0" w:color="000000"/>
            </w:tcBorders>
            <w:vAlign w:val="center"/>
          </w:tcPr>
          <w:p w14:paraId="3526201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780" w:type="dxa"/>
            <w:tcBorders>
              <w:top w:val="single" w:sz="4" w:space="0" w:color="000000"/>
              <w:left w:val="single" w:sz="4" w:space="0" w:color="000000"/>
              <w:bottom w:val="single" w:sz="4" w:space="0" w:color="000000"/>
              <w:right w:val="single" w:sz="4" w:space="0" w:color="000000"/>
            </w:tcBorders>
            <w:vAlign w:val="center"/>
          </w:tcPr>
          <w:p w14:paraId="12AA222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3360" w:type="dxa"/>
            <w:tcBorders>
              <w:top w:val="single" w:sz="4" w:space="0" w:color="000000"/>
              <w:left w:val="single" w:sz="4" w:space="0" w:color="000000"/>
              <w:bottom w:val="single" w:sz="4" w:space="0" w:color="000000"/>
              <w:right w:val="single" w:sz="4" w:space="0" w:color="000000"/>
            </w:tcBorders>
            <w:vAlign w:val="center"/>
          </w:tcPr>
          <w:p w14:paraId="23ECAEB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77296F6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FDD7A9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新疆兵团第九师医院１６７团分院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2EB3FB3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49B883E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38</w:t>
            </w:r>
          </w:p>
        </w:tc>
        <w:tc>
          <w:tcPr>
            <w:tcW w:w="1092" w:type="dxa"/>
            <w:tcBorders>
              <w:top w:val="single" w:sz="4" w:space="0" w:color="000000"/>
              <w:left w:val="single" w:sz="4" w:space="0" w:color="000000"/>
              <w:bottom w:val="single" w:sz="4" w:space="0" w:color="000000"/>
              <w:right w:val="single" w:sz="4" w:space="0" w:color="000000"/>
            </w:tcBorders>
            <w:vAlign w:val="center"/>
          </w:tcPr>
          <w:p w14:paraId="46AA285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780" w:type="dxa"/>
            <w:tcBorders>
              <w:top w:val="single" w:sz="4" w:space="0" w:color="000000"/>
              <w:left w:val="single" w:sz="4" w:space="0" w:color="000000"/>
              <w:bottom w:val="single" w:sz="4" w:space="0" w:color="000000"/>
              <w:right w:val="single" w:sz="4" w:space="0" w:color="000000"/>
            </w:tcBorders>
            <w:vAlign w:val="center"/>
          </w:tcPr>
          <w:p w14:paraId="08DA542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3360" w:type="dxa"/>
            <w:tcBorders>
              <w:top w:val="single" w:sz="4" w:space="0" w:color="000000"/>
              <w:left w:val="single" w:sz="4" w:space="0" w:color="000000"/>
              <w:bottom w:val="single" w:sz="4" w:space="0" w:color="000000"/>
              <w:right w:val="single" w:sz="4" w:space="0" w:color="000000"/>
            </w:tcBorders>
            <w:vAlign w:val="center"/>
          </w:tcPr>
          <w:p w14:paraId="3ADACE4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6C9DC04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BA2F5C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新疆兵团第九师医院１６８团北区分院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05BB411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7BBCBD8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42</w:t>
            </w:r>
          </w:p>
        </w:tc>
        <w:tc>
          <w:tcPr>
            <w:tcW w:w="1092" w:type="dxa"/>
            <w:tcBorders>
              <w:top w:val="single" w:sz="4" w:space="0" w:color="000000"/>
              <w:left w:val="single" w:sz="4" w:space="0" w:color="000000"/>
              <w:bottom w:val="single" w:sz="4" w:space="0" w:color="000000"/>
              <w:right w:val="single" w:sz="4" w:space="0" w:color="000000"/>
            </w:tcBorders>
            <w:vAlign w:val="center"/>
          </w:tcPr>
          <w:p w14:paraId="12BF203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28</w:t>
            </w:r>
          </w:p>
        </w:tc>
        <w:tc>
          <w:tcPr>
            <w:tcW w:w="780" w:type="dxa"/>
            <w:tcBorders>
              <w:top w:val="single" w:sz="4" w:space="0" w:color="000000"/>
              <w:left w:val="single" w:sz="4" w:space="0" w:color="000000"/>
              <w:bottom w:val="single" w:sz="4" w:space="0" w:color="000000"/>
              <w:right w:val="single" w:sz="4" w:space="0" w:color="000000"/>
            </w:tcBorders>
            <w:vAlign w:val="center"/>
          </w:tcPr>
          <w:p w14:paraId="494468F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3360" w:type="dxa"/>
            <w:tcBorders>
              <w:top w:val="single" w:sz="4" w:space="0" w:color="000000"/>
              <w:left w:val="single" w:sz="4" w:space="0" w:color="000000"/>
              <w:bottom w:val="single" w:sz="4" w:space="0" w:color="000000"/>
              <w:right w:val="single" w:sz="4" w:space="0" w:color="000000"/>
            </w:tcBorders>
            <w:vAlign w:val="center"/>
          </w:tcPr>
          <w:p w14:paraId="607B133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w:t>
            </w:r>
            <w:r>
              <w:rPr>
                <w:rFonts w:ascii="宋体" w:eastAsia="宋体" w:hAnsi="宋体" w:cs="宋体" w:hint="eastAsia"/>
                <w:color w:val="000000"/>
                <w:kern w:val="0"/>
                <w:sz w:val="22"/>
                <w:szCs w:val="22"/>
                <w:lang w:bidi="ar"/>
              </w:rPr>
              <w:t>在其他人员数中</w:t>
            </w:r>
          </w:p>
        </w:tc>
      </w:tr>
      <w:tr w:rsidR="00000000" w14:paraId="5A7B21A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AE6820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新疆兵团第九师医院１６８团南区分院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7817AB7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3F19315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w:t>
            </w:r>
          </w:p>
        </w:tc>
        <w:tc>
          <w:tcPr>
            <w:tcW w:w="1092" w:type="dxa"/>
            <w:tcBorders>
              <w:top w:val="single" w:sz="4" w:space="0" w:color="000000"/>
              <w:left w:val="single" w:sz="4" w:space="0" w:color="000000"/>
              <w:bottom w:val="single" w:sz="4" w:space="0" w:color="000000"/>
              <w:right w:val="single" w:sz="4" w:space="0" w:color="000000"/>
            </w:tcBorders>
            <w:vAlign w:val="center"/>
          </w:tcPr>
          <w:p w14:paraId="4485E8D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19</w:t>
            </w:r>
          </w:p>
        </w:tc>
        <w:tc>
          <w:tcPr>
            <w:tcW w:w="780" w:type="dxa"/>
            <w:tcBorders>
              <w:top w:val="single" w:sz="4" w:space="0" w:color="000000"/>
              <w:left w:val="single" w:sz="4" w:space="0" w:color="000000"/>
              <w:bottom w:val="single" w:sz="4" w:space="0" w:color="000000"/>
              <w:right w:val="single" w:sz="4" w:space="0" w:color="000000"/>
            </w:tcBorders>
            <w:vAlign w:val="center"/>
          </w:tcPr>
          <w:p w14:paraId="60422F9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3360" w:type="dxa"/>
            <w:tcBorders>
              <w:top w:val="single" w:sz="4" w:space="0" w:color="000000"/>
              <w:left w:val="single" w:sz="4" w:space="0" w:color="000000"/>
              <w:bottom w:val="single" w:sz="4" w:space="0" w:color="000000"/>
              <w:right w:val="single" w:sz="4" w:space="0" w:color="000000"/>
            </w:tcBorders>
            <w:vAlign w:val="center"/>
          </w:tcPr>
          <w:p w14:paraId="662953A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24B7A73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0C70AC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新疆兵团第九师医院１７０团分院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2EF4C7C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7FA147E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w:t>
            </w:r>
          </w:p>
        </w:tc>
        <w:tc>
          <w:tcPr>
            <w:tcW w:w="1092" w:type="dxa"/>
            <w:tcBorders>
              <w:top w:val="single" w:sz="4" w:space="0" w:color="000000"/>
              <w:left w:val="single" w:sz="4" w:space="0" w:color="000000"/>
              <w:bottom w:val="single" w:sz="4" w:space="0" w:color="000000"/>
              <w:right w:val="single" w:sz="4" w:space="0" w:color="000000"/>
            </w:tcBorders>
            <w:vAlign w:val="center"/>
          </w:tcPr>
          <w:p w14:paraId="6950599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16</w:t>
            </w:r>
          </w:p>
        </w:tc>
        <w:tc>
          <w:tcPr>
            <w:tcW w:w="780" w:type="dxa"/>
            <w:tcBorders>
              <w:top w:val="single" w:sz="4" w:space="0" w:color="000000"/>
              <w:left w:val="single" w:sz="4" w:space="0" w:color="000000"/>
              <w:bottom w:val="single" w:sz="4" w:space="0" w:color="000000"/>
              <w:right w:val="single" w:sz="4" w:space="0" w:color="000000"/>
            </w:tcBorders>
            <w:vAlign w:val="center"/>
          </w:tcPr>
          <w:p w14:paraId="4A8A96B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3360" w:type="dxa"/>
            <w:tcBorders>
              <w:top w:val="single" w:sz="4" w:space="0" w:color="000000"/>
              <w:left w:val="single" w:sz="4" w:space="0" w:color="000000"/>
              <w:bottom w:val="single" w:sz="4" w:space="0" w:color="000000"/>
              <w:right w:val="single" w:sz="4" w:space="0" w:color="000000"/>
            </w:tcBorders>
            <w:vAlign w:val="center"/>
          </w:tcPr>
          <w:p w14:paraId="41C459D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4349DD4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49774A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新疆兵团第九师医院团结农场分院</w:t>
            </w:r>
          </w:p>
        </w:tc>
        <w:tc>
          <w:tcPr>
            <w:tcW w:w="1080" w:type="dxa"/>
            <w:tcBorders>
              <w:top w:val="single" w:sz="4" w:space="0" w:color="000000"/>
              <w:left w:val="single" w:sz="4" w:space="0" w:color="000000"/>
              <w:bottom w:val="single" w:sz="4" w:space="0" w:color="000000"/>
              <w:right w:val="single" w:sz="4" w:space="0" w:color="000000"/>
            </w:tcBorders>
            <w:vAlign w:val="center"/>
          </w:tcPr>
          <w:p w14:paraId="3161F11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156A1C4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29</w:t>
            </w:r>
          </w:p>
        </w:tc>
        <w:tc>
          <w:tcPr>
            <w:tcW w:w="1092" w:type="dxa"/>
            <w:tcBorders>
              <w:top w:val="single" w:sz="4" w:space="0" w:color="000000"/>
              <w:left w:val="single" w:sz="4" w:space="0" w:color="000000"/>
              <w:bottom w:val="single" w:sz="4" w:space="0" w:color="000000"/>
              <w:right w:val="single" w:sz="4" w:space="0" w:color="000000"/>
            </w:tcBorders>
            <w:vAlign w:val="center"/>
          </w:tcPr>
          <w:p w14:paraId="22CC8AD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23</w:t>
            </w:r>
          </w:p>
        </w:tc>
        <w:tc>
          <w:tcPr>
            <w:tcW w:w="780" w:type="dxa"/>
            <w:tcBorders>
              <w:top w:val="single" w:sz="4" w:space="0" w:color="000000"/>
              <w:left w:val="single" w:sz="4" w:space="0" w:color="000000"/>
              <w:bottom w:val="single" w:sz="4" w:space="0" w:color="000000"/>
              <w:right w:val="single" w:sz="4" w:space="0" w:color="000000"/>
            </w:tcBorders>
            <w:vAlign w:val="center"/>
          </w:tcPr>
          <w:p w14:paraId="1BF838C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3360" w:type="dxa"/>
            <w:tcBorders>
              <w:top w:val="single" w:sz="4" w:space="0" w:color="000000"/>
              <w:left w:val="single" w:sz="4" w:space="0" w:color="000000"/>
              <w:bottom w:val="single" w:sz="4" w:space="0" w:color="000000"/>
              <w:right w:val="single" w:sz="4" w:space="0" w:color="000000"/>
            </w:tcBorders>
            <w:vAlign w:val="center"/>
          </w:tcPr>
          <w:p w14:paraId="1CA6BA6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上年度在职人员中包括在编人员及备案制人员，本年度备案制人员填在其他人员数中</w:t>
            </w:r>
          </w:p>
        </w:tc>
      </w:tr>
      <w:tr w:rsidR="00000000" w14:paraId="4AC23D0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3BAE12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新疆兵团第九师额敏血站</w:t>
            </w:r>
          </w:p>
        </w:tc>
        <w:tc>
          <w:tcPr>
            <w:tcW w:w="1080" w:type="dxa"/>
            <w:tcBorders>
              <w:top w:val="single" w:sz="4" w:space="0" w:color="000000"/>
              <w:left w:val="single" w:sz="4" w:space="0" w:color="000000"/>
              <w:bottom w:val="single" w:sz="4" w:space="0" w:color="000000"/>
              <w:right w:val="single" w:sz="4" w:space="0" w:color="000000"/>
            </w:tcBorders>
            <w:vAlign w:val="center"/>
          </w:tcPr>
          <w:p w14:paraId="335C98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025C89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30E948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5165779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3CA96CD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本年度新增人员</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名</w:t>
            </w:r>
          </w:p>
        </w:tc>
      </w:tr>
      <w:tr w:rsidR="00000000" w14:paraId="7E4095B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8AC91E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新疆兵团第九师卫生健</w:t>
            </w:r>
            <w:r>
              <w:rPr>
                <w:rFonts w:ascii="宋体" w:eastAsia="宋体" w:hAnsi="宋体" w:cs="宋体" w:hint="eastAsia"/>
                <w:color w:val="000000"/>
                <w:kern w:val="0"/>
                <w:sz w:val="22"/>
                <w:szCs w:val="22"/>
                <w:lang w:bidi="ar"/>
              </w:rPr>
              <w:t>康综合行政执法大队</w:t>
            </w:r>
          </w:p>
        </w:tc>
        <w:tc>
          <w:tcPr>
            <w:tcW w:w="1080" w:type="dxa"/>
            <w:tcBorders>
              <w:top w:val="single" w:sz="4" w:space="0" w:color="000000"/>
              <w:left w:val="single" w:sz="4" w:space="0" w:color="000000"/>
              <w:bottom w:val="single" w:sz="4" w:space="0" w:color="000000"/>
              <w:right w:val="single" w:sz="4" w:space="0" w:color="000000"/>
            </w:tcBorders>
            <w:vAlign w:val="center"/>
          </w:tcPr>
          <w:p w14:paraId="2F6652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38A885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749DD9B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66B6D07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0E6971D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本年度增加</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人，年底调出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626623B9" w14:textId="77777777">
        <w:trPr>
          <w:trHeight w:val="1340"/>
        </w:trPr>
        <w:tc>
          <w:tcPr>
            <w:tcW w:w="2400" w:type="dxa"/>
            <w:tcBorders>
              <w:top w:val="single" w:sz="4" w:space="0" w:color="000000"/>
              <w:left w:val="single" w:sz="4" w:space="0" w:color="000000"/>
              <w:bottom w:val="single" w:sz="4" w:space="0" w:color="000000"/>
              <w:right w:val="single" w:sz="4" w:space="0" w:color="000000"/>
            </w:tcBorders>
            <w:vAlign w:val="center"/>
          </w:tcPr>
          <w:p w14:paraId="0EBDC86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新疆兵团第九师计划生育协会</w:t>
            </w:r>
          </w:p>
        </w:tc>
        <w:tc>
          <w:tcPr>
            <w:tcW w:w="1080" w:type="dxa"/>
            <w:tcBorders>
              <w:top w:val="single" w:sz="4" w:space="0" w:color="000000"/>
              <w:left w:val="single" w:sz="4" w:space="0" w:color="000000"/>
              <w:bottom w:val="single" w:sz="4" w:space="0" w:color="000000"/>
              <w:right w:val="single" w:sz="4" w:space="0" w:color="000000"/>
            </w:tcBorders>
            <w:vAlign w:val="center"/>
          </w:tcPr>
          <w:p w14:paraId="21BD252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卫生</w:t>
            </w:r>
          </w:p>
        </w:tc>
        <w:tc>
          <w:tcPr>
            <w:tcW w:w="1068" w:type="dxa"/>
            <w:tcBorders>
              <w:top w:val="single" w:sz="4" w:space="0" w:color="000000"/>
              <w:left w:val="single" w:sz="4" w:space="0" w:color="000000"/>
              <w:bottom w:val="single" w:sz="4" w:space="0" w:color="000000"/>
              <w:right w:val="single" w:sz="4" w:space="0" w:color="000000"/>
            </w:tcBorders>
            <w:vAlign w:val="center"/>
          </w:tcPr>
          <w:p w14:paraId="704722EE" w14:textId="77777777" w:rsidR="00000000" w:rsidRDefault="00763D17">
            <w:pPr>
              <w:jc w:val="center"/>
              <w:rPr>
                <w:rFonts w:ascii="宋体" w:eastAsia="宋体" w:hAnsi="宋体" w:cs="宋体" w:hint="eastAsia"/>
                <w:color w:val="000000"/>
                <w:sz w:val="22"/>
                <w:szCs w:val="22"/>
              </w:rPr>
            </w:pPr>
          </w:p>
        </w:tc>
        <w:tc>
          <w:tcPr>
            <w:tcW w:w="1092" w:type="dxa"/>
            <w:tcBorders>
              <w:top w:val="single" w:sz="4" w:space="0" w:color="000000"/>
              <w:left w:val="single" w:sz="4" w:space="0" w:color="000000"/>
              <w:bottom w:val="single" w:sz="4" w:space="0" w:color="000000"/>
              <w:right w:val="single" w:sz="4" w:space="0" w:color="000000"/>
            </w:tcBorders>
            <w:vAlign w:val="center"/>
          </w:tcPr>
          <w:p w14:paraId="7413F58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3CBF19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0A470A6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年新增单位，目前单位在职人员为三人，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人为从计划生育指导中心调入人员，</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人分别为</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9</w:t>
            </w:r>
            <w:r>
              <w:rPr>
                <w:rFonts w:ascii="宋体" w:eastAsia="宋体" w:hAnsi="宋体" w:cs="宋体" w:hint="eastAsia"/>
                <w:color w:val="000000"/>
                <w:kern w:val="0"/>
                <w:sz w:val="22"/>
                <w:szCs w:val="22"/>
                <w:lang w:bidi="ar"/>
              </w:rPr>
              <w:t>月新招录人员无上年数</w:t>
            </w:r>
          </w:p>
        </w:tc>
      </w:tr>
      <w:tr w:rsidR="00000000" w14:paraId="11EB099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3754D0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新疆兵团第九师退役军人事务局（本级）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6197A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A8B17E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252195F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14823D4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374C65F" w14:textId="77777777" w:rsidR="00000000" w:rsidRDefault="00763D17">
            <w:pPr>
              <w:rPr>
                <w:rFonts w:ascii="宋体" w:eastAsia="宋体" w:hAnsi="宋体" w:cs="宋体" w:hint="eastAsia"/>
                <w:color w:val="000000"/>
                <w:sz w:val="22"/>
                <w:szCs w:val="22"/>
              </w:rPr>
            </w:pPr>
          </w:p>
        </w:tc>
      </w:tr>
      <w:tr w:rsidR="00000000" w14:paraId="324125C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0DBF95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新疆兵团第九师退役军人服务中心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11F85DE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社会保障</w:t>
            </w:r>
          </w:p>
        </w:tc>
        <w:tc>
          <w:tcPr>
            <w:tcW w:w="1068" w:type="dxa"/>
            <w:tcBorders>
              <w:top w:val="single" w:sz="4" w:space="0" w:color="000000"/>
              <w:left w:val="single" w:sz="4" w:space="0" w:color="000000"/>
              <w:bottom w:val="single" w:sz="4" w:space="0" w:color="000000"/>
              <w:right w:val="single" w:sz="4" w:space="0" w:color="000000"/>
            </w:tcBorders>
            <w:vAlign w:val="center"/>
          </w:tcPr>
          <w:p w14:paraId="00368F8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482E018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27FC9BE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20F6AC6A" w14:textId="77777777" w:rsidR="00000000" w:rsidRDefault="00763D17">
            <w:pPr>
              <w:rPr>
                <w:rFonts w:ascii="宋体" w:eastAsia="宋体" w:hAnsi="宋体" w:cs="宋体" w:hint="eastAsia"/>
                <w:color w:val="000000"/>
                <w:sz w:val="22"/>
                <w:szCs w:val="22"/>
              </w:rPr>
            </w:pPr>
          </w:p>
        </w:tc>
      </w:tr>
      <w:tr w:rsidR="00000000" w14:paraId="4FFDBEC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852A01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新疆兵团第九师医疗保障局（本级）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4D3EAD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0E62B0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090E7AD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0B8BAA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81CB2A3" w14:textId="77777777" w:rsidR="00000000" w:rsidRDefault="00763D17">
            <w:pPr>
              <w:rPr>
                <w:rFonts w:ascii="宋体" w:eastAsia="宋体" w:hAnsi="宋体" w:cs="宋体" w:hint="eastAsia"/>
                <w:color w:val="000000"/>
                <w:sz w:val="22"/>
                <w:szCs w:val="22"/>
              </w:rPr>
            </w:pPr>
          </w:p>
        </w:tc>
      </w:tr>
      <w:tr w:rsidR="00000000" w14:paraId="4E12062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48CAE8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新疆兵团第九师医疗保障事业管理中心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4109A3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BF9A8D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1092" w:type="dxa"/>
            <w:tcBorders>
              <w:top w:val="single" w:sz="4" w:space="0" w:color="000000"/>
              <w:left w:val="single" w:sz="4" w:space="0" w:color="000000"/>
              <w:bottom w:val="single" w:sz="4" w:space="0" w:color="000000"/>
              <w:right w:val="single" w:sz="4" w:space="0" w:color="000000"/>
            </w:tcBorders>
            <w:vAlign w:val="center"/>
          </w:tcPr>
          <w:p w14:paraId="33CE3C8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09F508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3360" w:type="dxa"/>
            <w:tcBorders>
              <w:top w:val="single" w:sz="4" w:space="0" w:color="000000"/>
              <w:left w:val="single" w:sz="4" w:space="0" w:color="000000"/>
              <w:bottom w:val="single" w:sz="4" w:space="0" w:color="000000"/>
              <w:right w:val="single" w:sz="4" w:space="0" w:color="000000"/>
            </w:tcBorders>
            <w:vAlign w:val="center"/>
          </w:tcPr>
          <w:p w14:paraId="185D4AF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因由事业单位转为参公单</w:t>
            </w:r>
            <w:r>
              <w:rPr>
                <w:rFonts w:ascii="宋体" w:eastAsia="宋体" w:hAnsi="宋体" w:cs="宋体" w:hint="eastAsia"/>
                <w:color w:val="000000"/>
                <w:kern w:val="0"/>
                <w:sz w:val="22"/>
                <w:szCs w:val="22"/>
                <w:lang w:bidi="ar"/>
              </w:rPr>
              <w:t>位，新调入</w:t>
            </w:r>
            <w:r>
              <w:rPr>
                <w:rFonts w:ascii="宋体" w:eastAsia="宋体" w:hAnsi="宋体" w:cs="宋体" w:hint="eastAsia"/>
                <w:color w:val="000000"/>
                <w:kern w:val="0"/>
                <w:sz w:val="22"/>
                <w:szCs w:val="22"/>
                <w:lang w:bidi="ar"/>
              </w:rPr>
              <w:t>14</w:t>
            </w:r>
            <w:r>
              <w:rPr>
                <w:rFonts w:ascii="宋体" w:eastAsia="宋体" w:hAnsi="宋体" w:cs="宋体" w:hint="eastAsia"/>
                <w:color w:val="000000"/>
                <w:kern w:val="0"/>
                <w:sz w:val="22"/>
                <w:szCs w:val="22"/>
                <w:lang w:bidi="ar"/>
              </w:rPr>
              <w:t>人。</w:t>
            </w:r>
          </w:p>
        </w:tc>
      </w:tr>
      <w:tr w:rsidR="00000000" w14:paraId="1A313FF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482DBE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新疆兵团第九师残联</w:t>
            </w:r>
          </w:p>
        </w:tc>
        <w:tc>
          <w:tcPr>
            <w:tcW w:w="1080" w:type="dxa"/>
            <w:tcBorders>
              <w:top w:val="single" w:sz="4" w:space="0" w:color="000000"/>
              <w:left w:val="single" w:sz="4" w:space="0" w:color="000000"/>
              <w:bottom w:val="single" w:sz="4" w:space="0" w:color="000000"/>
              <w:right w:val="single" w:sz="4" w:space="0" w:color="000000"/>
            </w:tcBorders>
            <w:vAlign w:val="center"/>
          </w:tcPr>
          <w:p w14:paraId="4B3A658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A55287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4FFDF07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780" w:type="dxa"/>
            <w:tcBorders>
              <w:top w:val="single" w:sz="4" w:space="0" w:color="000000"/>
              <w:left w:val="single" w:sz="4" w:space="0" w:color="000000"/>
              <w:bottom w:val="single" w:sz="4" w:space="0" w:color="000000"/>
              <w:right w:val="single" w:sz="4" w:space="0" w:color="000000"/>
            </w:tcBorders>
            <w:vAlign w:val="center"/>
          </w:tcPr>
          <w:p w14:paraId="5BFFB9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C6A6F00" w14:textId="77777777" w:rsidR="00000000" w:rsidRDefault="00763D17">
            <w:pPr>
              <w:rPr>
                <w:rFonts w:ascii="宋体" w:eastAsia="宋体" w:hAnsi="宋体" w:cs="宋体" w:hint="eastAsia"/>
                <w:color w:val="000000"/>
                <w:sz w:val="22"/>
                <w:szCs w:val="22"/>
              </w:rPr>
            </w:pPr>
          </w:p>
        </w:tc>
      </w:tr>
      <w:tr w:rsidR="00000000" w14:paraId="2BE4764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E6F04F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341DB68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2F0CB6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1092" w:type="dxa"/>
            <w:tcBorders>
              <w:top w:val="single" w:sz="4" w:space="0" w:color="000000"/>
              <w:left w:val="single" w:sz="4" w:space="0" w:color="000000"/>
              <w:bottom w:val="single" w:sz="4" w:space="0" w:color="000000"/>
              <w:right w:val="single" w:sz="4" w:space="0" w:color="000000"/>
            </w:tcBorders>
            <w:vAlign w:val="center"/>
          </w:tcPr>
          <w:p w14:paraId="1AB9527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33</w:t>
            </w:r>
          </w:p>
        </w:tc>
        <w:tc>
          <w:tcPr>
            <w:tcW w:w="780" w:type="dxa"/>
            <w:tcBorders>
              <w:top w:val="single" w:sz="4" w:space="0" w:color="000000"/>
              <w:left w:val="single" w:sz="4" w:space="0" w:color="000000"/>
              <w:bottom w:val="single" w:sz="4" w:space="0" w:color="000000"/>
              <w:right w:val="single" w:sz="4" w:space="0" w:color="000000"/>
            </w:tcBorders>
            <w:vAlign w:val="center"/>
          </w:tcPr>
          <w:p w14:paraId="529D83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FD8669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因工作调动，</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团政委调入九师白杨市机关工作。</w:t>
            </w:r>
          </w:p>
        </w:tc>
      </w:tr>
      <w:tr w:rsidR="00000000" w14:paraId="32555F6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699C63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0456696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2164F1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2CE4E17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63A9C62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324B58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根据兵编发及师编发文件要求，调整人民武装部编制，由过去</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个编调整为</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个编。</w:t>
            </w:r>
          </w:p>
        </w:tc>
      </w:tr>
      <w:tr w:rsidR="00000000" w14:paraId="2E83955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038C37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6CAF71B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21A9556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783D98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6E1F728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77A00F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今年下半年新招录正式在编人员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w:t>
            </w:r>
          </w:p>
        </w:tc>
      </w:tr>
      <w:tr w:rsidR="00000000" w14:paraId="601A3E8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904F86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1EB98FE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4FD29BF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5DB6F12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4E4F5B5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5570B69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今年在编人员退休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人，离职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5BAA78F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9DCF82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w:t>
            </w:r>
            <w:r>
              <w:rPr>
                <w:rFonts w:ascii="宋体" w:eastAsia="宋体" w:hAnsi="宋体" w:cs="宋体" w:hint="eastAsia"/>
                <w:color w:val="000000"/>
                <w:kern w:val="0"/>
                <w:sz w:val="22"/>
                <w:szCs w:val="22"/>
                <w:lang w:bidi="ar"/>
              </w:rPr>
              <w:t>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D283AA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B5F97C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4D4F59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782D69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13EA772" w14:textId="77777777" w:rsidR="00000000" w:rsidRDefault="00763D17">
            <w:pPr>
              <w:rPr>
                <w:rFonts w:ascii="宋体" w:eastAsia="宋体" w:hAnsi="宋体" w:cs="宋体" w:hint="eastAsia"/>
                <w:color w:val="000000"/>
                <w:sz w:val="22"/>
                <w:szCs w:val="22"/>
              </w:rPr>
            </w:pPr>
          </w:p>
        </w:tc>
      </w:tr>
      <w:tr w:rsidR="00000000" w14:paraId="23F6F69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5F03AB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C090AE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1F4B90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046C26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440263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2AB95B79" w14:textId="77777777" w:rsidR="00000000" w:rsidRDefault="00763D17">
            <w:pPr>
              <w:rPr>
                <w:rFonts w:ascii="宋体" w:eastAsia="宋体" w:hAnsi="宋体" w:cs="宋体" w:hint="eastAsia"/>
                <w:color w:val="000000"/>
                <w:sz w:val="22"/>
                <w:szCs w:val="22"/>
              </w:rPr>
            </w:pPr>
          </w:p>
        </w:tc>
      </w:tr>
      <w:tr w:rsidR="00000000" w14:paraId="7100A2E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45DE8B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1B4F4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6173AD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44390D9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5BCC332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3D22C7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为保障本单位工作正常运行，</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年在本团调动人员，增加</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人，编制人员数增加。</w:t>
            </w:r>
          </w:p>
        </w:tc>
      </w:tr>
      <w:tr w:rsidR="00000000" w14:paraId="133A326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076514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61A120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01315CB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1092" w:type="dxa"/>
            <w:tcBorders>
              <w:top w:val="single" w:sz="4" w:space="0" w:color="000000"/>
              <w:left w:val="single" w:sz="4" w:space="0" w:color="000000"/>
              <w:bottom w:val="single" w:sz="4" w:space="0" w:color="000000"/>
              <w:right w:val="single" w:sz="4" w:space="0" w:color="000000"/>
            </w:tcBorders>
            <w:vAlign w:val="center"/>
          </w:tcPr>
          <w:p w14:paraId="5DBEED1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780" w:type="dxa"/>
            <w:tcBorders>
              <w:top w:val="single" w:sz="4" w:space="0" w:color="000000"/>
              <w:left w:val="single" w:sz="4" w:space="0" w:color="000000"/>
              <w:bottom w:val="single" w:sz="4" w:space="0" w:color="000000"/>
              <w:right w:val="single" w:sz="4" w:space="0" w:color="000000"/>
            </w:tcBorders>
            <w:vAlign w:val="center"/>
          </w:tcPr>
          <w:p w14:paraId="0099601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7076F01" w14:textId="77777777" w:rsidR="00000000" w:rsidRDefault="00763D17">
            <w:pPr>
              <w:rPr>
                <w:rFonts w:ascii="宋体" w:eastAsia="宋体" w:hAnsi="宋体" w:cs="宋体" w:hint="eastAsia"/>
                <w:color w:val="000000"/>
                <w:sz w:val="22"/>
                <w:szCs w:val="22"/>
              </w:rPr>
            </w:pPr>
          </w:p>
        </w:tc>
      </w:tr>
      <w:tr w:rsidR="00000000" w14:paraId="3ED5D3B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AABC7B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B1954B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5D4C1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0DFF339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126B0B3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F99EAE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月从综治中心调入社事中心人员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w:t>
            </w:r>
          </w:p>
        </w:tc>
      </w:tr>
      <w:tr w:rsidR="00000000" w14:paraId="7990491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C291DD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406A26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3626FE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1092" w:type="dxa"/>
            <w:tcBorders>
              <w:top w:val="single" w:sz="4" w:space="0" w:color="000000"/>
              <w:left w:val="single" w:sz="4" w:space="0" w:color="000000"/>
              <w:bottom w:val="single" w:sz="4" w:space="0" w:color="000000"/>
              <w:right w:val="single" w:sz="4" w:space="0" w:color="000000"/>
            </w:tcBorders>
            <w:vAlign w:val="center"/>
          </w:tcPr>
          <w:p w14:paraId="326C26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33</w:t>
            </w:r>
          </w:p>
        </w:tc>
        <w:tc>
          <w:tcPr>
            <w:tcW w:w="780" w:type="dxa"/>
            <w:tcBorders>
              <w:top w:val="single" w:sz="4" w:space="0" w:color="000000"/>
              <w:left w:val="single" w:sz="4" w:space="0" w:color="000000"/>
              <w:bottom w:val="single" w:sz="4" w:space="0" w:color="000000"/>
              <w:right w:val="single" w:sz="4" w:space="0" w:color="000000"/>
            </w:tcBorders>
            <w:vAlign w:val="center"/>
          </w:tcPr>
          <w:p w14:paraId="7A04083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7BD05B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本年辞职人员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人，减少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2EB9EF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F51DA5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新疆兵团第九师一六二团人民武装部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7233134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C7851E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1092" w:type="dxa"/>
            <w:tcBorders>
              <w:top w:val="single" w:sz="4" w:space="0" w:color="000000"/>
              <w:left w:val="single" w:sz="4" w:space="0" w:color="000000"/>
              <w:bottom w:val="single" w:sz="4" w:space="0" w:color="000000"/>
              <w:right w:val="single" w:sz="4" w:space="0" w:color="000000"/>
            </w:tcBorders>
            <w:vAlign w:val="center"/>
          </w:tcPr>
          <w:p w14:paraId="1EEBF3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5CD9E58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2E47C8B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年新增加专武干部编制</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p>
        </w:tc>
      </w:tr>
      <w:tr w:rsidR="00000000" w14:paraId="0C3F614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43E7A6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1BEB2B0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27DF2C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7BFB19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500DDC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EDBAB1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月新招录教师</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5AC4142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684BFE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DC3079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1E0608E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688FC3A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6E52D48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AB05BF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年新招录人员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71C911E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F46E44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DB0612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28B8AC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E56DE7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25A03D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F6D5E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团文体广电服务中心人员调入到</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团综治中心（边防中心）</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EA9B8F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9C0FD7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BC8DF1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423C19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5AC75D5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2D55442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B253D3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月综治中心调入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人，基本支出增加</w:t>
            </w:r>
          </w:p>
        </w:tc>
      </w:tr>
      <w:tr w:rsidR="00000000" w14:paraId="5CE786F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02A146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195E8F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BC6901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6B92782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6D185A0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5A4324C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今年新招录</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人，调出至核算中心</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5DAB281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93292C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4364B6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11F7066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1092" w:type="dxa"/>
            <w:tcBorders>
              <w:top w:val="single" w:sz="4" w:space="0" w:color="000000"/>
              <w:left w:val="single" w:sz="4" w:space="0" w:color="000000"/>
              <w:bottom w:val="single" w:sz="4" w:space="0" w:color="000000"/>
              <w:right w:val="single" w:sz="4" w:space="0" w:color="000000"/>
            </w:tcBorders>
            <w:vAlign w:val="center"/>
          </w:tcPr>
          <w:p w14:paraId="4CBD9DC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215A6E2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541857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60D5901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A2EA53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3A862B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82D1D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05C1864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6C49D90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8174C43" w14:textId="77777777" w:rsidR="00000000" w:rsidRDefault="00763D17">
            <w:pPr>
              <w:rPr>
                <w:rFonts w:ascii="宋体" w:eastAsia="宋体" w:hAnsi="宋体" w:cs="宋体" w:hint="eastAsia"/>
                <w:color w:val="000000"/>
                <w:sz w:val="22"/>
                <w:szCs w:val="22"/>
              </w:rPr>
            </w:pPr>
          </w:p>
        </w:tc>
      </w:tr>
      <w:tr w:rsidR="00000000" w14:paraId="52A0CE3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C049AF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57B9D7C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F99179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1092" w:type="dxa"/>
            <w:tcBorders>
              <w:top w:val="single" w:sz="4" w:space="0" w:color="000000"/>
              <w:left w:val="single" w:sz="4" w:space="0" w:color="000000"/>
              <w:bottom w:val="single" w:sz="4" w:space="0" w:color="000000"/>
              <w:right w:val="single" w:sz="4" w:space="0" w:color="000000"/>
            </w:tcBorders>
            <w:vAlign w:val="center"/>
          </w:tcPr>
          <w:p w14:paraId="7F29B05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780" w:type="dxa"/>
            <w:tcBorders>
              <w:top w:val="single" w:sz="4" w:space="0" w:color="000000"/>
              <w:left w:val="single" w:sz="4" w:space="0" w:color="000000"/>
              <w:bottom w:val="single" w:sz="4" w:space="0" w:color="000000"/>
              <w:right w:val="single" w:sz="4" w:space="0" w:color="000000"/>
            </w:tcBorders>
            <w:vAlign w:val="center"/>
          </w:tcPr>
          <w:p w14:paraId="7D5F39A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49335DC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当年新招录公务员三个人。</w:t>
            </w:r>
          </w:p>
        </w:tc>
      </w:tr>
      <w:tr w:rsidR="00000000" w14:paraId="398825E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E130B2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3BA00A2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w:t>
            </w:r>
            <w:r>
              <w:rPr>
                <w:rFonts w:ascii="宋体" w:eastAsia="宋体" w:hAnsi="宋体" w:cs="宋体" w:hint="eastAsia"/>
                <w:color w:val="000000"/>
                <w:kern w:val="0"/>
                <w:sz w:val="22"/>
                <w:szCs w:val="22"/>
                <w:lang w:bidi="ar"/>
              </w:rPr>
              <w:t>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5B3119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41B61B3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023E7BD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22110A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单位新增编制并招录一人。</w:t>
            </w:r>
          </w:p>
        </w:tc>
      </w:tr>
      <w:tr w:rsidR="00000000" w14:paraId="7E3991B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722832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420E5B8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3BD9A3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2760847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CC59AB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3CD837A" w14:textId="77777777" w:rsidR="00000000" w:rsidRDefault="00763D17">
            <w:pPr>
              <w:rPr>
                <w:rFonts w:ascii="宋体" w:eastAsia="宋体" w:hAnsi="宋体" w:cs="宋体" w:hint="eastAsia"/>
                <w:color w:val="000000"/>
                <w:sz w:val="22"/>
                <w:szCs w:val="22"/>
              </w:rPr>
            </w:pPr>
          </w:p>
        </w:tc>
      </w:tr>
      <w:tr w:rsidR="00000000" w14:paraId="6C02F67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1992F9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6CC3A09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7F416C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5A197F9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1F41AF4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5ED4F2B" w14:textId="77777777" w:rsidR="00000000" w:rsidRDefault="00763D17">
            <w:pPr>
              <w:rPr>
                <w:rFonts w:ascii="宋体" w:eastAsia="宋体" w:hAnsi="宋体" w:cs="宋体" w:hint="eastAsia"/>
                <w:color w:val="000000"/>
                <w:sz w:val="22"/>
                <w:szCs w:val="22"/>
              </w:rPr>
            </w:pPr>
          </w:p>
        </w:tc>
      </w:tr>
      <w:tr w:rsidR="00000000" w14:paraId="2C8E733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8B5346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6AA7334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B67BE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45F3EC7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39C2897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720489C" w14:textId="77777777" w:rsidR="00000000" w:rsidRDefault="00763D17">
            <w:pPr>
              <w:rPr>
                <w:rFonts w:ascii="宋体" w:eastAsia="宋体" w:hAnsi="宋体" w:cs="宋体" w:hint="eastAsia"/>
                <w:color w:val="000000"/>
                <w:sz w:val="22"/>
                <w:szCs w:val="22"/>
              </w:rPr>
            </w:pPr>
          </w:p>
        </w:tc>
      </w:tr>
      <w:tr w:rsidR="00000000" w14:paraId="149A5FE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FE7109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E739A1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3EB315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70CF6C1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607226F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64C9FC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单位空编新招录工作人员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21E0D5B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15EB74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9A9F0C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7865E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78D4FB0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1DAFFDA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3A3117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单位空编，</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月新招录人员</w:t>
            </w:r>
          </w:p>
        </w:tc>
      </w:tr>
      <w:tr w:rsidR="00000000" w14:paraId="3A00ED1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974D4F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221B7DC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13B5C21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17</w:t>
            </w:r>
          </w:p>
        </w:tc>
        <w:tc>
          <w:tcPr>
            <w:tcW w:w="1092" w:type="dxa"/>
            <w:tcBorders>
              <w:top w:val="single" w:sz="4" w:space="0" w:color="000000"/>
              <w:left w:val="single" w:sz="4" w:space="0" w:color="000000"/>
              <w:bottom w:val="single" w:sz="4" w:space="0" w:color="000000"/>
              <w:right w:val="single" w:sz="4" w:space="0" w:color="000000"/>
            </w:tcBorders>
            <w:vAlign w:val="center"/>
          </w:tcPr>
          <w:p w14:paraId="3EE2E08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780" w:type="dxa"/>
            <w:tcBorders>
              <w:top w:val="single" w:sz="4" w:space="0" w:color="000000"/>
              <w:left w:val="single" w:sz="4" w:space="0" w:color="000000"/>
              <w:bottom w:val="single" w:sz="4" w:space="0" w:color="000000"/>
              <w:right w:val="single" w:sz="4" w:space="0" w:color="000000"/>
            </w:tcBorders>
            <w:vAlign w:val="center"/>
          </w:tcPr>
          <w:p w14:paraId="20CCEA3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042493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辞职减少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人，其他团场调入新增</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717D77F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094B19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36EFCE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3E9D39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3C67D47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764F06C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0C35AC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名工作人员</w:t>
            </w:r>
          </w:p>
        </w:tc>
      </w:tr>
      <w:tr w:rsidR="00000000" w14:paraId="06AF8D7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56F9D4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55F2DF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178F32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1092" w:type="dxa"/>
            <w:tcBorders>
              <w:top w:val="single" w:sz="4" w:space="0" w:color="000000"/>
              <w:left w:val="single" w:sz="4" w:space="0" w:color="000000"/>
              <w:bottom w:val="single" w:sz="4" w:space="0" w:color="000000"/>
              <w:right w:val="single" w:sz="4" w:space="0" w:color="000000"/>
            </w:tcBorders>
            <w:vAlign w:val="center"/>
          </w:tcPr>
          <w:p w14:paraId="78161C8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780" w:type="dxa"/>
            <w:tcBorders>
              <w:top w:val="single" w:sz="4" w:space="0" w:color="000000"/>
              <w:left w:val="single" w:sz="4" w:space="0" w:color="000000"/>
              <w:bottom w:val="single" w:sz="4" w:space="0" w:color="000000"/>
              <w:right w:val="single" w:sz="4" w:space="0" w:color="000000"/>
            </w:tcBorders>
            <w:vAlign w:val="center"/>
          </w:tcPr>
          <w:p w14:paraId="03523C3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4DBFE18" w14:textId="77777777" w:rsidR="00000000" w:rsidRDefault="00763D17">
            <w:pPr>
              <w:rPr>
                <w:rFonts w:ascii="宋体" w:eastAsia="宋体" w:hAnsi="宋体" w:cs="宋体" w:hint="eastAsia"/>
                <w:color w:val="000000"/>
                <w:sz w:val="22"/>
                <w:szCs w:val="22"/>
              </w:rPr>
            </w:pPr>
          </w:p>
        </w:tc>
      </w:tr>
      <w:tr w:rsidR="00000000" w14:paraId="61ECFDAC"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7D358F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22094D5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9E8990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4B42C77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5BEB86C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3360" w:type="dxa"/>
            <w:tcBorders>
              <w:top w:val="single" w:sz="4" w:space="0" w:color="000000"/>
              <w:left w:val="single" w:sz="4" w:space="0" w:color="000000"/>
              <w:bottom w:val="single" w:sz="4" w:space="0" w:color="000000"/>
              <w:right w:val="single" w:sz="4" w:space="0" w:color="000000"/>
            </w:tcBorders>
            <w:vAlign w:val="center"/>
          </w:tcPr>
          <w:p w14:paraId="759EA35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本年人武部新增</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名行政人员，武器库</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名长聘警卫转为事业编人员。</w:t>
            </w:r>
          </w:p>
        </w:tc>
      </w:tr>
      <w:tr w:rsidR="00000000" w14:paraId="6C1DE49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BCC8AD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50F6843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1C3BEB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41D4064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7E01A3D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FF744F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教师兰璇于</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月调入九师幼儿园</w:t>
            </w:r>
          </w:p>
        </w:tc>
      </w:tr>
      <w:tr w:rsidR="00000000" w14:paraId="73EE37F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1D7506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C34F18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262203D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01FADD8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780" w:type="dxa"/>
            <w:tcBorders>
              <w:top w:val="single" w:sz="4" w:space="0" w:color="000000"/>
              <w:left w:val="single" w:sz="4" w:space="0" w:color="000000"/>
              <w:bottom w:val="single" w:sz="4" w:space="0" w:color="000000"/>
              <w:right w:val="single" w:sz="4" w:space="0" w:color="000000"/>
            </w:tcBorders>
            <w:vAlign w:val="center"/>
          </w:tcPr>
          <w:p w14:paraId="101125E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CE8396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本年从文体广电服务中心调入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3F7CD71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4E711E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FA74DF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066142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771F204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00276D3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3967E6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日调出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人到城镇管理服务中心</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日新招录大学生</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2F4A44A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3547E1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B76C95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7161DC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1680ACE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6176562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3D36159" w14:textId="77777777" w:rsidR="00000000" w:rsidRDefault="00763D17">
            <w:pPr>
              <w:rPr>
                <w:rFonts w:ascii="宋体" w:eastAsia="宋体" w:hAnsi="宋体" w:cs="宋体" w:hint="eastAsia"/>
                <w:color w:val="000000"/>
                <w:sz w:val="22"/>
                <w:szCs w:val="22"/>
              </w:rPr>
            </w:pPr>
          </w:p>
        </w:tc>
      </w:tr>
      <w:tr w:rsidR="00000000" w14:paraId="11281A6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F37E89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EE3F99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AEA3FC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079D00F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D3BF28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FD31DB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本年单位新招录一名工资人员，原</w:t>
            </w:r>
            <w:r>
              <w:rPr>
                <w:rFonts w:ascii="宋体" w:eastAsia="宋体" w:hAnsi="宋体" w:cs="宋体" w:hint="eastAsia"/>
                <w:color w:val="000000"/>
                <w:kern w:val="0"/>
                <w:sz w:val="22"/>
                <w:szCs w:val="22"/>
                <w:lang w:bidi="ar"/>
              </w:rPr>
              <w:t>6</w:t>
            </w:r>
            <w:r>
              <w:rPr>
                <w:rFonts w:ascii="宋体" w:eastAsia="宋体" w:hAnsi="宋体" w:cs="宋体" w:hint="eastAsia"/>
                <w:color w:val="000000"/>
                <w:kern w:val="0"/>
                <w:sz w:val="22"/>
                <w:szCs w:val="22"/>
                <w:lang w:bidi="ar"/>
              </w:rPr>
              <w:t>人，年末实有</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名在编人员。</w:t>
            </w:r>
          </w:p>
        </w:tc>
      </w:tr>
      <w:tr w:rsidR="00000000" w14:paraId="1C9E123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A898CF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9F1349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557AAD4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19</w:t>
            </w:r>
          </w:p>
        </w:tc>
        <w:tc>
          <w:tcPr>
            <w:tcW w:w="1092" w:type="dxa"/>
            <w:tcBorders>
              <w:top w:val="single" w:sz="4" w:space="0" w:color="000000"/>
              <w:left w:val="single" w:sz="4" w:space="0" w:color="000000"/>
              <w:bottom w:val="single" w:sz="4" w:space="0" w:color="000000"/>
              <w:right w:val="single" w:sz="4" w:space="0" w:color="000000"/>
            </w:tcBorders>
            <w:vAlign w:val="center"/>
          </w:tcPr>
          <w:p w14:paraId="5E55D69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780" w:type="dxa"/>
            <w:tcBorders>
              <w:top w:val="single" w:sz="4" w:space="0" w:color="000000"/>
              <w:left w:val="single" w:sz="4" w:space="0" w:color="000000"/>
              <w:bottom w:val="single" w:sz="4" w:space="0" w:color="000000"/>
              <w:right w:val="single" w:sz="4" w:space="0" w:color="000000"/>
            </w:tcBorders>
            <w:vAlign w:val="center"/>
          </w:tcPr>
          <w:p w14:paraId="1E15D38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66144E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当年调出一人到昌吉</w:t>
            </w:r>
          </w:p>
        </w:tc>
      </w:tr>
      <w:tr w:rsidR="00000000" w14:paraId="1550412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72E755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164</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4C5879E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948562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671EC0F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1DE45B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7251980" w14:textId="77777777" w:rsidR="00000000" w:rsidRDefault="00763D17">
            <w:pPr>
              <w:rPr>
                <w:rFonts w:ascii="宋体" w:eastAsia="宋体" w:hAnsi="宋体" w:cs="宋体" w:hint="eastAsia"/>
                <w:color w:val="000000"/>
                <w:sz w:val="22"/>
                <w:szCs w:val="22"/>
              </w:rPr>
            </w:pPr>
          </w:p>
        </w:tc>
      </w:tr>
      <w:tr w:rsidR="00000000" w14:paraId="14554FC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2E0667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35C788E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2DC873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1092" w:type="dxa"/>
            <w:tcBorders>
              <w:top w:val="single" w:sz="4" w:space="0" w:color="000000"/>
              <w:left w:val="single" w:sz="4" w:space="0" w:color="000000"/>
              <w:bottom w:val="single" w:sz="4" w:space="0" w:color="000000"/>
              <w:right w:val="single" w:sz="4" w:space="0" w:color="000000"/>
            </w:tcBorders>
            <w:vAlign w:val="center"/>
          </w:tcPr>
          <w:p w14:paraId="213C661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w:t>
            </w:r>
          </w:p>
        </w:tc>
        <w:tc>
          <w:tcPr>
            <w:tcW w:w="780" w:type="dxa"/>
            <w:tcBorders>
              <w:top w:val="single" w:sz="4" w:space="0" w:color="000000"/>
              <w:left w:val="single" w:sz="4" w:space="0" w:color="000000"/>
              <w:bottom w:val="single" w:sz="4" w:space="0" w:color="000000"/>
              <w:right w:val="single" w:sz="4" w:space="0" w:color="000000"/>
            </w:tcBorders>
            <w:vAlign w:val="center"/>
          </w:tcPr>
          <w:p w14:paraId="2525EFD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3B6E5F9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本单位新招录</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人调出到组织部、</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人调出到纪委、</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人调出到市场监督管理局</w:t>
            </w:r>
          </w:p>
        </w:tc>
      </w:tr>
      <w:tr w:rsidR="00000000" w14:paraId="3CB8D42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7E2B38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3F0D1B6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4E1197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7A9A6B9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780" w:type="dxa"/>
            <w:tcBorders>
              <w:top w:val="single" w:sz="4" w:space="0" w:color="000000"/>
              <w:left w:val="single" w:sz="4" w:space="0" w:color="000000"/>
              <w:bottom w:val="single" w:sz="4" w:space="0" w:color="000000"/>
              <w:right w:val="single" w:sz="4" w:space="0" w:color="000000"/>
            </w:tcBorders>
            <w:vAlign w:val="center"/>
          </w:tcPr>
          <w:p w14:paraId="111DF11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4B707F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经核实本单位新招入一人</w:t>
            </w:r>
          </w:p>
        </w:tc>
      </w:tr>
      <w:tr w:rsidR="00000000" w14:paraId="6269FEE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9AF1AE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6DA808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24BB4C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0D62D5F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3B81E6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972566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经核实本单位一名教师闫菲调入九师幼儿园减员一名教师</w:t>
            </w:r>
          </w:p>
        </w:tc>
      </w:tr>
      <w:tr w:rsidR="00000000" w14:paraId="711F6D7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765521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50C0D1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A5EC3B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10</w:t>
            </w:r>
          </w:p>
        </w:tc>
        <w:tc>
          <w:tcPr>
            <w:tcW w:w="1092" w:type="dxa"/>
            <w:tcBorders>
              <w:top w:val="single" w:sz="4" w:space="0" w:color="000000"/>
              <w:left w:val="single" w:sz="4" w:space="0" w:color="000000"/>
              <w:bottom w:val="single" w:sz="4" w:space="0" w:color="000000"/>
              <w:right w:val="single" w:sz="4" w:space="0" w:color="000000"/>
            </w:tcBorders>
            <w:vAlign w:val="center"/>
          </w:tcPr>
          <w:p w14:paraId="0086D1D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4F2E06B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33C3945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年人员比</w:t>
            </w:r>
            <w:r>
              <w:rPr>
                <w:rFonts w:ascii="宋体" w:eastAsia="宋体" w:hAnsi="宋体" w:cs="宋体" w:hint="eastAsia"/>
                <w:color w:val="000000"/>
                <w:kern w:val="0"/>
                <w:sz w:val="22"/>
                <w:szCs w:val="22"/>
                <w:lang w:bidi="ar"/>
              </w:rPr>
              <w:t>2022</w:t>
            </w:r>
            <w:r>
              <w:rPr>
                <w:rFonts w:ascii="宋体" w:eastAsia="宋体" w:hAnsi="宋体" w:cs="宋体" w:hint="eastAsia"/>
                <w:color w:val="000000"/>
                <w:kern w:val="0"/>
                <w:sz w:val="22"/>
                <w:szCs w:val="22"/>
                <w:lang w:bidi="ar"/>
              </w:rPr>
              <w:t>年人员减少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人其中</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人调入</w:t>
            </w:r>
            <w:r>
              <w:rPr>
                <w:rFonts w:ascii="宋体" w:eastAsia="宋体" w:hAnsi="宋体" w:cs="宋体" w:hint="eastAsia"/>
                <w:color w:val="000000"/>
                <w:kern w:val="0"/>
                <w:sz w:val="22"/>
                <w:szCs w:val="22"/>
                <w:lang w:bidi="ar"/>
              </w:rPr>
              <w:t>162</w:t>
            </w:r>
            <w:r>
              <w:rPr>
                <w:rFonts w:ascii="宋体" w:eastAsia="宋体" w:hAnsi="宋体" w:cs="宋体" w:hint="eastAsia"/>
                <w:color w:val="000000"/>
                <w:kern w:val="0"/>
                <w:sz w:val="22"/>
                <w:szCs w:val="22"/>
                <w:lang w:bidi="ar"/>
              </w:rPr>
              <w:t>团</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人辞职</w:t>
            </w:r>
          </w:p>
        </w:tc>
      </w:tr>
      <w:tr w:rsidR="00000000" w14:paraId="4D5CA66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DB7DC4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团文体广电服务</w:t>
            </w:r>
            <w:r>
              <w:rPr>
                <w:rFonts w:ascii="宋体" w:eastAsia="宋体" w:hAnsi="宋体" w:cs="宋体" w:hint="eastAsia"/>
                <w:color w:val="000000"/>
                <w:kern w:val="0"/>
                <w:sz w:val="22"/>
                <w:szCs w:val="22"/>
                <w:lang w:bidi="ar"/>
              </w:rPr>
              <w:t>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18A6C7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67078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03CFCEE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5641C37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3F4B1FB" w14:textId="77777777" w:rsidR="00000000" w:rsidRDefault="00763D17">
            <w:pPr>
              <w:rPr>
                <w:rFonts w:ascii="宋体" w:eastAsia="宋体" w:hAnsi="宋体" w:cs="宋体" w:hint="eastAsia"/>
                <w:color w:val="000000"/>
                <w:sz w:val="22"/>
                <w:szCs w:val="22"/>
              </w:rPr>
            </w:pPr>
          </w:p>
        </w:tc>
      </w:tr>
      <w:tr w:rsidR="00000000" w14:paraId="081ED9E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6697EE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83780C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453FF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7588329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05096E4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5D9304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经核实</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715D2E5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29979C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4E0EC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3D73F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239C107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530D7E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2DD8CDD5" w14:textId="77777777" w:rsidR="00000000" w:rsidRDefault="00763D17">
            <w:pPr>
              <w:rPr>
                <w:rFonts w:ascii="宋体" w:eastAsia="宋体" w:hAnsi="宋体" w:cs="宋体" w:hint="eastAsia"/>
                <w:color w:val="000000"/>
                <w:sz w:val="22"/>
                <w:szCs w:val="22"/>
              </w:rPr>
            </w:pPr>
          </w:p>
        </w:tc>
      </w:tr>
      <w:tr w:rsidR="00000000" w14:paraId="689AE21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EC7576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0720E2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1296877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1092" w:type="dxa"/>
            <w:tcBorders>
              <w:top w:val="single" w:sz="4" w:space="0" w:color="000000"/>
              <w:left w:val="single" w:sz="4" w:space="0" w:color="000000"/>
              <w:bottom w:val="single" w:sz="4" w:space="0" w:color="000000"/>
              <w:right w:val="single" w:sz="4" w:space="0" w:color="000000"/>
            </w:tcBorders>
            <w:vAlign w:val="center"/>
          </w:tcPr>
          <w:p w14:paraId="33D71BF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11</w:t>
            </w:r>
          </w:p>
        </w:tc>
        <w:tc>
          <w:tcPr>
            <w:tcW w:w="780" w:type="dxa"/>
            <w:tcBorders>
              <w:top w:val="single" w:sz="4" w:space="0" w:color="000000"/>
              <w:left w:val="single" w:sz="4" w:space="0" w:color="000000"/>
              <w:bottom w:val="single" w:sz="4" w:space="0" w:color="000000"/>
              <w:right w:val="single" w:sz="4" w:space="0" w:color="000000"/>
            </w:tcBorders>
            <w:vAlign w:val="center"/>
          </w:tcPr>
          <w:p w14:paraId="5E58E71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3A629B6" w14:textId="77777777" w:rsidR="00000000" w:rsidRDefault="00763D17">
            <w:pPr>
              <w:rPr>
                <w:rFonts w:ascii="宋体" w:eastAsia="宋体" w:hAnsi="宋体" w:cs="宋体" w:hint="eastAsia"/>
                <w:color w:val="000000"/>
                <w:sz w:val="22"/>
                <w:szCs w:val="22"/>
              </w:rPr>
            </w:pPr>
          </w:p>
        </w:tc>
      </w:tr>
      <w:tr w:rsidR="00000000" w14:paraId="2538F72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8E158D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165</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1818FB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1650E1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6CDABB2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1E49F0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15958C6D" w14:textId="77777777" w:rsidR="00000000" w:rsidRDefault="00763D17">
            <w:pPr>
              <w:rPr>
                <w:rFonts w:ascii="宋体" w:eastAsia="宋体" w:hAnsi="宋体" w:cs="宋体" w:hint="eastAsia"/>
                <w:color w:val="000000"/>
                <w:sz w:val="22"/>
                <w:szCs w:val="22"/>
              </w:rPr>
            </w:pPr>
          </w:p>
        </w:tc>
      </w:tr>
      <w:tr w:rsidR="00000000" w14:paraId="348D9F6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56D9C6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1F7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50C10DD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34</w:t>
            </w:r>
          </w:p>
        </w:tc>
        <w:tc>
          <w:tcPr>
            <w:tcW w:w="1092" w:type="dxa"/>
            <w:tcBorders>
              <w:top w:val="single" w:sz="4" w:space="0" w:color="000000"/>
              <w:left w:val="single" w:sz="4" w:space="0" w:color="000000"/>
              <w:bottom w:val="single" w:sz="4" w:space="0" w:color="000000"/>
              <w:right w:val="single" w:sz="4" w:space="0" w:color="000000"/>
            </w:tcBorders>
            <w:vAlign w:val="center"/>
          </w:tcPr>
          <w:p w14:paraId="193CB82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w:t>
            </w:r>
          </w:p>
        </w:tc>
        <w:tc>
          <w:tcPr>
            <w:tcW w:w="780" w:type="dxa"/>
            <w:tcBorders>
              <w:top w:val="single" w:sz="4" w:space="0" w:color="000000"/>
              <w:left w:val="single" w:sz="4" w:space="0" w:color="000000"/>
              <w:bottom w:val="single" w:sz="4" w:space="0" w:color="000000"/>
              <w:right w:val="single" w:sz="4" w:space="0" w:color="000000"/>
            </w:tcBorders>
            <w:vAlign w:val="center"/>
          </w:tcPr>
          <w:p w14:paraId="4970F80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0DE8BC5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年本单位调走至</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人，调入</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人（水利局</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团农发中心</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人），退休</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人，死亡</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798DF98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82A32A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45E5F58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209131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512EF58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118F47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0B1A18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人武部新增一名行政人员。</w:t>
            </w:r>
          </w:p>
        </w:tc>
      </w:tr>
      <w:tr w:rsidR="00000000" w14:paraId="2590E52F"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6AB83B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0CE805A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3C2E98A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62A36AE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3249F6A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A87C4AC" w14:textId="77777777" w:rsidR="00000000" w:rsidRDefault="00763D17">
            <w:pPr>
              <w:rPr>
                <w:rFonts w:ascii="宋体" w:eastAsia="宋体" w:hAnsi="宋体" w:cs="宋体" w:hint="eastAsia"/>
                <w:color w:val="000000"/>
                <w:sz w:val="22"/>
                <w:szCs w:val="22"/>
              </w:rPr>
            </w:pPr>
          </w:p>
        </w:tc>
      </w:tr>
      <w:tr w:rsidR="00000000" w14:paraId="1110A93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2B508B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61C9A7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25DB6D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1092" w:type="dxa"/>
            <w:tcBorders>
              <w:top w:val="single" w:sz="4" w:space="0" w:color="000000"/>
              <w:left w:val="single" w:sz="4" w:space="0" w:color="000000"/>
              <w:bottom w:val="single" w:sz="4" w:space="0" w:color="000000"/>
              <w:right w:val="single" w:sz="4" w:space="0" w:color="000000"/>
            </w:tcBorders>
            <w:vAlign w:val="center"/>
          </w:tcPr>
          <w:p w14:paraId="603C557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780" w:type="dxa"/>
            <w:tcBorders>
              <w:top w:val="single" w:sz="4" w:space="0" w:color="000000"/>
              <w:left w:val="single" w:sz="4" w:space="0" w:color="000000"/>
              <w:bottom w:val="single" w:sz="4" w:space="0" w:color="000000"/>
              <w:right w:val="single" w:sz="4" w:space="0" w:color="000000"/>
            </w:tcBorders>
            <w:vAlign w:val="center"/>
          </w:tcPr>
          <w:p w14:paraId="05A847C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23D72E1C" w14:textId="77777777" w:rsidR="00000000" w:rsidRDefault="00763D17">
            <w:pPr>
              <w:rPr>
                <w:rFonts w:ascii="宋体" w:eastAsia="宋体" w:hAnsi="宋体" w:cs="宋体" w:hint="eastAsia"/>
                <w:color w:val="000000"/>
                <w:sz w:val="22"/>
                <w:szCs w:val="22"/>
              </w:rPr>
            </w:pPr>
          </w:p>
        </w:tc>
      </w:tr>
      <w:tr w:rsidR="00000000" w14:paraId="5B6A6F4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738499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团文化广电中心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56B2E6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0BE0AA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44FB710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7D2B43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FD2F769" w14:textId="77777777" w:rsidR="00000000" w:rsidRDefault="00763D17">
            <w:pPr>
              <w:rPr>
                <w:rFonts w:ascii="宋体" w:eastAsia="宋体" w:hAnsi="宋体" w:cs="宋体" w:hint="eastAsia"/>
                <w:color w:val="000000"/>
                <w:sz w:val="22"/>
                <w:szCs w:val="22"/>
              </w:rPr>
            </w:pPr>
          </w:p>
        </w:tc>
      </w:tr>
      <w:tr w:rsidR="00000000" w14:paraId="75C48B5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D3AF10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793E2A6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60EEAC5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3F5601C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618F4B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1599C0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本单位在</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月新招录工作人员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名</w:t>
            </w:r>
          </w:p>
        </w:tc>
      </w:tr>
      <w:tr w:rsidR="00000000" w14:paraId="4B4DB9B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0237D8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C9358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BB9992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1A363FC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2E393C1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4C3EC5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本团人员调动，从综治中心调到核算中心</w:t>
            </w:r>
          </w:p>
        </w:tc>
      </w:tr>
      <w:tr w:rsidR="00000000" w14:paraId="440DFB23"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FDA769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w:t>
            </w:r>
            <w:r>
              <w:rPr>
                <w:rFonts w:ascii="宋体" w:eastAsia="宋体" w:hAnsi="宋体" w:cs="宋体" w:hint="eastAsia"/>
                <w:color w:val="000000"/>
                <w:kern w:val="0"/>
                <w:sz w:val="22"/>
                <w:szCs w:val="22"/>
                <w:lang w:bidi="ar"/>
              </w:rPr>
              <w:t>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B04B29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7E44DB3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1092" w:type="dxa"/>
            <w:tcBorders>
              <w:top w:val="single" w:sz="4" w:space="0" w:color="000000"/>
              <w:left w:val="single" w:sz="4" w:space="0" w:color="000000"/>
              <w:bottom w:val="single" w:sz="4" w:space="0" w:color="000000"/>
              <w:right w:val="single" w:sz="4" w:space="0" w:color="000000"/>
            </w:tcBorders>
            <w:vAlign w:val="center"/>
          </w:tcPr>
          <w:p w14:paraId="329AD76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7945443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3360" w:type="dxa"/>
            <w:tcBorders>
              <w:top w:val="single" w:sz="4" w:space="0" w:color="000000"/>
              <w:left w:val="single" w:sz="4" w:space="0" w:color="000000"/>
              <w:bottom w:val="single" w:sz="4" w:space="0" w:color="000000"/>
              <w:right w:val="single" w:sz="4" w:space="0" w:color="000000"/>
            </w:tcBorders>
            <w:vAlign w:val="center"/>
          </w:tcPr>
          <w:p w14:paraId="71577AC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单位人员变动，</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人调入</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人调入</w:t>
            </w:r>
            <w:r>
              <w:rPr>
                <w:rFonts w:ascii="宋体" w:eastAsia="宋体" w:hAnsi="宋体" w:cs="宋体" w:hint="eastAsia"/>
                <w:color w:val="000000"/>
                <w:kern w:val="0"/>
                <w:sz w:val="22"/>
                <w:szCs w:val="22"/>
                <w:lang w:bidi="ar"/>
              </w:rPr>
              <w:t>163</w:t>
            </w:r>
            <w:r>
              <w:rPr>
                <w:rFonts w:ascii="宋体" w:eastAsia="宋体" w:hAnsi="宋体" w:cs="宋体" w:hint="eastAsia"/>
                <w:color w:val="000000"/>
                <w:kern w:val="0"/>
                <w:sz w:val="22"/>
                <w:szCs w:val="22"/>
                <w:lang w:bidi="ar"/>
              </w:rPr>
              <w:t>团</w:t>
            </w:r>
          </w:p>
        </w:tc>
      </w:tr>
      <w:tr w:rsidR="00000000" w14:paraId="04243F6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768354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23D083D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15DA40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506B1FE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8B3959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C7EB64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人邹磊</w:t>
            </w:r>
          </w:p>
        </w:tc>
      </w:tr>
      <w:tr w:rsidR="00000000" w14:paraId="6B5E60F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DA20CD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4CD28E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4A0B11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1092" w:type="dxa"/>
            <w:tcBorders>
              <w:top w:val="single" w:sz="4" w:space="0" w:color="000000"/>
              <w:left w:val="single" w:sz="4" w:space="0" w:color="000000"/>
              <w:bottom w:val="single" w:sz="4" w:space="0" w:color="000000"/>
              <w:right w:val="single" w:sz="4" w:space="0" w:color="000000"/>
            </w:tcBorders>
            <w:vAlign w:val="center"/>
          </w:tcPr>
          <w:p w14:paraId="63B6787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32</w:t>
            </w:r>
          </w:p>
        </w:tc>
        <w:tc>
          <w:tcPr>
            <w:tcW w:w="780" w:type="dxa"/>
            <w:tcBorders>
              <w:top w:val="single" w:sz="4" w:space="0" w:color="000000"/>
              <w:left w:val="single" w:sz="4" w:space="0" w:color="000000"/>
              <w:bottom w:val="single" w:sz="4" w:space="0" w:color="000000"/>
              <w:right w:val="single" w:sz="4" w:space="0" w:color="000000"/>
            </w:tcBorders>
            <w:vAlign w:val="center"/>
          </w:tcPr>
          <w:p w14:paraId="6A37BD5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767FCE9" w14:textId="77777777" w:rsidR="00000000" w:rsidRDefault="00763D17">
            <w:pPr>
              <w:rPr>
                <w:rFonts w:ascii="宋体" w:eastAsia="宋体" w:hAnsi="宋体" w:cs="宋体" w:hint="eastAsia"/>
                <w:color w:val="000000"/>
                <w:sz w:val="22"/>
                <w:szCs w:val="22"/>
              </w:rPr>
            </w:pPr>
          </w:p>
        </w:tc>
      </w:tr>
      <w:tr w:rsidR="00000000" w14:paraId="41ADB82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EBADA5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01572A2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07F7E46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w:t>
            </w:r>
          </w:p>
        </w:tc>
        <w:tc>
          <w:tcPr>
            <w:tcW w:w="1092" w:type="dxa"/>
            <w:tcBorders>
              <w:top w:val="single" w:sz="4" w:space="0" w:color="000000"/>
              <w:left w:val="single" w:sz="4" w:space="0" w:color="000000"/>
              <w:bottom w:val="single" w:sz="4" w:space="0" w:color="000000"/>
              <w:right w:val="single" w:sz="4" w:space="0" w:color="000000"/>
            </w:tcBorders>
            <w:vAlign w:val="center"/>
          </w:tcPr>
          <w:p w14:paraId="4C01B73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78DE3A4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06F1CBA"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因单位空编，新招聘一名编制内人员</w:t>
            </w:r>
          </w:p>
        </w:tc>
      </w:tr>
      <w:tr w:rsidR="00000000" w14:paraId="18A1652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07E8CE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51F166D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3502506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34D2FED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1D8686B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CEC19AA" w14:textId="77777777" w:rsidR="00000000" w:rsidRDefault="00763D17">
            <w:pPr>
              <w:rPr>
                <w:rFonts w:ascii="宋体" w:eastAsia="宋体" w:hAnsi="宋体" w:cs="宋体" w:hint="eastAsia"/>
                <w:color w:val="000000"/>
                <w:sz w:val="22"/>
                <w:szCs w:val="22"/>
              </w:rPr>
            </w:pPr>
          </w:p>
        </w:tc>
      </w:tr>
      <w:tr w:rsidR="00000000" w14:paraId="79E4230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2B24D3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D489B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3570654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33E9A6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780" w:type="dxa"/>
            <w:tcBorders>
              <w:top w:val="single" w:sz="4" w:space="0" w:color="000000"/>
              <w:left w:val="single" w:sz="4" w:space="0" w:color="000000"/>
              <w:bottom w:val="single" w:sz="4" w:space="0" w:color="000000"/>
              <w:right w:val="single" w:sz="4" w:space="0" w:color="000000"/>
            </w:tcBorders>
            <w:vAlign w:val="center"/>
          </w:tcPr>
          <w:p w14:paraId="25AA3D3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EFC2355" w14:textId="77777777" w:rsidR="00000000" w:rsidRDefault="00763D17">
            <w:pPr>
              <w:rPr>
                <w:rFonts w:ascii="宋体" w:eastAsia="宋体" w:hAnsi="宋体" w:cs="宋体" w:hint="eastAsia"/>
                <w:color w:val="000000"/>
                <w:sz w:val="22"/>
                <w:szCs w:val="22"/>
              </w:rPr>
            </w:pPr>
          </w:p>
        </w:tc>
      </w:tr>
      <w:tr w:rsidR="00000000" w14:paraId="6F05B93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01FE73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2F6A4A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B17EC9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0FDD419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362A0FC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6AB270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因团场人员调整从社会服务中心调入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42AD720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99F8C9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8E118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E64A87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69F3C0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15CF139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42E638A" w14:textId="77777777" w:rsidR="00000000" w:rsidRDefault="00763D17">
            <w:pPr>
              <w:rPr>
                <w:rFonts w:ascii="宋体" w:eastAsia="宋体" w:hAnsi="宋体" w:cs="宋体" w:hint="eastAsia"/>
                <w:color w:val="000000"/>
                <w:sz w:val="22"/>
                <w:szCs w:val="22"/>
              </w:rPr>
            </w:pPr>
          </w:p>
        </w:tc>
      </w:tr>
      <w:tr w:rsidR="00000000" w14:paraId="0042932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2FB9E8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9FC844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76C0B6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16FD9C2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1A5C26B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C45E3D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因本单位编制人数</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人，实有人数</w:t>
            </w:r>
            <w:r>
              <w:rPr>
                <w:rFonts w:ascii="宋体" w:eastAsia="宋体" w:hAnsi="宋体" w:cs="宋体" w:hint="eastAsia"/>
                <w:color w:val="000000"/>
                <w:kern w:val="0"/>
                <w:sz w:val="22"/>
                <w:szCs w:val="22"/>
                <w:lang w:bidi="ar"/>
              </w:rPr>
              <w:t>6</w:t>
            </w:r>
            <w:r>
              <w:rPr>
                <w:rFonts w:ascii="宋体" w:eastAsia="宋体" w:hAnsi="宋体" w:cs="宋体" w:hint="eastAsia"/>
                <w:color w:val="000000"/>
                <w:kern w:val="0"/>
                <w:sz w:val="22"/>
                <w:szCs w:val="22"/>
                <w:lang w:bidi="ar"/>
              </w:rPr>
              <w:t>人，编制空缺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月新考进编</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5AC859DB" w14:textId="77777777">
        <w:trPr>
          <w:trHeight w:val="1200"/>
        </w:trPr>
        <w:tc>
          <w:tcPr>
            <w:tcW w:w="2400" w:type="dxa"/>
            <w:tcBorders>
              <w:top w:val="single" w:sz="4" w:space="0" w:color="000000"/>
              <w:left w:val="single" w:sz="4" w:space="0" w:color="000000"/>
              <w:bottom w:val="single" w:sz="4" w:space="0" w:color="000000"/>
              <w:right w:val="single" w:sz="4" w:space="0" w:color="000000"/>
            </w:tcBorders>
            <w:vAlign w:val="center"/>
          </w:tcPr>
          <w:p w14:paraId="15136C0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团农业发展服务中心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522FE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4A77A24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1092" w:type="dxa"/>
            <w:tcBorders>
              <w:top w:val="single" w:sz="4" w:space="0" w:color="000000"/>
              <w:left w:val="single" w:sz="4" w:space="0" w:color="000000"/>
              <w:bottom w:val="single" w:sz="4" w:space="0" w:color="000000"/>
              <w:right w:val="single" w:sz="4" w:space="0" w:color="000000"/>
            </w:tcBorders>
            <w:vAlign w:val="center"/>
          </w:tcPr>
          <w:p w14:paraId="6A9913A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19</w:t>
            </w:r>
          </w:p>
        </w:tc>
        <w:tc>
          <w:tcPr>
            <w:tcW w:w="780" w:type="dxa"/>
            <w:tcBorders>
              <w:top w:val="single" w:sz="4" w:space="0" w:color="000000"/>
              <w:left w:val="single" w:sz="4" w:space="0" w:color="000000"/>
              <w:bottom w:val="single" w:sz="4" w:space="0" w:color="000000"/>
              <w:right w:val="single" w:sz="4" w:space="0" w:color="000000"/>
            </w:tcBorders>
            <w:vAlign w:val="center"/>
          </w:tcPr>
          <w:p w14:paraId="0D9488D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1651CA3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因人员编制空缺三月新招录</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月团场人员调整从城镇管理服务中心调入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月离职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6FAA9B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32BFC4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新</w:t>
            </w:r>
            <w:r>
              <w:rPr>
                <w:rFonts w:ascii="宋体" w:eastAsia="宋体" w:hAnsi="宋体" w:cs="宋体" w:hint="eastAsia"/>
                <w:color w:val="000000"/>
                <w:kern w:val="0"/>
                <w:sz w:val="22"/>
                <w:szCs w:val="22"/>
                <w:lang w:bidi="ar"/>
              </w:rPr>
              <w:t>疆兵团第九师</w:t>
            </w:r>
            <w:r>
              <w:rPr>
                <w:rFonts w:ascii="宋体" w:eastAsia="宋体" w:hAnsi="宋体" w:cs="宋体" w:hint="eastAsia"/>
                <w:color w:val="000000"/>
                <w:kern w:val="0"/>
                <w:sz w:val="22"/>
                <w:szCs w:val="22"/>
                <w:lang w:bidi="ar"/>
              </w:rPr>
              <w:t>167</w:t>
            </w:r>
            <w:r>
              <w:rPr>
                <w:rFonts w:ascii="宋体" w:eastAsia="宋体" w:hAnsi="宋体" w:cs="宋体" w:hint="eastAsia"/>
                <w:color w:val="000000"/>
                <w:kern w:val="0"/>
                <w:sz w:val="22"/>
                <w:szCs w:val="22"/>
                <w:lang w:bidi="ar"/>
              </w:rPr>
              <w:t>团社会事务服务中心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97A01D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8A56AF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3D05B27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1E9B66A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ABEDB94" w14:textId="77777777" w:rsidR="00000000" w:rsidRDefault="00763D17">
            <w:pPr>
              <w:rPr>
                <w:rFonts w:ascii="宋体" w:eastAsia="宋体" w:hAnsi="宋体" w:cs="宋体" w:hint="eastAsia"/>
                <w:color w:val="000000"/>
                <w:sz w:val="22"/>
                <w:szCs w:val="22"/>
              </w:rPr>
            </w:pPr>
          </w:p>
        </w:tc>
      </w:tr>
      <w:tr w:rsidR="00000000" w14:paraId="76187C6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94D890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1E8DB5B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D8028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1092" w:type="dxa"/>
            <w:tcBorders>
              <w:top w:val="single" w:sz="4" w:space="0" w:color="000000"/>
              <w:left w:val="single" w:sz="4" w:space="0" w:color="000000"/>
              <w:bottom w:val="single" w:sz="4" w:space="0" w:color="000000"/>
              <w:right w:val="single" w:sz="4" w:space="0" w:color="000000"/>
            </w:tcBorders>
            <w:vAlign w:val="center"/>
          </w:tcPr>
          <w:p w14:paraId="789827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30</w:t>
            </w:r>
          </w:p>
        </w:tc>
        <w:tc>
          <w:tcPr>
            <w:tcW w:w="780" w:type="dxa"/>
            <w:tcBorders>
              <w:top w:val="single" w:sz="4" w:space="0" w:color="000000"/>
              <w:left w:val="single" w:sz="4" w:space="0" w:color="000000"/>
              <w:bottom w:val="single" w:sz="4" w:space="0" w:color="000000"/>
              <w:right w:val="single" w:sz="4" w:space="0" w:color="000000"/>
            </w:tcBorders>
            <w:vAlign w:val="center"/>
          </w:tcPr>
          <w:p w14:paraId="0029DBA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3360" w:type="dxa"/>
            <w:tcBorders>
              <w:top w:val="single" w:sz="4" w:space="0" w:color="000000"/>
              <w:left w:val="single" w:sz="4" w:space="0" w:color="000000"/>
              <w:bottom w:val="single" w:sz="4" w:space="0" w:color="000000"/>
              <w:right w:val="single" w:sz="4" w:space="0" w:color="000000"/>
            </w:tcBorders>
            <w:vAlign w:val="center"/>
          </w:tcPr>
          <w:p w14:paraId="60DC14D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本年度有调入师财政局</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人、师纪委</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人，师新时代文明实践站</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人、离职人员</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人，退休</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49D4CE7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468A2A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5D33CB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700FC3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1092" w:type="dxa"/>
            <w:tcBorders>
              <w:top w:val="single" w:sz="4" w:space="0" w:color="000000"/>
              <w:left w:val="single" w:sz="4" w:space="0" w:color="000000"/>
              <w:bottom w:val="single" w:sz="4" w:space="0" w:color="000000"/>
              <w:right w:val="single" w:sz="4" w:space="0" w:color="000000"/>
            </w:tcBorders>
            <w:vAlign w:val="center"/>
          </w:tcPr>
          <w:p w14:paraId="6BD8FC6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7E57281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70AA218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63E8344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400D13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2E680B9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6891986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3490FE5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9791AC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6061F35" w14:textId="77777777" w:rsidR="00000000" w:rsidRDefault="00763D17">
            <w:pPr>
              <w:rPr>
                <w:rFonts w:ascii="宋体" w:eastAsia="宋体" w:hAnsi="宋体" w:cs="宋体" w:hint="eastAsia"/>
                <w:color w:val="000000"/>
                <w:sz w:val="22"/>
                <w:szCs w:val="22"/>
              </w:rPr>
            </w:pPr>
          </w:p>
        </w:tc>
      </w:tr>
      <w:tr w:rsidR="00000000" w14:paraId="10A1FC5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E2B7E8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5A129D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2CE735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552CD6A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434C2E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6724FA4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本年度因单位个人原因辞职</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人，故此本年较上年相比减少</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04BC913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1595B5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团文体广电服务中</w:t>
            </w:r>
            <w:r>
              <w:rPr>
                <w:rFonts w:ascii="宋体" w:eastAsia="宋体" w:hAnsi="宋体" w:cs="宋体" w:hint="eastAsia"/>
                <w:color w:val="000000"/>
                <w:kern w:val="0"/>
                <w:sz w:val="22"/>
                <w:szCs w:val="22"/>
                <w:lang w:bidi="ar"/>
              </w:rPr>
              <w:t>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4C11B6A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5E98F84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2D79FDA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3C04060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0167C350" w14:textId="77777777" w:rsidR="00000000" w:rsidRDefault="00763D17">
            <w:pPr>
              <w:rPr>
                <w:rFonts w:ascii="宋体" w:eastAsia="宋体" w:hAnsi="宋体" w:cs="宋体" w:hint="eastAsia"/>
                <w:color w:val="000000"/>
                <w:sz w:val="22"/>
                <w:szCs w:val="22"/>
              </w:rPr>
            </w:pPr>
          </w:p>
        </w:tc>
      </w:tr>
      <w:tr w:rsidR="00000000" w14:paraId="2400E1F0"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11B5A1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15D419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11AB29A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6E69008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4D45D1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A92277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11</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人退休</w:t>
            </w:r>
            <w:r>
              <w:rPr>
                <w:rFonts w:ascii="宋体" w:eastAsia="宋体" w:hAnsi="宋体" w:cs="宋体" w:hint="eastAsia"/>
                <w:color w:val="000000"/>
                <w:kern w:val="0"/>
                <w:sz w:val="22"/>
                <w:szCs w:val="22"/>
                <w:lang w:bidi="ar"/>
              </w:rPr>
              <w:t xml:space="preserve"> </w:t>
            </w:r>
            <w:r>
              <w:rPr>
                <w:rFonts w:ascii="宋体" w:eastAsia="宋体" w:hAnsi="宋体" w:cs="宋体" w:hint="eastAsia"/>
                <w:color w:val="000000"/>
                <w:kern w:val="0"/>
                <w:sz w:val="22"/>
                <w:szCs w:val="22"/>
                <w:lang w:bidi="ar"/>
              </w:rPr>
              <w:t>，故本年度比上年度在职人员少一人</w:t>
            </w:r>
          </w:p>
        </w:tc>
      </w:tr>
      <w:tr w:rsidR="00000000" w14:paraId="45BB8BCF" w14:textId="77777777">
        <w:trPr>
          <w:trHeight w:val="1320"/>
        </w:trPr>
        <w:tc>
          <w:tcPr>
            <w:tcW w:w="2400" w:type="dxa"/>
            <w:tcBorders>
              <w:top w:val="single" w:sz="4" w:space="0" w:color="000000"/>
              <w:left w:val="single" w:sz="4" w:space="0" w:color="000000"/>
              <w:bottom w:val="single" w:sz="4" w:space="0" w:color="000000"/>
              <w:right w:val="single" w:sz="4" w:space="0" w:color="000000"/>
            </w:tcBorders>
            <w:vAlign w:val="center"/>
          </w:tcPr>
          <w:p w14:paraId="50E888A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3CE7D8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3B273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0FFBEB2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4E7880D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7FF3C43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本单位今年</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月人数</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月调出到农发中心</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8</w:t>
            </w:r>
            <w:r>
              <w:rPr>
                <w:rFonts w:ascii="宋体" w:eastAsia="宋体" w:hAnsi="宋体" w:cs="宋体" w:hint="eastAsia"/>
                <w:color w:val="000000"/>
                <w:kern w:val="0"/>
                <w:sz w:val="22"/>
                <w:szCs w:val="22"/>
                <w:lang w:bidi="ar"/>
              </w:rPr>
              <w:t>月社事中心调入</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9</w:t>
            </w:r>
            <w:r>
              <w:rPr>
                <w:rFonts w:ascii="宋体" w:eastAsia="宋体" w:hAnsi="宋体" w:cs="宋体" w:hint="eastAsia"/>
                <w:color w:val="000000"/>
                <w:kern w:val="0"/>
                <w:sz w:val="22"/>
                <w:szCs w:val="22"/>
                <w:lang w:bidi="ar"/>
              </w:rPr>
              <w:t>月城管中心调入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月离职</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4B12D01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6EF5A9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67733D4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4B01BDC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12</w:t>
            </w:r>
          </w:p>
        </w:tc>
        <w:tc>
          <w:tcPr>
            <w:tcW w:w="1092" w:type="dxa"/>
            <w:tcBorders>
              <w:top w:val="single" w:sz="4" w:space="0" w:color="000000"/>
              <w:left w:val="single" w:sz="4" w:space="0" w:color="000000"/>
              <w:bottom w:val="single" w:sz="4" w:space="0" w:color="000000"/>
              <w:right w:val="single" w:sz="4" w:space="0" w:color="000000"/>
            </w:tcBorders>
            <w:vAlign w:val="center"/>
          </w:tcPr>
          <w:p w14:paraId="1CD9787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13</w:t>
            </w:r>
          </w:p>
        </w:tc>
        <w:tc>
          <w:tcPr>
            <w:tcW w:w="780" w:type="dxa"/>
            <w:tcBorders>
              <w:top w:val="single" w:sz="4" w:space="0" w:color="000000"/>
              <w:left w:val="single" w:sz="4" w:space="0" w:color="000000"/>
              <w:bottom w:val="single" w:sz="4" w:space="0" w:color="000000"/>
              <w:right w:val="single" w:sz="4" w:space="0" w:color="000000"/>
            </w:tcBorders>
            <w:vAlign w:val="center"/>
          </w:tcPr>
          <w:p w14:paraId="5DEF67E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4471569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年从</w:t>
            </w:r>
            <w:r>
              <w:rPr>
                <w:rFonts w:ascii="宋体" w:eastAsia="宋体" w:hAnsi="宋体" w:cs="宋体" w:hint="eastAsia"/>
                <w:color w:val="000000"/>
                <w:kern w:val="0"/>
                <w:sz w:val="22"/>
                <w:szCs w:val="22"/>
                <w:lang w:bidi="ar"/>
              </w:rPr>
              <w:t>166</w:t>
            </w:r>
            <w:r>
              <w:rPr>
                <w:rFonts w:ascii="宋体" w:eastAsia="宋体" w:hAnsi="宋体" w:cs="宋体" w:hint="eastAsia"/>
                <w:color w:val="000000"/>
                <w:kern w:val="0"/>
                <w:sz w:val="22"/>
                <w:szCs w:val="22"/>
                <w:lang w:bidi="ar"/>
              </w:rPr>
              <w:t>团调入是本单位一人</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从综治中心调入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人，从农发</w:t>
            </w:r>
            <w:r>
              <w:rPr>
                <w:rFonts w:ascii="宋体" w:eastAsia="宋体" w:hAnsi="宋体" w:cs="宋体" w:hint="eastAsia"/>
                <w:color w:val="000000"/>
                <w:kern w:val="0"/>
                <w:sz w:val="22"/>
                <w:szCs w:val="22"/>
                <w:lang w:bidi="ar"/>
              </w:rPr>
              <w:t>中心调出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人至社会事务</w:t>
            </w:r>
          </w:p>
        </w:tc>
      </w:tr>
      <w:tr w:rsidR="00000000" w14:paraId="557C90B2"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BC6E7C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170</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8B60E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B4471B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1BCA5CA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D516C3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7B0D231"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本年新招录人员</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名</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从农发中心调入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人，调至综治中心</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p>
        </w:tc>
      </w:tr>
      <w:tr w:rsidR="00000000" w14:paraId="41859D1F" w14:textId="77777777">
        <w:trPr>
          <w:trHeight w:val="1580"/>
        </w:trPr>
        <w:tc>
          <w:tcPr>
            <w:tcW w:w="2400" w:type="dxa"/>
            <w:tcBorders>
              <w:top w:val="single" w:sz="4" w:space="0" w:color="000000"/>
              <w:left w:val="single" w:sz="4" w:space="0" w:color="000000"/>
              <w:bottom w:val="single" w:sz="4" w:space="0" w:color="000000"/>
              <w:right w:val="single" w:sz="4" w:space="0" w:color="000000"/>
            </w:tcBorders>
            <w:vAlign w:val="center"/>
          </w:tcPr>
          <w:p w14:paraId="26C7CFE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新疆兵团笫九师团结农场党政办公室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5A7FEFE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923CEC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35</w:t>
            </w:r>
          </w:p>
        </w:tc>
        <w:tc>
          <w:tcPr>
            <w:tcW w:w="1092" w:type="dxa"/>
            <w:tcBorders>
              <w:top w:val="single" w:sz="4" w:space="0" w:color="000000"/>
              <w:left w:val="single" w:sz="4" w:space="0" w:color="000000"/>
              <w:bottom w:val="single" w:sz="4" w:space="0" w:color="000000"/>
              <w:right w:val="single" w:sz="4" w:space="0" w:color="000000"/>
            </w:tcBorders>
            <w:vAlign w:val="center"/>
          </w:tcPr>
          <w:p w14:paraId="6DC0A24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31</w:t>
            </w:r>
          </w:p>
        </w:tc>
        <w:tc>
          <w:tcPr>
            <w:tcW w:w="780" w:type="dxa"/>
            <w:tcBorders>
              <w:top w:val="single" w:sz="4" w:space="0" w:color="000000"/>
              <w:left w:val="single" w:sz="4" w:space="0" w:color="000000"/>
              <w:bottom w:val="single" w:sz="4" w:space="0" w:color="000000"/>
              <w:right w:val="single" w:sz="4" w:space="0" w:color="000000"/>
            </w:tcBorders>
            <w:vAlign w:val="center"/>
          </w:tcPr>
          <w:p w14:paraId="121E4C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2F6B46B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2022</w:t>
            </w:r>
            <w:r>
              <w:rPr>
                <w:rFonts w:ascii="宋体" w:eastAsia="宋体" w:hAnsi="宋体" w:cs="宋体" w:hint="eastAsia"/>
                <w:color w:val="000000"/>
                <w:kern w:val="0"/>
                <w:sz w:val="22"/>
                <w:szCs w:val="22"/>
                <w:lang w:bidi="ar"/>
              </w:rPr>
              <w:t>年武装部</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人经费在机关支出，</w:t>
            </w: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年武装部</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人经费单独核算，调出</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人到师住建局，</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人到师民政局，</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人到师农业农村局，新招录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人，年末实有</w:t>
            </w:r>
            <w:r>
              <w:rPr>
                <w:rFonts w:ascii="宋体" w:eastAsia="宋体" w:hAnsi="宋体" w:cs="宋体" w:hint="eastAsia"/>
                <w:color w:val="000000"/>
                <w:kern w:val="0"/>
                <w:sz w:val="22"/>
                <w:szCs w:val="22"/>
                <w:lang w:bidi="ar"/>
              </w:rPr>
              <w:t>31</w:t>
            </w:r>
            <w:r>
              <w:rPr>
                <w:rFonts w:ascii="宋体" w:eastAsia="宋体" w:hAnsi="宋体" w:cs="宋体" w:hint="eastAsia"/>
                <w:color w:val="000000"/>
                <w:kern w:val="0"/>
                <w:sz w:val="22"/>
                <w:szCs w:val="22"/>
                <w:lang w:bidi="ar"/>
              </w:rPr>
              <w:t>人</w:t>
            </w:r>
          </w:p>
        </w:tc>
      </w:tr>
      <w:tr w:rsidR="00000000" w14:paraId="77B7FE36" w14:textId="77777777">
        <w:trPr>
          <w:trHeight w:val="1280"/>
        </w:trPr>
        <w:tc>
          <w:tcPr>
            <w:tcW w:w="2400" w:type="dxa"/>
            <w:tcBorders>
              <w:top w:val="single" w:sz="4" w:space="0" w:color="000000"/>
              <w:left w:val="single" w:sz="4" w:space="0" w:color="000000"/>
              <w:bottom w:val="single" w:sz="4" w:space="0" w:color="000000"/>
              <w:right w:val="single" w:sz="4" w:space="0" w:color="000000"/>
            </w:tcBorders>
            <w:vAlign w:val="center"/>
          </w:tcPr>
          <w:p w14:paraId="3DE98DA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43EBD58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96C3732" w14:textId="77777777" w:rsidR="00000000" w:rsidRDefault="00763D17">
            <w:pPr>
              <w:jc w:val="center"/>
              <w:rPr>
                <w:rFonts w:ascii="宋体" w:eastAsia="宋体" w:hAnsi="宋体" w:cs="宋体" w:hint="eastAsia"/>
                <w:color w:val="000000"/>
                <w:sz w:val="22"/>
                <w:szCs w:val="22"/>
              </w:rPr>
            </w:pPr>
          </w:p>
        </w:tc>
        <w:tc>
          <w:tcPr>
            <w:tcW w:w="1092" w:type="dxa"/>
            <w:tcBorders>
              <w:top w:val="single" w:sz="4" w:space="0" w:color="000000"/>
              <w:left w:val="single" w:sz="4" w:space="0" w:color="000000"/>
              <w:bottom w:val="single" w:sz="4" w:space="0" w:color="000000"/>
              <w:right w:val="single" w:sz="4" w:space="0" w:color="000000"/>
            </w:tcBorders>
            <w:vAlign w:val="center"/>
          </w:tcPr>
          <w:p w14:paraId="578E631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0C7D233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3360" w:type="dxa"/>
            <w:tcBorders>
              <w:top w:val="single" w:sz="4" w:space="0" w:color="000000"/>
              <w:left w:val="single" w:sz="4" w:space="0" w:color="000000"/>
              <w:bottom w:val="single" w:sz="4" w:space="0" w:color="000000"/>
              <w:right w:val="single" w:sz="4" w:space="0" w:color="000000"/>
            </w:tcBorders>
            <w:vAlign w:val="center"/>
          </w:tcPr>
          <w:p w14:paraId="37BD6427"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上一年度人员在团党政办核算</w:t>
            </w:r>
            <w:r>
              <w:rPr>
                <w:rFonts w:ascii="宋体" w:eastAsia="宋体" w:hAnsi="宋体" w:cs="宋体" w:hint="eastAsia"/>
                <w:color w:val="000000"/>
                <w:kern w:val="0"/>
                <w:sz w:val="22"/>
                <w:szCs w:val="22"/>
                <w:lang w:bidi="ar"/>
              </w:rPr>
              <w:t>,2024</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人由党政办转入本单位，</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7</w:t>
            </w:r>
            <w:r>
              <w:rPr>
                <w:rFonts w:ascii="宋体" w:eastAsia="宋体" w:hAnsi="宋体" w:cs="宋体" w:hint="eastAsia"/>
                <w:color w:val="000000"/>
                <w:kern w:val="0"/>
                <w:sz w:val="22"/>
                <w:szCs w:val="22"/>
                <w:lang w:bidi="ar"/>
              </w:rPr>
              <w:t>月新招录，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月从</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团党政办调入</w:t>
            </w:r>
          </w:p>
        </w:tc>
      </w:tr>
      <w:tr w:rsidR="00000000" w14:paraId="5B518F6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8A059D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新疆兵团笫九师团结农场幼儿园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6AA3B9F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2622144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047159B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0B8C6EF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258ADD1E" w14:textId="77777777" w:rsidR="00000000" w:rsidRDefault="00763D17">
            <w:pPr>
              <w:rPr>
                <w:rFonts w:ascii="宋体" w:eastAsia="宋体" w:hAnsi="宋体" w:cs="宋体" w:hint="eastAsia"/>
                <w:color w:val="000000"/>
                <w:sz w:val="22"/>
                <w:szCs w:val="22"/>
              </w:rPr>
            </w:pPr>
          </w:p>
        </w:tc>
      </w:tr>
      <w:tr w:rsidR="00000000" w14:paraId="560E26B2" w14:textId="77777777">
        <w:trPr>
          <w:trHeight w:val="1180"/>
        </w:trPr>
        <w:tc>
          <w:tcPr>
            <w:tcW w:w="2400" w:type="dxa"/>
            <w:tcBorders>
              <w:top w:val="single" w:sz="4" w:space="0" w:color="000000"/>
              <w:left w:val="single" w:sz="4" w:space="0" w:color="000000"/>
              <w:bottom w:val="single" w:sz="4" w:space="0" w:color="000000"/>
              <w:right w:val="single" w:sz="4" w:space="0" w:color="000000"/>
            </w:tcBorders>
            <w:vAlign w:val="center"/>
          </w:tcPr>
          <w:p w14:paraId="62F6610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0F4BC0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7DF4A9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9</w:t>
            </w:r>
          </w:p>
        </w:tc>
        <w:tc>
          <w:tcPr>
            <w:tcW w:w="1092" w:type="dxa"/>
            <w:tcBorders>
              <w:top w:val="single" w:sz="4" w:space="0" w:color="000000"/>
              <w:left w:val="single" w:sz="4" w:space="0" w:color="000000"/>
              <w:bottom w:val="single" w:sz="4" w:space="0" w:color="000000"/>
              <w:right w:val="single" w:sz="4" w:space="0" w:color="000000"/>
            </w:tcBorders>
            <w:vAlign w:val="center"/>
          </w:tcPr>
          <w:p w14:paraId="7C3E479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7C4D74E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p>
        </w:tc>
        <w:tc>
          <w:tcPr>
            <w:tcW w:w="3360" w:type="dxa"/>
            <w:tcBorders>
              <w:top w:val="single" w:sz="4" w:space="0" w:color="000000"/>
              <w:left w:val="single" w:sz="4" w:space="0" w:color="000000"/>
              <w:bottom w:val="single" w:sz="4" w:space="0" w:color="000000"/>
              <w:right w:val="single" w:sz="4" w:space="0" w:color="000000"/>
            </w:tcBorders>
            <w:vAlign w:val="center"/>
          </w:tcPr>
          <w:p w14:paraId="428A7DF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本年调出</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人，一个调入</w:t>
            </w:r>
            <w:r>
              <w:rPr>
                <w:rFonts w:ascii="宋体" w:eastAsia="宋体" w:hAnsi="宋体" w:cs="宋体" w:hint="eastAsia"/>
                <w:color w:val="000000"/>
                <w:kern w:val="0"/>
                <w:sz w:val="22"/>
                <w:szCs w:val="22"/>
                <w:lang w:bidi="ar"/>
              </w:rPr>
              <w:t>161</w:t>
            </w:r>
            <w:r>
              <w:rPr>
                <w:rFonts w:ascii="宋体" w:eastAsia="宋体" w:hAnsi="宋体" w:cs="宋体" w:hint="eastAsia"/>
                <w:color w:val="000000"/>
                <w:kern w:val="0"/>
                <w:sz w:val="22"/>
                <w:szCs w:val="22"/>
                <w:lang w:bidi="ar"/>
              </w:rPr>
              <w:t>团人武部，一个调入团结农场文体广电</w:t>
            </w:r>
          </w:p>
        </w:tc>
      </w:tr>
      <w:tr w:rsidR="00000000" w14:paraId="2CE47DF9" w14:textId="77777777">
        <w:trPr>
          <w:trHeight w:val="1260"/>
        </w:trPr>
        <w:tc>
          <w:tcPr>
            <w:tcW w:w="2400" w:type="dxa"/>
            <w:tcBorders>
              <w:top w:val="single" w:sz="4" w:space="0" w:color="000000"/>
              <w:left w:val="single" w:sz="4" w:space="0" w:color="000000"/>
              <w:bottom w:val="single" w:sz="4" w:space="0" w:color="000000"/>
              <w:right w:val="single" w:sz="4" w:space="0" w:color="000000"/>
            </w:tcBorders>
            <w:vAlign w:val="center"/>
          </w:tcPr>
          <w:p w14:paraId="77EF519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3198F9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76A6017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5994521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2A1DCDA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467CB06"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本年调处</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人，</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人调出到九师融媒体中心，</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人调出到团结农场边防中心，从团结农场城镇管理服务中心调入</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2ECC18C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4C1764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1CE42E5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8D23BD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1092" w:type="dxa"/>
            <w:tcBorders>
              <w:top w:val="single" w:sz="4" w:space="0" w:color="000000"/>
              <w:left w:val="single" w:sz="4" w:space="0" w:color="000000"/>
              <w:bottom w:val="single" w:sz="4" w:space="0" w:color="000000"/>
              <w:right w:val="single" w:sz="4" w:space="0" w:color="000000"/>
            </w:tcBorders>
            <w:vAlign w:val="center"/>
          </w:tcPr>
          <w:p w14:paraId="344F3D9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780" w:type="dxa"/>
            <w:tcBorders>
              <w:top w:val="single" w:sz="4" w:space="0" w:color="000000"/>
              <w:left w:val="single" w:sz="4" w:space="0" w:color="000000"/>
              <w:bottom w:val="single" w:sz="4" w:space="0" w:color="000000"/>
              <w:right w:val="single" w:sz="4" w:space="0" w:color="000000"/>
            </w:tcBorders>
            <w:vAlign w:val="center"/>
          </w:tcPr>
          <w:p w14:paraId="5EFB900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73D0DD7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6</w:t>
            </w:r>
            <w:r>
              <w:rPr>
                <w:rFonts w:ascii="宋体" w:eastAsia="宋体" w:hAnsi="宋体" w:cs="宋体" w:hint="eastAsia"/>
                <w:color w:val="000000"/>
                <w:kern w:val="0"/>
                <w:sz w:val="22"/>
                <w:szCs w:val="22"/>
                <w:lang w:bidi="ar"/>
              </w:rPr>
              <w:t>月份新招录</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14E9E631"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6DF9DA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新疆兵团第九师团结农场综治中心（</w:t>
            </w:r>
            <w:r>
              <w:rPr>
                <w:rFonts w:ascii="宋体" w:eastAsia="宋体" w:hAnsi="宋体" w:cs="宋体" w:hint="eastAsia"/>
                <w:color w:val="000000"/>
                <w:kern w:val="0"/>
                <w:sz w:val="22"/>
                <w:szCs w:val="22"/>
                <w:lang w:bidi="ar"/>
              </w:rPr>
              <w:t>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2BB0DAB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AC2F19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63BB5BF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5C4D7D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B9958A2"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本年从文体广电中心新调入一人</w:t>
            </w:r>
          </w:p>
        </w:tc>
      </w:tr>
      <w:tr w:rsidR="00000000" w14:paraId="67A143FE"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C30A72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新疆兵团笫九师团结农场农业发展服务中心（本级）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2188D28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1901D67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1092" w:type="dxa"/>
            <w:tcBorders>
              <w:top w:val="single" w:sz="4" w:space="0" w:color="000000"/>
              <w:left w:val="single" w:sz="4" w:space="0" w:color="000000"/>
              <w:bottom w:val="single" w:sz="4" w:space="0" w:color="000000"/>
              <w:right w:val="single" w:sz="4" w:space="0" w:color="000000"/>
            </w:tcBorders>
            <w:vAlign w:val="center"/>
          </w:tcPr>
          <w:p w14:paraId="768D875E"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15</w:t>
            </w:r>
          </w:p>
        </w:tc>
        <w:tc>
          <w:tcPr>
            <w:tcW w:w="780" w:type="dxa"/>
            <w:tcBorders>
              <w:top w:val="single" w:sz="4" w:space="0" w:color="000000"/>
              <w:left w:val="single" w:sz="4" w:space="0" w:color="000000"/>
              <w:bottom w:val="single" w:sz="4" w:space="0" w:color="000000"/>
              <w:right w:val="single" w:sz="4" w:space="0" w:color="000000"/>
            </w:tcBorders>
            <w:vAlign w:val="center"/>
          </w:tcPr>
          <w:p w14:paraId="2E8F0FD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415EA9B4" w14:textId="77777777" w:rsidR="00000000" w:rsidRDefault="00763D17">
            <w:pPr>
              <w:rPr>
                <w:rFonts w:ascii="宋体" w:eastAsia="宋体" w:hAnsi="宋体" w:cs="宋体" w:hint="eastAsia"/>
                <w:color w:val="000000"/>
                <w:sz w:val="22"/>
                <w:szCs w:val="22"/>
              </w:rPr>
            </w:pPr>
          </w:p>
        </w:tc>
      </w:tr>
      <w:tr w:rsidR="00000000" w14:paraId="2533C645"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0BA4CC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新疆兵团第九师团结农场社会事务服务中心（本级）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621330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2AF9C9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561708D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4CBC3FE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CEB9804" w14:textId="77777777" w:rsidR="00000000" w:rsidRDefault="00763D17">
            <w:pPr>
              <w:rPr>
                <w:rFonts w:ascii="宋体" w:eastAsia="宋体" w:hAnsi="宋体" w:cs="宋体" w:hint="eastAsia"/>
                <w:color w:val="000000"/>
                <w:sz w:val="22"/>
                <w:szCs w:val="22"/>
              </w:rPr>
            </w:pPr>
          </w:p>
        </w:tc>
      </w:tr>
      <w:tr w:rsidR="00000000" w14:paraId="0AA94C09"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E49FF6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团党政办公室</w:t>
            </w:r>
          </w:p>
        </w:tc>
        <w:tc>
          <w:tcPr>
            <w:tcW w:w="1080" w:type="dxa"/>
            <w:tcBorders>
              <w:top w:val="single" w:sz="4" w:space="0" w:color="000000"/>
              <w:left w:val="single" w:sz="4" w:space="0" w:color="000000"/>
              <w:bottom w:val="single" w:sz="4" w:space="0" w:color="000000"/>
              <w:right w:val="single" w:sz="4" w:space="0" w:color="000000"/>
            </w:tcBorders>
            <w:vAlign w:val="center"/>
          </w:tcPr>
          <w:p w14:paraId="07D93246"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326A5EF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1092" w:type="dxa"/>
            <w:tcBorders>
              <w:top w:val="single" w:sz="4" w:space="0" w:color="000000"/>
              <w:left w:val="single" w:sz="4" w:space="0" w:color="000000"/>
              <w:bottom w:val="single" w:sz="4" w:space="0" w:color="000000"/>
              <w:right w:val="single" w:sz="4" w:space="0" w:color="000000"/>
            </w:tcBorders>
            <w:vAlign w:val="center"/>
          </w:tcPr>
          <w:p w14:paraId="35C980F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37</w:t>
            </w:r>
          </w:p>
        </w:tc>
        <w:tc>
          <w:tcPr>
            <w:tcW w:w="780" w:type="dxa"/>
            <w:tcBorders>
              <w:top w:val="single" w:sz="4" w:space="0" w:color="000000"/>
              <w:left w:val="single" w:sz="4" w:space="0" w:color="000000"/>
              <w:bottom w:val="single" w:sz="4" w:space="0" w:color="000000"/>
              <w:right w:val="single" w:sz="4" w:space="0" w:color="000000"/>
            </w:tcBorders>
            <w:vAlign w:val="center"/>
          </w:tcPr>
          <w:p w14:paraId="0E658B2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68972D14" w14:textId="77777777" w:rsidR="00000000" w:rsidRDefault="00763D17">
            <w:pPr>
              <w:rPr>
                <w:rFonts w:ascii="宋体" w:eastAsia="宋体" w:hAnsi="宋体" w:cs="宋体" w:hint="eastAsia"/>
                <w:color w:val="000000"/>
                <w:sz w:val="22"/>
                <w:szCs w:val="22"/>
              </w:rPr>
            </w:pPr>
          </w:p>
        </w:tc>
      </w:tr>
      <w:tr w:rsidR="00000000" w14:paraId="43F75604"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1BD69ABC"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团人民武装部</w:t>
            </w:r>
          </w:p>
        </w:tc>
        <w:tc>
          <w:tcPr>
            <w:tcW w:w="1080" w:type="dxa"/>
            <w:tcBorders>
              <w:top w:val="single" w:sz="4" w:space="0" w:color="000000"/>
              <w:left w:val="single" w:sz="4" w:space="0" w:color="000000"/>
              <w:bottom w:val="single" w:sz="4" w:space="0" w:color="000000"/>
              <w:right w:val="single" w:sz="4" w:space="0" w:color="000000"/>
            </w:tcBorders>
            <w:vAlign w:val="center"/>
          </w:tcPr>
          <w:p w14:paraId="12FAF13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005B44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5</w:t>
            </w:r>
          </w:p>
        </w:tc>
        <w:tc>
          <w:tcPr>
            <w:tcW w:w="1092" w:type="dxa"/>
            <w:tcBorders>
              <w:top w:val="single" w:sz="4" w:space="0" w:color="000000"/>
              <w:left w:val="single" w:sz="4" w:space="0" w:color="000000"/>
              <w:bottom w:val="single" w:sz="4" w:space="0" w:color="000000"/>
              <w:right w:val="single" w:sz="4" w:space="0" w:color="000000"/>
            </w:tcBorders>
            <w:vAlign w:val="center"/>
          </w:tcPr>
          <w:p w14:paraId="35E2296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4</w:t>
            </w:r>
          </w:p>
        </w:tc>
        <w:tc>
          <w:tcPr>
            <w:tcW w:w="780" w:type="dxa"/>
            <w:tcBorders>
              <w:top w:val="single" w:sz="4" w:space="0" w:color="000000"/>
              <w:left w:val="single" w:sz="4" w:space="0" w:color="000000"/>
              <w:bottom w:val="single" w:sz="4" w:space="0" w:color="000000"/>
              <w:right w:val="single" w:sz="4" w:space="0" w:color="000000"/>
            </w:tcBorders>
            <w:vAlign w:val="center"/>
          </w:tcPr>
          <w:p w14:paraId="405B99A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521925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月调走</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人到团结农场人武部</w:t>
            </w:r>
          </w:p>
        </w:tc>
      </w:tr>
      <w:tr w:rsidR="00000000" w14:paraId="4C50DE6A"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02ABA575"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0DF7305B"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5F06C50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1092" w:type="dxa"/>
            <w:tcBorders>
              <w:top w:val="single" w:sz="4" w:space="0" w:color="000000"/>
              <w:left w:val="single" w:sz="4" w:space="0" w:color="000000"/>
              <w:bottom w:val="single" w:sz="4" w:space="0" w:color="000000"/>
              <w:right w:val="single" w:sz="4" w:space="0" w:color="000000"/>
            </w:tcBorders>
            <w:vAlign w:val="center"/>
          </w:tcPr>
          <w:p w14:paraId="21C1E10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25E2C5E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07CFDCA8"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月新招一人</w:t>
            </w:r>
          </w:p>
        </w:tc>
      </w:tr>
      <w:tr w:rsidR="00000000" w14:paraId="359BD2F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557169F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lastRenderedPageBreak/>
              <w:t>新疆兵团第九师</w:t>
            </w:r>
            <w:r>
              <w:rPr>
                <w:rFonts w:ascii="宋体" w:eastAsia="宋体" w:hAnsi="宋体" w:cs="宋体" w:hint="eastAsia"/>
                <w:color w:val="000000"/>
                <w:kern w:val="0"/>
                <w:sz w:val="22"/>
                <w:szCs w:val="22"/>
                <w:lang w:bidi="ar"/>
              </w:rPr>
              <w:t>169</w:t>
            </w:r>
            <w:r>
              <w:rPr>
                <w:rFonts w:ascii="宋体" w:eastAsia="宋体" w:hAnsi="宋体" w:cs="宋体" w:hint="eastAsia"/>
                <w:color w:val="000000"/>
                <w:kern w:val="0"/>
                <w:sz w:val="22"/>
                <w:szCs w:val="22"/>
                <w:lang w:bidi="ar"/>
              </w:rPr>
              <w:t>团幼儿园</w:t>
            </w:r>
          </w:p>
        </w:tc>
        <w:tc>
          <w:tcPr>
            <w:tcW w:w="1080" w:type="dxa"/>
            <w:tcBorders>
              <w:top w:val="single" w:sz="4" w:space="0" w:color="000000"/>
              <w:left w:val="single" w:sz="4" w:space="0" w:color="000000"/>
              <w:bottom w:val="single" w:sz="4" w:space="0" w:color="000000"/>
              <w:right w:val="single" w:sz="4" w:space="0" w:color="000000"/>
            </w:tcBorders>
            <w:vAlign w:val="center"/>
          </w:tcPr>
          <w:p w14:paraId="7AFBF4C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教育</w:t>
            </w:r>
          </w:p>
        </w:tc>
        <w:tc>
          <w:tcPr>
            <w:tcW w:w="1068" w:type="dxa"/>
            <w:tcBorders>
              <w:top w:val="single" w:sz="4" w:space="0" w:color="000000"/>
              <w:left w:val="single" w:sz="4" w:space="0" w:color="000000"/>
              <w:bottom w:val="single" w:sz="4" w:space="0" w:color="000000"/>
              <w:right w:val="single" w:sz="4" w:space="0" w:color="000000"/>
            </w:tcBorders>
            <w:vAlign w:val="center"/>
          </w:tcPr>
          <w:p w14:paraId="2EEBAA9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21FCA41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780" w:type="dxa"/>
            <w:tcBorders>
              <w:top w:val="single" w:sz="4" w:space="0" w:color="000000"/>
              <w:left w:val="single" w:sz="4" w:space="0" w:color="000000"/>
              <w:bottom w:val="single" w:sz="4" w:space="0" w:color="000000"/>
              <w:right w:val="single" w:sz="4" w:space="0" w:color="000000"/>
            </w:tcBorders>
            <w:vAlign w:val="center"/>
          </w:tcPr>
          <w:p w14:paraId="743017DD"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74106FBE" w14:textId="77777777" w:rsidR="00000000" w:rsidRDefault="00763D17">
            <w:pPr>
              <w:rPr>
                <w:rFonts w:ascii="宋体" w:eastAsia="宋体" w:hAnsi="宋体" w:cs="宋体" w:hint="eastAsia"/>
                <w:color w:val="000000"/>
                <w:sz w:val="22"/>
                <w:szCs w:val="22"/>
              </w:rPr>
            </w:pPr>
          </w:p>
        </w:tc>
      </w:tr>
      <w:tr w:rsidR="00000000" w14:paraId="19583F5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5F9532E"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团城镇管理服务中心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8F8D27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公共设施管理业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3CAE24E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1092" w:type="dxa"/>
            <w:tcBorders>
              <w:top w:val="single" w:sz="4" w:space="0" w:color="000000"/>
              <w:left w:val="single" w:sz="4" w:space="0" w:color="000000"/>
              <w:bottom w:val="single" w:sz="4" w:space="0" w:color="000000"/>
              <w:right w:val="single" w:sz="4" w:space="0" w:color="000000"/>
            </w:tcBorders>
            <w:vAlign w:val="center"/>
          </w:tcPr>
          <w:p w14:paraId="7FC967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14</w:t>
            </w:r>
          </w:p>
        </w:tc>
        <w:tc>
          <w:tcPr>
            <w:tcW w:w="780" w:type="dxa"/>
            <w:tcBorders>
              <w:top w:val="single" w:sz="4" w:space="0" w:color="000000"/>
              <w:left w:val="single" w:sz="4" w:space="0" w:color="000000"/>
              <w:bottom w:val="single" w:sz="4" w:space="0" w:color="000000"/>
              <w:right w:val="single" w:sz="4" w:space="0" w:color="000000"/>
            </w:tcBorders>
            <w:vAlign w:val="center"/>
          </w:tcPr>
          <w:p w14:paraId="6C92FBA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5DCCEACA" w14:textId="77777777" w:rsidR="00000000" w:rsidRDefault="00763D17">
            <w:pPr>
              <w:rPr>
                <w:rFonts w:ascii="宋体" w:eastAsia="宋体" w:hAnsi="宋体" w:cs="宋体" w:hint="eastAsia"/>
                <w:color w:val="000000"/>
                <w:sz w:val="22"/>
                <w:szCs w:val="22"/>
              </w:rPr>
            </w:pPr>
          </w:p>
        </w:tc>
      </w:tr>
      <w:tr w:rsidR="00000000" w14:paraId="3C89092B"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6982E56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团文体广电服务中心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5DA6FFAC"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新闻和出版业</w:t>
            </w:r>
          </w:p>
        </w:tc>
        <w:tc>
          <w:tcPr>
            <w:tcW w:w="1068" w:type="dxa"/>
            <w:tcBorders>
              <w:top w:val="single" w:sz="4" w:space="0" w:color="000000"/>
              <w:left w:val="single" w:sz="4" w:space="0" w:color="000000"/>
              <w:bottom w:val="single" w:sz="4" w:space="0" w:color="000000"/>
              <w:right w:val="single" w:sz="4" w:space="0" w:color="000000"/>
            </w:tcBorders>
            <w:vAlign w:val="center"/>
          </w:tcPr>
          <w:p w14:paraId="6AAB5B3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4AD78F9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780" w:type="dxa"/>
            <w:tcBorders>
              <w:top w:val="single" w:sz="4" w:space="0" w:color="000000"/>
              <w:left w:val="single" w:sz="4" w:space="0" w:color="000000"/>
              <w:bottom w:val="single" w:sz="4" w:space="0" w:color="000000"/>
              <w:right w:val="single" w:sz="4" w:space="0" w:color="000000"/>
            </w:tcBorders>
            <w:vAlign w:val="center"/>
          </w:tcPr>
          <w:p w14:paraId="4AABA32A"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0</w:t>
            </w:r>
          </w:p>
        </w:tc>
        <w:tc>
          <w:tcPr>
            <w:tcW w:w="3360" w:type="dxa"/>
            <w:tcBorders>
              <w:top w:val="single" w:sz="4" w:space="0" w:color="000000"/>
              <w:left w:val="single" w:sz="4" w:space="0" w:color="000000"/>
              <w:bottom w:val="single" w:sz="4" w:space="0" w:color="000000"/>
              <w:right w:val="single" w:sz="4" w:space="0" w:color="000000"/>
            </w:tcBorders>
            <w:vAlign w:val="center"/>
          </w:tcPr>
          <w:p w14:paraId="359F54E8" w14:textId="77777777" w:rsidR="00000000" w:rsidRDefault="00763D17">
            <w:pPr>
              <w:rPr>
                <w:rFonts w:ascii="宋体" w:eastAsia="宋体" w:hAnsi="宋体" w:cs="宋体" w:hint="eastAsia"/>
                <w:color w:val="000000"/>
                <w:sz w:val="22"/>
                <w:szCs w:val="22"/>
              </w:rPr>
            </w:pPr>
          </w:p>
        </w:tc>
      </w:tr>
      <w:tr w:rsidR="00000000" w14:paraId="62606F56"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70319BF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团国库支付中心（核算中心）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3A3A7CA0"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70CBCAA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552B7D21"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006C480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55135994"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月、</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月新招聘</w:t>
            </w:r>
            <w:r>
              <w:rPr>
                <w:rFonts w:ascii="宋体" w:eastAsia="宋体" w:hAnsi="宋体" w:cs="宋体" w:hint="eastAsia"/>
                <w:color w:val="000000"/>
                <w:kern w:val="0"/>
                <w:sz w:val="22"/>
                <w:szCs w:val="22"/>
                <w:lang w:bidi="ar"/>
              </w:rPr>
              <w:t>2</w:t>
            </w:r>
            <w:r>
              <w:rPr>
                <w:rFonts w:ascii="宋体" w:eastAsia="宋体" w:hAnsi="宋体" w:cs="宋体" w:hint="eastAsia"/>
                <w:color w:val="000000"/>
                <w:kern w:val="0"/>
                <w:sz w:val="22"/>
                <w:szCs w:val="22"/>
                <w:lang w:bidi="ar"/>
              </w:rPr>
              <w:t>名</w:t>
            </w:r>
          </w:p>
        </w:tc>
      </w:tr>
      <w:tr w:rsidR="00000000" w14:paraId="25A15188"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289C231D"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团维稳综治中心（边防中心）</w:t>
            </w:r>
          </w:p>
        </w:tc>
        <w:tc>
          <w:tcPr>
            <w:tcW w:w="1080" w:type="dxa"/>
            <w:tcBorders>
              <w:top w:val="single" w:sz="4" w:space="0" w:color="000000"/>
              <w:left w:val="single" w:sz="4" w:space="0" w:color="000000"/>
              <w:bottom w:val="single" w:sz="4" w:space="0" w:color="000000"/>
              <w:right w:val="single" w:sz="4" w:space="0" w:color="000000"/>
            </w:tcBorders>
            <w:vAlign w:val="center"/>
          </w:tcPr>
          <w:p w14:paraId="08FBE675"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42C4BE9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6</w:t>
            </w:r>
          </w:p>
        </w:tc>
        <w:tc>
          <w:tcPr>
            <w:tcW w:w="1092" w:type="dxa"/>
            <w:tcBorders>
              <w:top w:val="single" w:sz="4" w:space="0" w:color="000000"/>
              <w:left w:val="single" w:sz="4" w:space="0" w:color="000000"/>
              <w:bottom w:val="single" w:sz="4" w:space="0" w:color="000000"/>
              <w:right w:val="single" w:sz="4" w:space="0" w:color="000000"/>
            </w:tcBorders>
            <w:vAlign w:val="center"/>
          </w:tcPr>
          <w:p w14:paraId="10D08784"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2AEB9292"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2A62A6AF"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月份从农业发展服务中心调入到综治中心</w:t>
            </w:r>
          </w:p>
        </w:tc>
      </w:tr>
      <w:tr w:rsidR="00000000" w14:paraId="4341AD67"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38C18C99"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团农业发展服务中心（本级）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743B9A4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农、林、牧、渔专业及辅助性活动</w:t>
            </w:r>
          </w:p>
        </w:tc>
        <w:tc>
          <w:tcPr>
            <w:tcW w:w="1068" w:type="dxa"/>
            <w:tcBorders>
              <w:top w:val="single" w:sz="4" w:space="0" w:color="000000"/>
              <w:left w:val="single" w:sz="4" w:space="0" w:color="000000"/>
              <w:bottom w:val="single" w:sz="4" w:space="0" w:color="000000"/>
              <w:right w:val="single" w:sz="4" w:space="0" w:color="000000"/>
            </w:tcBorders>
            <w:vAlign w:val="center"/>
          </w:tcPr>
          <w:p w14:paraId="2D9A87AF"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18</w:t>
            </w:r>
          </w:p>
        </w:tc>
        <w:tc>
          <w:tcPr>
            <w:tcW w:w="1092" w:type="dxa"/>
            <w:tcBorders>
              <w:top w:val="single" w:sz="4" w:space="0" w:color="000000"/>
              <w:left w:val="single" w:sz="4" w:space="0" w:color="000000"/>
              <w:bottom w:val="single" w:sz="4" w:space="0" w:color="000000"/>
              <w:right w:val="single" w:sz="4" w:space="0" w:color="000000"/>
            </w:tcBorders>
            <w:vAlign w:val="center"/>
          </w:tcPr>
          <w:p w14:paraId="1C54220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17</w:t>
            </w:r>
          </w:p>
        </w:tc>
        <w:tc>
          <w:tcPr>
            <w:tcW w:w="780" w:type="dxa"/>
            <w:tcBorders>
              <w:top w:val="single" w:sz="4" w:space="0" w:color="000000"/>
              <w:left w:val="single" w:sz="4" w:space="0" w:color="000000"/>
              <w:bottom w:val="single" w:sz="4" w:space="0" w:color="000000"/>
              <w:right w:val="single" w:sz="4" w:space="0" w:color="000000"/>
            </w:tcBorders>
            <w:vAlign w:val="center"/>
          </w:tcPr>
          <w:p w14:paraId="62A993F8"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1E9E8ADB"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月调团综治中心</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人</w:t>
            </w:r>
          </w:p>
        </w:tc>
      </w:tr>
      <w:tr w:rsidR="00000000" w14:paraId="0293129D" w14:textId="77777777">
        <w:trPr>
          <w:trHeight w:val="920"/>
        </w:trPr>
        <w:tc>
          <w:tcPr>
            <w:tcW w:w="2400" w:type="dxa"/>
            <w:tcBorders>
              <w:top w:val="single" w:sz="4" w:space="0" w:color="000000"/>
              <w:left w:val="single" w:sz="4" w:space="0" w:color="000000"/>
              <w:bottom w:val="single" w:sz="4" w:space="0" w:color="000000"/>
              <w:right w:val="single" w:sz="4" w:space="0" w:color="000000"/>
            </w:tcBorders>
            <w:vAlign w:val="center"/>
          </w:tcPr>
          <w:p w14:paraId="49A62AF3"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新疆兵团第九师</w:t>
            </w:r>
            <w:r>
              <w:rPr>
                <w:rFonts w:ascii="宋体" w:eastAsia="宋体" w:hAnsi="宋体" w:cs="宋体" w:hint="eastAsia"/>
                <w:color w:val="000000"/>
                <w:kern w:val="0"/>
                <w:sz w:val="22"/>
                <w:szCs w:val="22"/>
                <w:lang w:bidi="ar"/>
              </w:rPr>
              <w:t>168</w:t>
            </w:r>
            <w:r>
              <w:rPr>
                <w:rFonts w:ascii="宋体" w:eastAsia="宋体" w:hAnsi="宋体" w:cs="宋体" w:hint="eastAsia"/>
                <w:color w:val="000000"/>
                <w:kern w:val="0"/>
                <w:sz w:val="22"/>
                <w:szCs w:val="22"/>
                <w:lang w:bidi="ar"/>
              </w:rPr>
              <w:t>团社会事务服务中心（本级）</w:t>
            </w:r>
          </w:p>
        </w:tc>
        <w:tc>
          <w:tcPr>
            <w:tcW w:w="1080" w:type="dxa"/>
            <w:tcBorders>
              <w:top w:val="single" w:sz="4" w:space="0" w:color="000000"/>
              <w:left w:val="single" w:sz="4" w:space="0" w:color="000000"/>
              <w:bottom w:val="single" w:sz="4" w:space="0" w:color="000000"/>
              <w:right w:val="single" w:sz="4" w:space="0" w:color="000000"/>
            </w:tcBorders>
            <w:vAlign w:val="center"/>
          </w:tcPr>
          <w:p w14:paraId="06CA80A7"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国家机构</w:t>
            </w:r>
          </w:p>
        </w:tc>
        <w:tc>
          <w:tcPr>
            <w:tcW w:w="1068" w:type="dxa"/>
            <w:tcBorders>
              <w:top w:val="single" w:sz="4" w:space="0" w:color="000000"/>
              <w:left w:val="single" w:sz="4" w:space="0" w:color="000000"/>
              <w:bottom w:val="single" w:sz="4" w:space="0" w:color="000000"/>
              <w:right w:val="single" w:sz="4" w:space="0" w:color="000000"/>
            </w:tcBorders>
            <w:vAlign w:val="center"/>
          </w:tcPr>
          <w:p w14:paraId="21B6280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8</w:t>
            </w:r>
          </w:p>
        </w:tc>
        <w:tc>
          <w:tcPr>
            <w:tcW w:w="1092" w:type="dxa"/>
            <w:tcBorders>
              <w:top w:val="single" w:sz="4" w:space="0" w:color="000000"/>
              <w:left w:val="single" w:sz="4" w:space="0" w:color="000000"/>
              <w:bottom w:val="single" w:sz="4" w:space="0" w:color="000000"/>
              <w:right w:val="single" w:sz="4" w:space="0" w:color="000000"/>
            </w:tcBorders>
            <w:vAlign w:val="center"/>
          </w:tcPr>
          <w:p w14:paraId="6429CE69"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7</w:t>
            </w:r>
          </w:p>
        </w:tc>
        <w:tc>
          <w:tcPr>
            <w:tcW w:w="780" w:type="dxa"/>
            <w:tcBorders>
              <w:top w:val="single" w:sz="4" w:space="0" w:color="000000"/>
              <w:left w:val="single" w:sz="4" w:space="0" w:color="000000"/>
              <w:bottom w:val="single" w:sz="4" w:space="0" w:color="000000"/>
              <w:right w:val="single" w:sz="4" w:space="0" w:color="000000"/>
            </w:tcBorders>
            <w:vAlign w:val="center"/>
          </w:tcPr>
          <w:p w14:paraId="32E06B63" w14:textId="77777777" w:rsidR="00000000" w:rsidRDefault="00763D17">
            <w:pPr>
              <w:widowControl/>
              <w:jc w:val="center"/>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-1</w:t>
            </w:r>
          </w:p>
        </w:tc>
        <w:tc>
          <w:tcPr>
            <w:tcW w:w="3360" w:type="dxa"/>
            <w:tcBorders>
              <w:top w:val="single" w:sz="4" w:space="0" w:color="000000"/>
              <w:left w:val="single" w:sz="4" w:space="0" w:color="000000"/>
              <w:bottom w:val="single" w:sz="4" w:space="0" w:color="000000"/>
              <w:right w:val="single" w:sz="4" w:space="0" w:color="000000"/>
            </w:tcBorders>
            <w:vAlign w:val="center"/>
          </w:tcPr>
          <w:p w14:paraId="66847540" w14:textId="77777777" w:rsidR="00000000" w:rsidRDefault="00763D17">
            <w:pPr>
              <w:widowControl/>
              <w:jc w:val="left"/>
              <w:textAlignment w:val="center"/>
              <w:rPr>
                <w:rFonts w:ascii="宋体" w:eastAsia="宋体" w:hAnsi="宋体" w:cs="宋体" w:hint="eastAsia"/>
                <w:color w:val="000000"/>
                <w:sz w:val="22"/>
                <w:szCs w:val="22"/>
              </w:rPr>
            </w:pPr>
            <w:r>
              <w:rPr>
                <w:rFonts w:ascii="宋体" w:eastAsia="宋体" w:hAnsi="宋体" w:cs="宋体" w:hint="eastAsia"/>
                <w:color w:val="000000"/>
                <w:kern w:val="0"/>
                <w:sz w:val="22"/>
                <w:szCs w:val="22"/>
                <w:lang w:bidi="ar"/>
              </w:rPr>
              <w:t>2023</w:t>
            </w:r>
            <w:r>
              <w:rPr>
                <w:rFonts w:ascii="宋体" w:eastAsia="宋体" w:hAnsi="宋体" w:cs="宋体" w:hint="eastAsia"/>
                <w:color w:val="000000"/>
                <w:kern w:val="0"/>
                <w:sz w:val="22"/>
                <w:szCs w:val="22"/>
                <w:lang w:bidi="ar"/>
              </w:rPr>
              <w:t>年</w:t>
            </w:r>
            <w:r>
              <w:rPr>
                <w:rFonts w:ascii="宋体" w:eastAsia="宋体" w:hAnsi="宋体" w:cs="宋体" w:hint="eastAsia"/>
                <w:color w:val="000000"/>
                <w:kern w:val="0"/>
                <w:sz w:val="22"/>
                <w:szCs w:val="22"/>
                <w:lang w:bidi="ar"/>
              </w:rPr>
              <w:t>10</w:t>
            </w:r>
            <w:r>
              <w:rPr>
                <w:rFonts w:ascii="宋体" w:eastAsia="宋体" w:hAnsi="宋体" w:cs="宋体" w:hint="eastAsia"/>
                <w:color w:val="000000"/>
                <w:kern w:val="0"/>
                <w:sz w:val="22"/>
                <w:szCs w:val="22"/>
                <w:lang w:bidi="ar"/>
              </w:rPr>
              <w:t>月张新军由社事中心调往经发办</w:t>
            </w:r>
          </w:p>
        </w:tc>
      </w:tr>
    </w:tbl>
    <w:p w14:paraId="5F3DB5E6" w14:textId="77777777" w:rsidR="00000000" w:rsidRDefault="00763D17">
      <w:pPr>
        <w:snapToGrid w:val="0"/>
        <w:spacing w:line="580" w:lineRule="exact"/>
        <w:ind w:firstLineChars="200" w:firstLine="640"/>
        <w:rPr>
          <w:rFonts w:ascii="黑体" w:eastAsia="黑体" w:hAnsi="黑体" w:hint="eastAsia"/>
          <w:sz w:val="32"/>
          <w:szCs w:val="32"/>
        </w:rPr>
      </w:pPr>
    </w:p>
    <w:p w14:paraId="5D78207B" w14:textId="77777777" w:rsidR="00000000" w:rsidRDefault="00763D17">
      <w:pPr>
        <w:snapToGrid w:val="0"/>
        <w:spacing w:line="580" w:lineRule="exact"/>
        <w:ind w:firstLineChars="200" w:firstLine="640"/>
        <w:rPr>
          <w:rFonts w:ascii="黑体" w:eastAsia="黑体" w:hAnsi="黑体" w:hint="eastAsia"/>
          <w:sz w:val="32"/>
          <w:szCs w:val="32"/>
        </w:rPr>
      </w:pPr>
      <w:r>
        <w:rPr>
          <w:rFonts w:ascii="黑体" w:eastAsia="黑体" w:hAnsi="黑体" w:hint="eastAsia"/>
          <w:sz w:val="32"/>
          <w:szCs w:val="32"/>
        </w:rPr>
        <w:t>四、本地区部门决算管理工作</w:t>
      </w:r>
    </w:p>
    <w:bookmarkEnd w:id="4"/>
    <w:p w14:paraId="6482FD0D"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（一）本地区部门决算工作情况总结。</w:t>
      </w:r>
    </w:p>
    <w:p w14:paraId="1032CAEB"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1.</w:t>
      </w:r>
      <w:r>
        <w:rPr>
          <w:rFonts w:ascii="楷体_GB2312" w:eastAsia="楷体_GB2312" w:hAnsi="楷体_GB2312" w:cs="楷体_GB2312" w:hint="eastAsia"/>
          <w:b/>
          <w:bCs/>
          <w:sz w:val="32"/>
          <w:szCs w:val="32"/>
        </w:rPr>
        <w:t>开展年度账务核对和清理工作</w:t>
      </w:r>
    </w:p>
    <w:p w14:paraId="079F6221" w14:textId="77777777" w:rsidR="00000000" w:rsidRDefault="00763D17">
      <w:pPr>
        <w:spacing w:line="560" w:lineRule="exact"/>
        <w:ind w:firstLineChars="196" w:firstLine="627"/>
        <w:rPr>
          <w:rFonts w:ascii="仿宋_GB2312" w:eastAsia="仿宋_GB2312"/>
          <w:sz w:val="32"/>
          <w:szCs w:val="32"/>
        </w:rPr>
      </w:pPr>
      <w:r>
        <w:rPr>
          <w:rFonts w:ascii="仿宋_GB2312" w:eastAsia="仿宋_GB2312" w:hint="eastAsia"/>
          <w:sz w:val="32"/>
          <w:szCs w:val="32"/>
        </w:rPr>
        <w:t>按照兵团部门决算的总体要求，师团两级预算单位开展了决算对账工作，特别是核对资金指标，对往来资金进行了梳理和清理，为确保账表一致和真实性、准确性奠定坚实基础；</w:t>
      </w:r>
    </w:p>
    <w:p w14:paraId="08844DC7"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2.</w:t>
      </w:r>
      <w:r>
        <w:rPr>
          <w:rFonts w:ascii="楷体_GB2312" w:eastAsia="楷体_GB2312" w:hAnsi="楷体_GB2312" w:cs="楷体_GB2312" w:hint="eastAsia"/>
          <w:b/>
          <w:bCs/>
          <w:sz w:val="32"/>
          <w:szCs w:val="32"/>
        </w:rPr>
        <w:t>清理年度结转结余资金</w:t>
      </w:r>
    </w:p>
    <w:p w14:paraId="56A89133" w14:textId="77777777" w:rsidR="00000000" w:rsidRDefault="00763D17">
      <w:pPr>
        <w:spacing w:line="560" w:lineRule="exact"/>
        <w:ind w:firstLineChars="196" w:firstLine="627"/>
        <w:rPr>
          <w:rFonts w:ascii="仿宋_GB2312" w:eastAsia="仿宋_GB2312"/>
          <w:sz w:val="32"/>
          <w:szCs w:val="32"/>
        </w:rPr>
      </w:pPr>
      <w:r>
        <w:rPr>
          <w:rFonts w:ascii="仿宋_GB2312" w:eastAsia="仿宋_GB2312" w:hint="eastAsia"/>
          <w:sz w:val="32"/>
          <w:szCs w:val="32"/>
        </w:rPr>
        <w:t>为盘活财政存量资金，按照结转结余资金管理办法，将超过两年未执行的资金进行清理，全部纳入师统筹安排，用于重</w:t>
      </w:r>
      <w:r>
        <w:rPr>
          <w:rFonts w:ascii="仿宋_GB2312" w:eastAsia="仿宋_GB2312" w:hint="eastAsia"/>
          <w:sz w:val="32"/>
          <w:szCs w:val="32"/>
        </w:rPr>
        <w:t>点项目及民生支出，提高了财政资金使用效益。</w:t>
      </w:r>
    </w:p>
    <w:p w14:paraId="1BD73D6D"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3.</w:t>
      </w:r>
      <w:r>
        <w:rPr>
          <w:rFonts w:ascii="楷体_GB2312" w:eastAsia="楷体_GB2312" w:hAnsi="楷体_GB2312" w:cs="楷体_GB2312" w:hint="eastAsia"/>
          <w:b/>
          <w:bCs/>
          <w:sz w:val="32"/>
          <w:szCs w:val="32"/>
        </w:rPr>
        <w:t>加强培训工作，提升基层人员业务素质</w:t>
      </w:r>
    </w:p>
    <w:p w14:paraId="2B5C47A8" w14:textId="77777777" w:rsidR="00000000" w:rsidRDefault="00763D17">
      <w:pPr>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202</w:t>
      </w:r>
      <w:r>
        <w:rPr>
          <w:rFonts w:ascii="仿宋_GB2312" w:eastAsia="仿宋_GB2312" w:hint="eastAsia"/>
          <w:sz w:val="32"/>
          <w:szCs w:val="32"/>
        </w:rPr>
        <w:t>3</w:t>
      </w:r>
      <w:r>
        <w:rPr>
          <w:rFonts w:ascii="仿宋_GB2312" w:eastAsia="仿宋_GB2312" w:hint="eastAsia"/>
          <w:sz w:val="32"/>
          <w:szCs w:val="32"/>
        </w:rPr>
        <w:t>年，对师团财务人员进行了部门决算的业务培训，提高基层业务水平，为做好</w:t>
      </w:r>
      <w:r>
        <w:rPr>
          <w:rFonts w:ascii="仿宋_GB2312" w:eastAsia="仿宋_GB2312" w:hint="eastAsia"/>
          <w:sz w:val="32"/>
          <w:szCs w:val="32"/>
        </w:rPr>
        <w:t>202</w:t>
      </w:r>
      <w:r>
        <w:rPr>
          <w:rFonts w:ascii="仿宋_GB2312" w:eastAsia="仿宋_GB2312" w:hint="eastAsia"/>
          <w:sz w:val="32"/>
          <w:szCs w:val="32"/>
        </w:rPr>
        <w:t>3</w:t>
      </w:r>
      <w:r>
        <w:rPr>
          <w:rFonts w:ascii="仿宋_GB2312" w:eastAsia="仿宋_GB2312" w:hint="eastAsia"/>
          <w:sz w:val="32"/>
          <w:szCs w:val="32"/>
        </w:rPr>
        <w:t>年部门决算工作打下坚实基础。</w:t>
      </w:r>
    </w:p>
    <w:p w14:paraId="0E35AF55" w14:textId="77777777" w:rsidR="00000000" w:rsidRDefault="00763D17">
      <w:pPr>
        <w:snapToGrid w:val="0"/>
        <w:spacing w:line="58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介绍本地区本年度部门决算组织、编审工作，以及上一年度决算批复、公开、分析评价、数据利用等工作开展情况，突出创新举措。</w:t>
      </w:r>
    </w:p>
    <w:p w14:paraId="3C94054E" w14:textId="77777777" w:rsidR="00000000" w:rsidRDefault="00763D17">
      <w:pPr>
        <w:numPr>
          <w:ilvl w:val="0"/>
          <w:numId w:val="7"/>
        </w:num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t>本地区部门决算工作下一步计划。</w:t>
      </w:r>
    </w:p>
    <w:p w14:paraId="159C485F"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1.</w:t>
      </w:r>
      <w:r>
        <w:rPr>
          <w:rFonts w:ascii="楷体_GB2312" w:eastAsia="楷体_GB2312" w:hAnsi="楷体_GB2312" w:cs="楷体_GB2312" w:hint="eastAsia"/>
          <w:b/>
          <w:bCs/>
          <w:sz w:val="32"/>
          <w:szCs w:val="32"/>
        </w:rPr>
        <w:t>全面加强预算管理</w:t>
      </w:r>
    </w:p>
    <w:p w14:paraId="27911F7B" w14:textId="77777777" w:rsidR="00000000" w:rsidRDefault="00763D17">
      <w:pPr>
        <w:tabs>
          <w:tab w:val="left" w:pos="3717"/>
        </w:tabs>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一是进一步细化和规范预算编制，按照“一个部门一本预算”的要求，全面，准确反应各部门收支情况。二是加强预算执行管理，规范各部门、各单位的预算执行</w:t>
      </w:r>
      <w:r>
        <w:rPr>
          <w:rFonts w:ascii="仿宋_GB2312" w:eastAsia="仿宋_GB2312" w:hAnsi="仿宋_GB2312" w:cs="仿宋_GB2312" w:hint="eastAsia"/>
          <w:sz w:val="32"/>
          <w:szCs w:val="32"/>
        </w:rPr>
        <w:t>行为，落实支出责任，加快财政支出预算执行进度，提高财政资金使用效益。三是推进预算绩效管理。研究建立全方位、全过程、全覆盖的预算绩效管理体系，提高财政资源配置效率和使用效益，做到“花钱必问效、无效必问责”，防止财政资金损失浪费，大幅提升预算管理水平和财政政策实施效果。四是</w:t>
      </w:r>
      <w:r>
        <w:rPr>
          <w:rFonts w:ascii="仿宋_GB2312" w:eastAsia="仿宋_GB2312" w:hAnsi="仿宋_GB2312" w:cs="仿宋_GB2312" w:hint="eastAsia"/>
          <w:sz w:val="32"/>
          <w:szCs w:val="32"/>
        </w:rPr>
        <w:t>加强决算批复</w:t>
      </w:r>
      <w:r>
        <w:rPr>
          <w:rFonts w:ascii="仿宋_GB2312" w:eastAsia="仿宋_GB2312" w:hAnsi="仿宋_GB2312" w:cs="仿宋_GB2312" w:hint="eastAsia"/>
          <w:sz w:val="32"/>
          <w:szCs w:val="32"/>
        </w:rPr>
        <w:t>公开</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，提高信息公开质量，接受群众监督。</w:t>
      </w:r>
    </w:p>
    <w:p w14:paraId="057189A7"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2.</w:t>
      </w:r>
      <w:r>
        <w:rPr>
          <w:rFonts w:ascii="楷体_GB2312" w:eastAsia="楷体_GB2312" w:hAnsi="楷体_GB2312" w:cs="楷体_GB2312" w:hint="eastAsia"/>
          <w:b/>
          <w:bCs/>
          <w:sz w:val="32"/>
          <w:szCs w:val="32"/>
        </w:rPr>
        <w:t>加强预算管理一体化建设</w:t>
      </w:r>
    </w:p>
    <w:p w14:paraId="6FBA8895" w14:textId="77777777" w:rsidR="00000000" w:rsidRDefault="00763D17">
      <w:pPr>
        <w:tabs>
          <w:tab w:val="left" w:pos="3717"/>
        </w:tabs>
        <w:spacing w:line="560" w:lineRule="exact"/>
        <w:ind w:firstLineChars="200" w:firstLine="640"/>
        <w:rPr>
          <w:rFonts w:hint="eastAsia"/>
        </w:rPr>
      </w:pPr>
      <w:r>
        <w:rPr>
          <w:rFonts w:ascii="仿宋_GB2312" w:eastAsia="仿宋_GB2312" w:hint="eastAsia"/>
          <w:sz w:val="32"/>
          <w:szCs w:val="32"/>
        </w:rPr>
        <w:t>一是</w:t>
      </w:r>
      <w:r>
        <w:rPr>
          <w:rFonts w:ascii="仿宋_GB2312" w:eastAsia="仿宋_GB2312" w:hint="eastAsia"/>
          <w:sz w:val="32"/>
          <w:szCs w:val="32"/>
        </w:rPr>
        <w:t>加强师团两级预算管理一体化的应用，特别是预算执行中单位会计核算基础工作，为实现一体化平台部门决算直接取数生成报表做好准备工作</w:t>
      </w:r>
      <w:r>
        <w:rPr>
          <w:rFonts w:ascii="仿宋_GB2312" w:eastAsia="仿宋_GB2312" w:hint="eastAsia"/>
          <w:sz w:val="32"/>
          <w:szCs w:val="32"/>
        </w:rPr>
        <w:t>；二是细化部门预算编制，进一步</w:t>
      </w:r>
      <w:r>
        <w:rPr>
          <w:rFonts w:ascii="仿宋_GB2312" w:eastAsia="仿宋_GB2312" w:hint="eastAsia"/>
          <w:sz w:val="32"/>
          <w:szCs w:val="32"/>
        </w:rPr>
        <w:t>规范师本级部门预算编制管理，完善预算基本支出定额标准体系</w:t>
      </w:r>
      <w:r>
        <w:rPr>
          <w:rFonts w:ascii="仿宋_GB2312" w:eastAsia="仿宋_GB2312" w:hAnsi="仿宋_GB2312" w:cs="仿宋_GB2312" w:hint="eastAsia"/>
          <w:sz w:val="32"/>
          <w:szCs w:val="32"/>
        </w:rPr>
        <w:t>。</w:t>
      </w:r>
    </w:p>
    <w:p w14:paraId="6216AFD1" w14:textId="77777777" w:rsidR="00000000" w:rsidRDefault="00763D17">
      <w:pPr>
        <w:snapToGrid w:val="0"/>
        <w:spacing w:line="580" w:lineRule="exact"/>
        <w:ind w:firstLineChars="200" w:firstLine="643"/>
        <w:rPr>
          <w:rFonts w:ascii="楷体_GB2312" w:eastAsia="楷体_GB2312" w:hAnsi="仿宋" w:hint="eastAsia"/>
          <w:b/>
          <w:sz w:val="32"/>
          <w:szCs w:val="32"/>
        </w:rPr>
      </w:pPr>
      <w:r>
        <w:rPr>
          <w:rFonts w:ascii="楷体_GB2312" w:eastAsia="楷体_GB2312" w:hAnsi="仿宋" w:hint="eastAsia"/>
          <w:b/>
          <w:sz w:val="32"/>
          <w:szCs w:val="32"/>
        </w:rPr>
        <w:lastRenderedPageBreak/>
        <w:t>（三）对部门决算管理工作的意见和建议。</w:t>
      </w:r>
    </w:p>
    <w:p w14:paraId="1B63D027"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 xml:space="preserve">  1.</w:t>
      </w:r>
      <w:r>
        <w:rPr>
          <w:rFonts w:ascii="楷体_GB2312" w:eastAsia="楷体_GB2312" w:hAnsi="楷体_GB2312" w:cs="楷体_GB2312" w:hint="eastAsia"/>
          <w:b/>
          <w:bCs/>
          <w:sz w:val="32"/>
          <w:szCs w:val="32"/>
        </w:rPr>
        <w:t>存在的问题</w:t>
      </w:r>
    </w:p>
    <w:p w14:paraId="5F3518DF" w14:textId="77777777" w:rsidR="00000000" w:rsidRDefault="00763D17">
      <w:pPr>
        <w:spacing w:line="560" w:lineRule="exact"/>
        <w:ind w:firstLineChars="200" w:firstLine="640"/>
        <w:rPr>
          <w:rFonts w:ascii="仿宋_GB2312" w:eastAsia="仿宋_GB2312"/>
          <w:sz w:val="32"/>
          <w:szCs w:val="32"/>
        </w:rPr>
      </w:pPr>
      <w:r>
        <w:rPr>
          <w:rFonts w:ascii="仿宋_GB2312" w:eastAsia="仿宋_GB2312" w:hint="eastAsia"/>
          <w:bCs/>
          <w:sz w:val="32"/>
          <w:szCs w:val="32"/>
        </w:rPr>
        <w:t>一是年度预算中，追加调整预算项目较多，造成预算执行差异率较大；二是年度预算中上级项目资金到位时间较晚，影响项目的组织实施，导致预算执行率较低；三是在专项预算执行中，有上级主管部门实行统一采购的，在单位收到资金文件核算时，货物不能及时到达，造成有资金无实物，无法进行固定资产明细核算，致使账实不相符，同时，也形成项目资金年末结转和结余。四是部门</w:t>
      </w:r>
      <w:r>
        <w:rPr>
          <w:rFonts w:ascii="仿宋_GB2312" w:eastAsia="仿宋_GB2312" w:hint="eastAsia"/>
          <w:sz w:val="32"/>
          <w:szCs w:val="32"/>
        </w:rPr>
        <w:t>决算工作信息化水平有待于提高，目前年度部门决算编报</w:t>
      </w:r>
      <w:r>
        <w:rPr>
          <w:rFonts w:ascii="仿宋_GB2312" w:eastAsia="仿宋_GB2312" w:hint="eastAsia"/>
          <w:sz w:val="32"/>
          <w:szCs w:val="32"/>
        </w:rPr>
        <w:t>工作主要为人工填报，耗时耗力，工作效率较低。</w:t>
      </w:r>
    </w:p>
    <w:p w14:paraId="1307FF67" w14:textId="77777777" w:rsidR="00000000" w:rsidRDefault="00763D17">
      <w:pPr>
        <w:snapToGrid w:val="0"/>
        <w:spacing w:line="560" w:lineRule="exact"/>
        <w:ind w:firstLineChars="200" w:firstLine="64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2.</w:t>
      </w:r>
      <w:r>
        <w:rPr>
          <w:rFonts w:ascii="楷体_GB2312" w:eastAsia="楷体_GB2312" w:hAnsi="楷体_GB2312" w:cs="楷体_GB2312" w:hint="eastAsia"/>
          <w:b/>
          <w:bCs/>
          <w:sz w:val="32"/>
          <w:szCs w:val="32"/>
        </w:rPr>
        <w:t>建议</w:t>
      </w:r>
    </w:p>
    <w:p w14:paraId="34DDC479" w14:textId="77777777" w:rsidR="00000000" w:rsidRDefault="00763D17">
      <w:pPr>
        <w:spacing w:line="560" w:lineRule="exact"/>
        <w:ind w:leftChars="76" w:left="160" w:firstLineChars="150" w:firstLine="480"/>
        <w:rPr>
          <w:rFonts w:ascii="仿宋_GB2312" w:eastAsia="仿宋_GB2312" w:hAnsi="仿宋" w:cs="仿宋"/>
          <w:color w:val="000000"/>
          <w:sz w:val="32"/>
          <w:szCs w:val="32"/>
        </w:rPr>
      </w:pPr>
      <w:r>
        <w:rPr>
          <w:rFonts w:ascii="仿宋_GB2312" w:eastAsia="仿宋_GB2312" w:hint="eastAsia"/>
          <w:b/>
          <w:sz w:val="32"/>
          <w:szCs w:val="32"/>
        </w:rPr>
        <w:t>一是</w:t>
      </w:r>
      <w:r>
        <w:rPr>
          <w:rFonts w:ascii="仿宋_GB2312" w:eastAsia="仿宋_GB2312" w:hint="eastAsia"/>
          <w:sz w:val="32"/>
          <w:szCs w:val="32"/>
        </w:rPr>
        <w:t>提高年初项目资金到位率，促进预算编制的精准率。</w:t>
      </w:r>
      <w:r>
        <w:rPr>
          <w:rFonts w:ascii="仿宋_GB2312" w:eastAsia="仿宋_GB2312" w:hint="eastAsia"/>
          <w:b/>
          <w:sz w:val="32"/>
          <w:szCs w:val="32"/>
        </w:rPr>
        <w:t>二是</w:t>
      </w:r>
      <w:r>
        <w:rPr>
          <w:rFonts w:ascii="仿宋_GB2312" w:eastAsia="仿宋_GB2312" w:hint="eastAsia"/>
          <w:sz w:val="32"/>
          <w:szCs w:val="32"/>
        </w:rPr>
        <w:t>提高上级部门统一采购水平，达到资金与实物基本同步，真正做到帐实、帐表相符，确保国有资产的安全。</w:t>
      </w:r>
      <w:r>
        <w:rPr>
          <w:rFonts w:ascii="仿宋_GB2312" w:eastAsia="仿宋_GB2312" w:hint="eastAsia"/>
          <w:b/>
          <w:sz w:val="32"/>
          <w:szCs w:val="32"/>
        </w:rPr>
        <w:t>三是</w:t>
      </w:r>
      <w:r>
        <w:rPr>
          <w:rFonts w:ascii="仿宋_GB2312" w:eastAsia="仿宋_GB2312" w:hint="eastAsia"/>
          <w:sz w:val="32"/>
          <w:szCs w:val="32"/>
        </w:rPr>
        <w:t>提升部门决算工作信息化水平，提高编报质量和效率。在今后的部门决算工作中，推进决算审核信息化建设，在符合相关保密规定的要求下，搭建部门决算网络管理系统，涵盖部门决算数据收集、审核、汇总、查询、分析等工作，提高部门决算工作效率和质量。</w:t>
      </w:r>
    </w:p>
    <w:p w14:paraId="3AC71652" w14:textId="77777777" w:rsidR="00000000" w:rsidRDefault="00763D17">
      <w:pPr>
        <w:ind w:firstLine="709"/>
        <w:rPr>
          <w:rFonts w:ascii="仿宋_GB2312" w:eastAsia="仿宋_GB2312" w:hAnsi="仿宋" w:cs="仿宋"/>
          <w:color w:val="000000"/>
          <w:sz w:val="32"/>
          <w:szCs w:val="32"/>
        </w:rPr>
      </w:pPr>
      <w:r>
        <w:rPr>
          <w:rFonts w:ascii="仿宋_GB2312" w:eastAsia="仿宋_GB2312" w:hAnsi="仿宋" w:cs="仿宋"/>
          <w:color w:val="000000"/>
          <w:sz w:val="32"/>
          <w:szCs w:val="32"/>
        </w:rPr>
        <w:t>1</w:t>
      </w:r>
      <w:r>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自行增加的审核公式和模板，请说明设置依据。</w:t>
      </w:r>
    </w:p>
    <w:p w14:paraId="02B022C2" w14:textId="77777777" w:rsidR="00000000" w:rsidRDefault="00763D17">
      <w:pPr>
        <w:ind w:firstLine="709"/>
        <w:rPr>
          <w:rFonts w:ascii="仿宋_GB2312" w:eastAsia="仿宋_GB2312" w:hAnsi="仿宋" w:hint="eastAsia"/>
          <w:color w:val="000000"/>
          <w:sz w:val="32"/>
          <w:szCs w:val="32"/>
        </w:rPr>
      </w:pPr>
      <w:r>
        <w:rPr>
          <w:rFonts w:ascii="仿宋_GB2312" w:eastAsia="仿宋_GB2312" w:hAnsi="仿宋" w:cs="仿宋" w:hint="eastAsia"/>
          <w:color w:val="000000"/>
          <w:sz w:val="32"/>
          <w:szCs w:val="32"/>
        </w:rPr>
        <w:t>2.</w:t>
      </w:r>
      <w:r>
        <w:rPr>
          <w:rFonts w:ascii="仿宋_GB2312" w:eastAsia="仿宋_GB2312" w:hAnsi="仿宋" w:cs="仿宋" w:hint="eastAsia"/>
          <w:color w:val="000000"/>
          <w:sz w:val="32"/>
          <w:szCs w:val="32"/>
        </w:rPr>
        <w:t>对</w:t>
      </w:r>
      <w:r>
        <w:rPr>
          <w:rFonts w:ascii="仿宋_GB2312" w:eastAsia="仿宋_GB2312" w:hAnsi="仿宋" w:cs="仿宋"/>
          <w:color w:val="000000"/>
          <w:sz w:val="32"/>
          <w:szCs w:val="32"/>
        </w:rPr>
        <w:t>部门决算</w:t>
      </w:r>
      <w:r>
        <w:rPr>
          <w:rFonts w:ascii="仿宋_GB2312" w:eastAsia="仿宋_GB2312" w:hAnsi="仿宋" w:cs="仿宋" w:hint="eastAsia"/>
          <w:color w:val="000000"/>
          <w:sz w:val="32"/>
          <w:szCs w:val="32"/>
        </w:rPr>
        <w:t>报表修订</w:t>
      </w:r>
      <w:r>
        <w:rPr>
          <w:rFonts w:ascii="仿宋_GB2312" w:eastAsia="仿宋_GB2312" w:hAnsi="仿宋" w:cs="仿宋"/>
          <w:color w:val="000000"/>
          <w:sz w:val="32"/>
          <w:szCs w:val="32"/>
        </w:rPr>
        <w:t>设</w:t>
      </w:r>
      <w:r>
        <w:rPr>
          <w:rFonts w:ascii="仿宋_GB2312" w:eastAsia="仿宋_GB2312" w:hAnsi="仿宋" w:cs="仿宋"/>
          <w:color w:val="000000"/>
          <w:sz w:val="32"/>
          <w:szCs w:val="32"/>
        </w:rPr>
        <w:t>计</w:t>
      </w:r>
      <w:r>
        <w:rPr>
          <w:rFonts w:ascii="仿宋_GB2312" w:eastAsia="仿宋_GB2312" w:hAnsi="仿宋" w:cs="仿宋" w:hint="eastAsia"/>
          <w:color w:val="000000"/>
          <w:sz w:val="32"/>
          <w:szCs w:val="32"/>
        </w:rPr>
        <w:t>的</w:t>
      </w:r>
      <w:r>
        <w:rPr>
          <w:rFonts w:ascii="仿宋_GB2312" w:eastAsia="仿宋_GB2312" w:hAnsi="仿宋" w:cs="仿宋"/>
          <w:color w:val="000000"/>
          <w:sz w:val="32"/>
          <w:szCs w:val="32"/>
        </w:rPr>
        <w:t>意见和建议，包括</w:t>
      </w:r>
      <w:r>
        <w:rPr>
          <w:rFonts w:ascii="仿宋_GB2312" w:eastAsia="仿宋_GB2312" w:hAnsi="仿宋" w:cs="仿宋" w:hint="eastAsia"/>
          <w:color w:val="000000"/>
          <w:sz w:val="32"/>
          <w:szCs w:val="32"/>
        </w:rPr>
        <w:t>表样</w:t>
      </w:r>
      <w:r>
        <w:rPr>
          <w:rFonts w:ascii="仿宋_GB2312" w:eastAsia="仿宋_GB2312" w:hAnsi="仿宋" w:cs="仿宋"/>
          <w:color w:val="000000"/>
          <w:sz w:val="32"/>
          <w:szCs w:val="32"/>
        </w:rPr>
        <w:t>、</w:t>
      </w:r>
      <w:r>
        <w:rPr>
          <w:rFonts w:ascii="仿宋_GB2312" w:eastAsia="仿宋_GB2312" w:hAnsi="仿宋" w:cs="仿宋" w:hint="eastAsia"/>
          <w:color w:val="000000"/>
          <w:sz w:val="32"/>
          <w:szCs w:val="32"/>
        </w:rPr>
        <w:t>指标设置、软件</w:t>
      </w:r>
      <w:r>
        <w:rPr>
          <w:rFonts w:ascii="仿宋_GB2312" w:eastAsia="仿宋_GB2312" w:hAnsi="仿宋" w:cs="仿宋"/>
          <w:color w:val="000000"/>
          <w:sz w:val="32"/>
          <w:szCs w:val="32"/>
        </w:rPr>
        <w:t>、</w:t>
      </w:r>
      <w:r>
        <w:rPr>
          <w:rFonts w:ascii="仿宋_GB2312" w:eastAsia="仿宋_GB2312" w:hAnsi="仿宋" w:cs="仿宋" w:hint="eastAsia"/>
          <w:color w:val="000000"/>
          <w:sz w:val="32"/>
          <w:szCs w:val="32"/>
        </w:rPr>
        <w:t>审核公式、模板和</w:t>
      </w:r>
      <w:r>
        <w:rPr>
          <w:rFonts w:ascii="仿宋_GB2312" w:eastAsia="仿宋_GB2312" w:hAnsi="仿宋" w:cs="仿宋"/>
          <w:color w:val="000000"/>
          <w:sz w:val="32"/>
          <w:szCs w:val="32"/>
        </w:rPr>
        <w:t>编</w:t>
      </w:r>
      <w:r>
        <w:rPr>
          <w:rFonts w:ascii="仿宋_GB2312" w:eastAsia="仿宋_GB2312" w:hAnsi="仿宋" w:cs="仿宋" w:hint="eastAsia"/>
          <w:color w:val="000000"/>
          <w:sz w:val="32"/>
          <w:szCs w:val="32"/>
        </w:rPr>
        <w:t>审</w:t>
      </w:r>
      <w:r>
        <w:rPr>
          <w:rFonts w:ascii="仿宋_GB2312" w:eastAsia="仿宋_GB2312" w:hAnsi="仿宋" w:cs="仿宋"/>
          <w:color w:val="000000"/>
          <w:sz w:val="32"/>
          <w:szCs w:val="32"/>
        </w:rPr>
        <w:t>问答</w:t>
      </w:r>
      <w:r>
        <w:rPr>
          <w:rFonts w:ascii="仿宋_GB2312" w:eastAsia="仿宋_GB2312" w:hAnsi="仿宋" w:cs="仿宋" w:hint="eastAsia"/>
          <w:color w:val="000000"/>
          <w:sz w:val="32"/>
          <w:szCs w:val="32"/>
        </w:rPr>
        <w:t>等，请列出并说明修改意见。</w:t>
      </w:r>
    </w:p>
    <w:p w14:paraId="3A320D39" w14:textId="77777777" w:rsidR="00000000" w:rsidRDefault="00763D17">
      <w:pPr>
        <w:snapToGrid w:val="0"/>
        <w:spacing w:line="580" w:lineRule="exact"/>
        <w:ind w:firstLineChars="200" w:firstLine="640"/>
        <w:rPr>
          <w:rFonts w:ascii="楷体_GB2312" w:eastAsia="楷体_GB2312" w:hAnsi="仿宋" w:hint="eastAsia"/>
          <w:b/>
          <w:sz w:val="32"/>
          <w:szCs w:val="32"/>
        </w:rPr>
      </w:pPr>
      <w:r>
        <w:rPr>
          <w:rFonts w:ascii="仿宋_GB2312" w:eastAsia="仿宋_GB2312" w:hAnsi="仿宋" w:cs="仿宋" w:hint="eastAsia"/>
          <w:color w:val="000000"/>
          <w:sz w:val="32"/>
          <w:szCs w:val="32"/>
        </w:rPr>
        <w:t>3.</w:t>
      </w:r>
      <w:r>
        <w:rPr>
          <w:rFonts w:ascii="仿宋_GB2312" w:eastAsia="仿宋_GB2312" w:hAnsi="仿宋" w:cs="仿宋" w:hint="eastAsia"/>
          <w:color w:val="000000"/>
          <w:sz w:val="32"/>
          <w:szCs w:val="32"/>
        </w:rPr>
        <w:t>对部门决算其他管理</w:t>
      </w:r>
      <w:r>
        <w:rPr>
          <w:rFonts w:ascii="仿宋_GB2312" w:eastAsia="仿宋_GB2312" w:hAnsi="仿宋" w:cs="仿宋"/>
          <w:color w:val="000000"/>
          <w:sz w:val="32"/>
          <w:szCs w:val="32"/>
        </w:rPr>
        <w:t>工作</w:t>
      </w:r>
      <w:r>
        <w:rPr>
          <w:rFonts w:ascii="仿宋_GB2312" w:eastAsia="仿宋_GB2312" w:hAnsi="仿宋" w:cs="仿宋" w:hint="eastAsia"/>
          <w:color w:val="000000"/>
          <w:sz w:val="32"/>
          <w:szCs w:val="32"/>
        </w:rPr>
        <w:t>的建议。例如对加强部门决算数据分析利用工作、部门决算信息化建设等建议。</w:t>
      </w:r>
    </w:p>
    <w:p w14:paraId="2D3205A6" w14:textId="77777777" w:rsidR="00763D17" w:rsidRDefault="00763D17">
      <w:pPr>
        <w:snapToGrid w:val="0"/>
        <w:spacing w:line="580" w:lineRule="exact"/>
        <w:ind w:firstLineChars="200" w:firstLine="643"/>
        <w:rPr>
          <w:rFonts w:ascii="楷体_GB2312" w:eastAsia="楷体_GB2312" w:hAnsi="仿宋" w:hint="eastAsia"/>
          <w:b/>
          <w:sz w:val="32"/>
          <w:szCs w:val="32"/>
        </w:rPr>
      </w:pPr>
    </w:p>
    <w:sectPr w:rsidR="00763D17">
      <w:footerReference w:type="default" r:id="rId23"/>
      <w:pgSz w:w="23757" w:h="16783" w:orient="landscape"/>
      <w:pgMar w:top="1800" w:right="1440" w:bottom="1800" w:left="1440" w:header="851" w:footer="992" w:gutter="0"/>
      <w:pgNumType w:start="1"/>
      <w:cols w:num="2" w:space="425" w:equalWidth="0">
        <w:col w:w="10226" w:space="425"/>
        <w:col w:w="1022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9040" w14:textId="77777777" w:rsidR="00763D17" w:rsidRDefault="00763D17">
      <w:r>
        <w:separator/>
      </w:r>
    </w:p>
  </w:endnote>
  <w:endnote w:type="continuationSeparator" w:id="0">
    <w:p w14:paraId="4DA441E0" w14:textId="77777777" w:rsidR="00763D17" w:rsidRDefault="0076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方正楷体_GBK">
    <w:altName w:val="微软雅黑"/>
    <w:charset w:val="86"/>
    <w:family w:val="script"/>
    <w:pitch w:val="default"/>
    <w:sig w:usb0="00000001" w:usb1="0800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BAAC" w14:textId="77777777" w:rsidR="00000000" w:rsidRDefault="00763D17">
    <w:pPr>
      <w:pStyle w:val="a6"/>
      <w:jc w:val="both"/>
      <w:rPr>
        <w:rFonts w:ascii="Arial" w:hAnsi="Arial" w:cs="Arial"/>
        <w:sz w:val="24"/>
        <w:szCs w:val="24"/>
      </w:rPr>
    </w:pPr>
  </w:p>
  <w:p w14:paraId="10A81E8C" w14:textId="77777777" w:rsidR="00000000" w:rsidRDefault="00763D17">
    <w:pPr>
      <w:pStyle w:val="a6"/>
      <w:jc w:val="both"/>
      <w:rPr>
        <w:rFonts w:ascii="Arial" w:hAnsi="Arial" w:cs="Arial"/>
        <w:sz w:val="24"/>
        <w:szCs w:val="24"/>
      </w:rPr>
    </w:pPr>
  </w:p>
  <w:p w14:paraId="1CA88DF8" w14:textId="77777777" w:rsidR="00000000" w:rsidRDefault="00763D1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59B2" w14:textId="77777777" w:rsidR="00000000" w:rsidRDefault="00763D17">
    <w:pPr>
      <w:pStyle w:val="a6"/>
      <w:jc w:val="both"/>
      <w:rPr>
        <w:rFonts w:ascii="Arial" w:hAnsi="Arial" w:cs="Arial"/>
        <w:sz w:val="24"/>
        <w:szCs w:val="24"/>
      </w:rPr>
    </w:pPr>
  </w:p>
  <w:p w14:paraId="4BE6B00B" w14:textId="5ACDB6A3" w:rsidR="00000000" w:rsidRDefault="00B852E1">
    <w:pPr>
      <w:pStyle w:val="a6"/>
      <w:jc w:val="both"/>
      <w:rPr>
        <w:rFonts w:ascii="Arial" w:hAnsi="Arial" w:cs="Arial"/>
        <w:sz w:val="24"/>
        <w:szCs w:val="24"/>
      </w:rPr>
    </w:pPr>
    <w:r>
      <w:rPr>
        <w:noProof/>
        <w:sz w:val="24"/>
      </w:rPr>
      <mc:AlternateContent>
        <mc:Choice Requires="wps">
          <w:drawing>
            <wp:anchor distT="0" distB="0" distL="114300" distR="114300" simplePos="0" relativeHeight="251657728" behindDoc="0" locked="0" layoutInCell="1" allowOverlap="1" wp14:anchorId="3E5957DE" wp14:editId="67EBC411">
              <wp:simplePos x="0" y="0"/>
              <wp:positionH relativeFrom="margin">
                <wp:align>center</wp:align>
              </wp:positionH>
              <wp:positionV relativeFrom="paragraph">
                <wp:posOffset>0</wp:posOffset>
              </wp:positionV>
              <wp:extent cx="85090" cy="17526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048CBB97" w14:textId="77777777" w:rsidR="00000000" w:rsidRDefault="00763D17">
                          <w:pPr>
                            <w:pStyle w:val="a6"/>
                            <w:jc w:val="cente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lang w:val="zh-CN"/>
                            </w:rPr>
                            <w:t>2</w:t>
                          </w:r>
                          <w:r>
                            <w:rPr>
                              <w:rFonts w:ascii="Arial" w:hAnsi="Arial" w:cs="Arial"/>
                              <w:sz w:val="24"/>
                              <w:szCs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5957DE" id="_x0000_t202" coordsize="21600,21600" o:spt="202" path="m,l,21600r21600,l21600,xe">
              <v:stroke joinstyle="miter"/>
              <v:path gradientshapeok="t" o:connecttype="rect"/>
            </v:shapetype>
            <v:shape id="文本框 2" o:spid="_x0000_s1026" type="#_x0000_t202" style="position:absolute;left:0;text-align:left;margin-left:0;margin-top:0;width:6.7pt;height:13.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yvS9AEAALMDAAAOAAAAZHJzL2Uyb0RvYy54bWysU0tu2zAQ3RfoHQjua8kGkqaC5SBN4KJA&#10;+gHSHICmKImoyCGGtCX3AO0Nuuom+57L5+iQspy03RXdEKOZ4eObN0/Ly8F0bKfQa7Aln89yzpSV&#10;UGnblPz+0/rFBWc+CFuJDqwq+V55frl6/mzZu0ItoIWuUsgIxPqidyVvQ3BFlnnZKiP8DJyyVKwB&#10;jQj0iU1WoegJ3XTZIs/Psx6wcghSeU/Zm7HIVwm/rpUMH+raq8C6khO3kE5M5yae2WopigaFa7U8&#10;0hD/wMIIbenRE9SNCIJtUf8FZbRE8FCHmQSTQV1rqdIMNM08/2Oau1Y4lWYhcbw7yeT/H6x8v/uI&#10;TFe0O86sMLSiw/dvhx8/Dw9f2SLK0ztfUNedo74wvIYhtsZRvbsF+dkzC9etsI26QoS+VaIievN4&#10;M3tydcTxEWTTv4OK3hHbAAloqNFEQFKDETqtaX9ajRoCk5S8OMtfUUFSZf7ybHGeNpeJYrrr0Ic3&#10;CgyLQcmRFp+wxe7Wh8hFFFNLfMrCWnddWn5nf0tQY8wk7pHuSDwMm+GoxQaqPU2BMHqJvE9BC/iF&#10;s558VHJLRuese2tJh2i5KcAp2EyBsJIuljxwNobXYbTm1qFuWsKdlL4irdY6DRJFHTkcWZIz0nxH&#10;F0frPf1OXY//2uoXAAAA//8DAFBLAwQUAAYACAAAACEAC9mi7twAAAADAQAADwAAAGRycy9kb3du&#10;cmV2LnhtbEyPS0/DMBCE70j8B2uRuFStQ6n6CNlUgNQbSH0gcXXjbZISryPbTQO/HpcLvaw0mtHM&#10;t9myN43oyPnaMsLDKAFBXFhdc4nwsVsN5yB8UKxVY5kQvsnDMr+9yVSq7Zk31G1DKWIJ+1QhVCG0&#10;qZS+qMgoP7ItcfQO1hkVonSl1E6dY7lp5DhJptKomuNCpVp6raj42p4MwufbD9Fm/jIYdJPj0SWr&#10;xbqQ74j3d/3zE4hAffgPwwU/okMemfb2xNqLBiE+Ev7uxXucgNgjjGdTkHkmr9nzXwAAAP//AwBQ&#10;SwECLQAUAAYACAAAACEAtoM4kv4AAADhAQAAEwAAAAAAAAAAAAAAAAAAAAAAW0NvbnRlbnRfVHlw&#10;ZXNdLnhtbFBLAQItABQABgAIAAAAIQA4/SH/1gAAAJQBAAALAAAAAAAAAAAAAAAAAC8BAABfcmVs&#10;cy8ucmVsc1BLAQItABQABgAIAAAAIQA0hyvS9AEAALMDAAAOAAAAAAAAAAAAAAAAAC4CAABkcnMv&#10;ZTJvRG9jLnhtbFBLAQItABQABgAIAAAAIQAL2aLu3AAAAAMBAAAPAAAAAAAAAAAAAAAAAE4EAABk&#10;cnMvZG93bnJldi54bWxQSwUGAAAAAAQABADzAAAAVwUAAAAA&#10;" filled="f" stroked="f" strokeweight="1.25pt">
              <v:textbox style="mso-fit-shape-to-text:t" inset="0,0,0,0">
                <w:txbxContent>
                  <w:p w14:paraId="048CBB97" w14:textId="77777777" w:rsidR="00000000" w:rsidRDefault="00763D17">
                    <w:pPr>
                      <w:pStyle w:val="a6"/>
                      <w:jc w:val="cente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lang w:val="zh-CN"/>
                      </w:rPr>
                      <w:t>2</w:t>
                    </w:r>
                    <w:r>
                      <w:rPr>
                        <w:rFonts w:ascii="Arial" w:hAnsi="Arial" w:cs="Arial"/>
                        <w:sz w:val="24"/>
                        <w:szCs w:val="24"/>
                      </w:rPr>
                      <w:fldChar w:fldCharType="end"/>
                    </w:r>
                  </w:p>
                </w:txbxContent>
              </v:textbox>
              <w10:wrap anchorx="margin"/>
            </v:shape>
          </w:pict>
        </mc:Fallback>
      </mc:AlternateContent>
    </w:r>
  </w:p>
  <w:p w14:paraId="6BFC808B" w14:textId="77777777" w:rsidR="00000000" w:rsidRDefault="00763D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68B" w14:textId="77777777" w:rsidR="00763D17" w:rsidRDefault="00763D17">
      <w:r>
        <w:separator/>
      </w:r>
    </w:p>
  </w:footnote>
  <w:footnote w:type="continuationSeparator" w:id="0">
    <w:p w14:paraId="3DEA63A7" w14:textId="77777777" w:rsidR="00763D17" w:rsidRDefault="00763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A435C8"/>
    <w:multiLevelType w:val="singleLevel"/>
    <w:tmpl w:val="C4A435C8"/>
    <w:lvl w:ilvl="0">
      <w:start w:val="1"/>
      <w:numFmt w:val="decimal"/>
      <w:suff w:val="nothing"/>
      <w:lvlText w:val="%1．"/>
      <w:lvlJc w:val="left"/>
    </w:lvl>
  </w:abstractNum>
  <w:abstractNum w:abstractNumId="1" w15:restartNumberingAfterBreak="0">
    <w:nsid w:val="FBEB1BA1"/>
    <w:multiLevelType w:val="singleLevel"/>
    <w:tmpl w:val="FBEB1BA1"/>
    <w:lvl w:ilvl="0">
      <w:start w:val="2"/>
      <w:numFmt w:val="chineseCounting"/>
      <w:suff w:val="nothing"/>
      <w:lvlText w:val="（%1）"/>
      <w:lvlJc w:val="left"/>
      <w:rPr>
        <w:rFonts w:hint="eastAsia"/>
      </w:rPr>
    </w:lvl>
  </w:abstractNum>
  <w:abstractNum w:abstractNumId="2" w15:restartNumberingAfterBreak="0">
    <w:nsid w:val="016140D4"/>
    <w:multiLevelType w:val="singleLevel"/>
    <w:tmpl w:val="016140D4"/>
    <w:lvl w:ilvl="0">
      <w:start w:val="1"/>
      <w:numFmt w:val="decimal"/>
      <w:suff w:val="nothing"/>
      <w:lvlText w:val="（%1）"/>
      <w:lvlJc w:val="left"/>
    </w:lvl>
  </w:abstractNum>
  <w:abstractNum w:abstractNumId="3" w15:restartNumberingAfterBreak="0">
    <w:nsid w:val="2112F8FC"/>
    <w:multiLevelType w:val="singleLevel"/>
    <w:tmpl w:val="2112F8FC"/>
    <w:lvl w:ilvl="0">
      <w:start w:val="1"/>
      <w:numFmt w:val="decimal"/>
      <w:lvlText w:val="%1."/>
      <w:lvlJc w:val="left"/>
      <w:pPr>
        <w:tabs>
          <w:tab w:val="num" w:pos="2040"/>
        </w:tabs>
        <w:ind w:left="2040" w:hanging="360"/>
      </w:pPr>
    </w:lvl>
  </w:abstractNum>
  <w:abstractNum w:abstractNumId="4" w15:restartNumberingAfterBreak="0">
    <w:nsid w:val="59614CD1"/>
    <w:multiLevelType w:val="singleLevel"/>
    <w:tmpl w:val="59614CD1"/>
    <w:lvl w:ilvl="0">
      <w:start w:val="4"/>
      <w:numFmt w:val="decimal"/>
      <w:suff w:val="nothing"/>
      <w:lvlText w:val="%1．"/>
      <w:lvlJc w:val="left"/>
    </w:lvl>
  </w:abstractNum>
  <w:abstractNum w:abstractNumId="5" w15:restartNumberingAfterBreak="0">
    <w:nsid w:val="78ED41F8"/>
    <w:multiLevelType w:val="singleLevel"/>
    <w:tmpl w:val="78ED41F8"/>
    <w:lvl w:ilvl="0">
      <w:start w:val="4"/>
      <w:numFmt w:val="chineseCounting"/>
      <w:suff w:val="nothing"/>
      <w:lvlText w:val="%1、"/>
      <w:lvlJc w:val="left"/>
      <w:rPr>
        <w:rFonts w:hint="eastAsia"/>
      </w:rPr>
    </w:lvl>
  </w:abstractNum>
  <w:abstractNum w:abstractNumId="6" w15:restartNumberingAfterBreak="0">
    <w:nsid w:val="7C46CE41"/>
    <w:multiLevelType w:val="singleLevel"/>
    <w:tmpl w:val="7C46CE41"/>
    <w:lvl w:ilvl="0">
      <w:start w:val="2"/>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k2NmE1YWFhMDVlNzI4ZmY0ZmI5YTI5NTA5NTlmNGEifQ=="/>
  </w:docVars>
  <w:rsids>
    <w:rsidRoot w:val="00172A27"/>
    <w:rsid w:val="000051D4"/>
    <w:rsid w:val="000377EC"/>
    <w:rsid w:val="00037845"/>
    <w:rsid w:val="00081A5B"/>
    <w:rsid w:val="000A0EDE"/>
    <w:rsid w:val="000A5534"/>
    <w:rsid w:val="000B27DA"/>
    <w:rsid w:val="000E0EC0"/>
    <w:rsid w:val="00131036"/>
    <w:rsid w:val="00145C95"/>
    <w:rsid w:val="00161874"/>
    <w:rsid w:val="00166A89"/>
    <w:rsid w:val="00175CDB"/>
    <w:rsid w:val="001E134A"/>
    <w:rsid w:val="00202474"/>
    <w:rsid w:val="00206199"/>
    <w:rsid w:val="00233ED0"/>
    <w:rsid w:val="00246A33"/>
    <w:rsid w:val="002502E4"/>
    <w:rsid w:val="002A3302"/>
    <w:rsid w:val="0030100A"/>
    <w:rsid w:val="003D7C27"/>
    <w:rsid w:val="004018B3"/>
    <w:rsid w:val="0040564C"/>
    <w:rsid w:val="00411C6E"/>
    <w:rsid w:val="004135C7"/>
    <w:rsid w:val="004309E1"/>
    <w:rsid w:val="00432AE9"/>
    <w:rsid w:val="0045411D"/>
    <w:rsid w:val="00454FF5"/>
    <w:rsid w:val="00480B8C"/>
    <w:rsid w:val="00494D0D"/>
    <w:rsid w:val="004B244A"/>
    <w:rsid w:val="0050018F"/>
    <w:rsid w:val="005018AD"/>
    <w:rsid w:val="0050233C"/>
    <w:rsid w:val="0051677A"/>
    <w:rsid w:val="005229FF"/>
    <w:rsid w:val="005905E3"/>
    <w:rsid w:val="00593490"/>
    <w:rsid w:val="005A471D"/>
    <w:rsid w:val="005A73D9"/>
    <w:rsid w:val="006213ED"/>
    <w:rsid w:val="00622E61"/>
    <w:rsid w:val="00637597"/>
    <w:rsid w:val="00666A4D"/>
    <w:rsid w:val="00693A57"/>
    <w:rsid w:val="006A7F10"/>
    <w:rsid w:val="006D5B50"/>
    <w:rsid w:val="006E401C"/>
    <w:rsid w:val="00717A88"/>
    <w:rsid w:val="007601B9"/>
    <w:rsid w:val="00760ACE"/>
    <w:rsid w:val="00763D17"/>
    <w:rsid w:val="007A4A3A"/>
    <w:rsid w:val="008311EA"/>
    <w:rsid w:val="00833359"/>
    <w:rsid w:val="00837254"/>
    <w:rsid w:val="00866640"/>
    <w:rsid w:val="00890B95"/>
    <w:rsid w:val="0089469E"/>
    <w:rsid w:val="008B70BC"/>
    <w:rsid w:val="008D1070"/>
    <w:rsid w:val="00935B95"/>
    <w:rsid w:val="00936CDD"/>
    <w:rsid w:val="009375CC"/>
    <w:rsid w:val="00951165"/>
    <w:rsid w:val="00951D9D"/>
    <w:rsid w:val="00955352"/>
    <w:rsid w:val="009B2A0E"/>
    <w:rsid w:val="009C03E7"/>
    <w:rsid w:val="009C11D6"/>
    <w:rsid w:val="009C4FBC"/>
    <w:rsid w:val="009E7D5C"/>
    <w:rsid w:val="00A72703"/>
    <w:rsid w:val="00A83488"/>
    <w:rsid w:val="00A8373A"/>
    <w:rsid w:val="00AB5BB5"/>
    <w:rsid w:val="00AD0F49"/>
    <w:rsid w:val="00AD2FF5"/>
    <w:rsid w:val="00B82D39"/>
    <w:rsid w:val="00B852E1"/>
    <w:rsid w:val="00BA0B1B"/>
    <w:rsid w:val="00BC2067"/>
    <w:rsid w:val="00BD299E"/>
    <w:rsid w:val="00CA283E"/>
    <w:rsid w:val="00CB34DF"/>
    <w:rsid w:val="00D34CD9"/>
    <w:rsid w:val="00D45651"/>
    <w:rsid w:val="00D53F7E"/>
    <w:rsid w:val="00D70970"/>
    <w:rsid w:val="00D945FE"/>
    <w:rsid w:val="00DA5A94"/>
    <w:rsid w:val="00DD78BB"/>
    <w:rsid w:val="00E068EB"/>
    <w:rsid w:val="00E148CF"/>
    <w:rsid w:val="00E256F9"/>
    <w:rsid w:val="00ED258B"/>
    <w:rsid w:val="00ED69D3"/>
    <w:rsid w:val="00EF20E5"/>
    <w:rsid w:val="00F25143"/>
    <w:rsid w:val="00F41D69"/>
    <w:rsid w:val="00F9579B"/>
    <w:rsid w:val="00FB0C3B"/>
    <w:rsid w:val="00FC475F"/>
    <w:rsid w:val="00FC5678"/>
    <w:rsid w:val="01192C1F"/>
    <w:rsid w:val="019A016E"/>
    <w:rsid w:val="02D768EE"/>
    <w:rsid w:val="02DA7D7D"/>
    <w:rsid w:val="05CF5FA2"/>
    <w:rsid w:val="06E460DC"/>
    <w:rsid w:val="081F6CFA"/>
    <w:rsid w:val="085A5F96"/>
    <w:rsid w:val="088766C0"/>
    <w:rsid w:val="08CF213A"/>
    <w:rsid w:val="0A5A52BC"/>
    <w:rsid w:val="0AAE37E7"/>
    <w:rsid w:val="0BFF0552"/>
    <w:rsid w:val="0C2B3807"/>
    <w:rsid w:val="0E1F565F"/>
    <w:rsid w:val="0E916D37"/>
    <w:rsid w:val="1096613D"/>
    <w:rsid w:val="125A2D01"/>
    <w:rsid w:val="13854F8C"/>
    <w:rsid w:val="13E43E49"/>
    <w:rsid w:val="141F5DAD"/>
    <w:rsid w:val="14C60571"/>
    <w:rsid w:val="14ED6AAE"/>
    <w:rsid w:val="15A85EC8"/>
    <w:rsid w:val="1737768C"/>
    <w:rsid w:val="17EF4F62"/>
    <w:rsid w:val="192C05FD"/>
    <w:rsid w:val="193734AF"/>
    <w:rsid w:val="19687E48"/>
    <w:rsid w:val="1BFC644E"/>
    <w:rsid w:val="1CF64B50"/>
    <w:rsid w:val="206E53F5"/>
    <w:rsid w:val="21ED54EE"/>
    <w:rsid w:val="23843A6E"/>
    <w:rsid w:val="247F3A91"/>
    <w:rsid w:val="25662F27"/>
    <w:rsid w:val="298B376D"/>
    <w:rsid w:val="2A751451"/>
    <w:rsid w:val="2D9C7740"/>
    <w:rsid w:val="2E267B1B"/>
    <w:rsid w:val="2EA3373A"/>
    <w:rsid w:val="2F550D53"/>
    <w:rsid w:val="2FC42CA5"/>
    <w:rsid w:val="31456F95"/>
    <w:rsid w:val="332B3CDC"/>
    <w:rsid w:val="370C5E5F"/>
    <w:rsid w:val="397523E2"/>
    <w:rsid w:val="3A1C460B"/>
    <w:rsid w:val="3A9E3272"/>
    <w:rsid w:val="3C2937F6"/>
    <w:rsid w:val="3C982B87"/>
    <w:rsid w:val="3E2116EB"/>
    <w:rsid w:val="3EAB15D6"/>
    <w:rsid w:val="401F30A7"/>
    <w:rsid w:val="40C112F7"/>
    <w:rsid w:val="421D3616"/>
    <w:rsid w:val="429513FF"/>
    <w:rsid w:val="42C11F85"/>
    <w:rsid w:val="42C81C47"/>
    <w:rsid w:val="42C84E43"/>
    <w:rsid w:val="42D04AAF"/>
    <w:rsid w:val="469D2B56"/>
    <w:rsid w:val="475DAC3C"/>
    <w:rsid w:val="48CD7D22"/>
    <w:rsid w:val="491D541B"/>
    <w:rsid w:val="494412F3"/>
    <w:rsid w:val="49E87FE1"/>
    <w:rsid w:val="4B5D6437"/>
    <w:rsid w:val="4B722135"/>
    <w:rsid w:val="4BA10E14"/>
    <w:rsid w:val="4D12155E"/>
    <w:rsid w:val="4F41369C"/>
    <w:rsid w:val="4F890BED"/>
    <w:rsid w:val="51326F09"/>
    <w:rsid w:val="533C5197"/>
    <w:rsid w:val="547B6244"/>
    <w:rsid w:val="55683928"/>
    <w:rsid w:val="579B2BBB"/>
    <w:rsid w:val="59F33315"/>
    <w:rsid w:val="5D5C4906"/>
    <w:rsid w:val="5E954808"/>
    <w:rsid w:val="5E99131E"/>
    <w:rsid w:val="636B725A"/>
    <w:rsid w:val="63A54FAF"/>
    <w:rsid w:val="64B66C7D"/>
    <w:rsid w:val="64E41000"/>
    <w:rsid w:val="65393A14"/>
    <w:rsid w:val="66E40A76"/>
    <w:rsid w:val="68DD37C4"/>
    <w:rsid w:val="6C0F54CE"/>
    <w:rsid w:val="6D2504B0"/>
    <w:rsid w:val="6DBE53FE"/>
    <w:rsid w:val="6E706593"/>
    <w:rsid w:val="701557A9"/>
    <w:rsid w:val="713943EF"/>
    <w:rsid w:val="713E6586"/>
    <w:rsid w:val="72526C14"/>
    <w:rsid w:val="72C311D3"/>
    <w:rsid w:val="72CC236B"/>
    <w:rsid w:val="75F80B48"/>
    <w:rsid w:val="768C432F"/>
    <w:rsid w:val="76B91362"/>
    <w:rsid w:val="78941235"/>
    <w:rsid w:val="78F178AB"/>
    <w:rsid w:val="7A2146E5"/>
    <w:rsid w:val="7A337B3F"/>
    <w:rsid w:val="7AFB559C"/>
    <w:rsid w:val="7B56460C"/>
    <w:rsid w:val="7D065CE1"/>
    <w:rsid w:val="7D252DA4"/>
    <w:rsid w:val="7D4E745B"/>
    <w:rsid w:val="7DAC18C8"/>
    <w:rsid w:val="7E6516D5"/>
    <w:rsid w:val="FC9F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5909714"/>
  <w15:chartTrackingRefBased/>
  <w15:docId w15:val="{549E8D12-C6EC-45BB-93B6-1591B650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uiPriority="99"/>
    <w:lsdException w:name="caption" w:semiHidden="1" w:unhideWhenUsed="1" w:qFormat="1"/>
    <w:lsdException w:name="Title" w:qFormat="1"/>
    <w:lsdException w:name="Default Paragraph Font" w:semiHidden="1"/>
    <w:lsdException w:name="Body Text Indent" w:uiPriority="99" w:qFormat="1"/>
    <w:lsdException w:name="Subtitle" w:qFormat="1"/>
    <w:lsdException w:name="Body Text First Indent 2" w:uiPriority="99" w:qFormat="1"/>
    <w:lsdException w:name="Strong" w:qFormat="1"/>
    <w:lsdException w:name="Emphasis" w:qFormat="1"/>
    <w:lsdException w:name="Plain Text" w:unhideWhenUsed="1"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next w:val="a4"/>
    <w:uiPriority w:val="99"/>
    <w:qFormat/>
    <w:pPr>
      <w:ind w:firstLineChars="262" w:firstLine="420"/>
    </w:pPr>
    <w:rPr>
      <w:b/>
      <w:bCs/>
      <w:szCs w:val="21"/>
    </w:rPr>
  </w:style>
  <w:style w:type="paragraph" w:styleId="a3">
    <w:name w:val="Body Text Indent"/>
    <w:basedOn w:val="a"/>
    <w:next w:val="a"/>
    <w:uiPriority w:val="99"/>
    <w:qFormat/>
    <w:pPr>
      <w:ind w:leftChars="200" w:left="420"/>
    </w:pPr>
  </w:style>
  <w:style w:type="paragraph" w:styleId="a4">
    <w:name w:val="Plain Text"/>
    <w:basedOn w:val="a"/>
    <w:next w:val="5"/>
    <w:unhideWhenUsed/>
    <w:qFormat/>
    <w:rPr>
      <w:rFonts w:ascii="宋体" w:hAnsi="Courier New" w:cs="Courier New"/>
      <w:szCs w:val="21"/>
    </w:rPr>
  </w:style>
  <w:style w:type="paragraph" w:styleId="5">
    <w:name w:val="List Number 5"/>
    <w:basedOn w:val="a"/>
    <w:pPr>
      <w:numPr>
        <w:numId w:val="1"/>
      </w:numPr>
      <w:tabs>
        <w:tab w:val="left" w:pos="2040"/>
      </w:tabs>
    </w:pPr>
  </w:style>
  <w:style w:type="paragraph" w:styleId="a5">
    <w:name w:val="Balloon Text"/>
    <w:basedOn w:val="a"/>
    <w:semiHidden/>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link w:val="a6"/>
    <w:uiPriority w:val="99"/>
    <w:rPr>
      <w:kern w:val="2"/>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 w:type="paragraph" w:styleId="TOC1">
    <w:name w:val="toc 1"/>
    <w:basedOn w:val="a"/>
    <w:next w:val="a"/>
    <w:uiPriority w:val="39"/>
    <w:qFormat/>
    <w:pPr>
      <w:spacing w:line="560" w:lineRule="exact"/>
    </w:pPr>
    <w:rPr>
      <w:rFonts w:eastAsia="仿宋"/>
      <w:sz w:val="24"/>
    </w:rPr>
  </w:style>
  <w:style w:type="paragraph" w:styleId="TOC2">
    <w:name w:val="toc 2"/>
    <w:basedOn w:val="a"/>
    <w:next w:val="a"/>
    <w:uiPriority w:val="39"/>
    <w:qFormat/>
    <w:pPr>
      <w:spacing w:line="560" w:lineRule="exact"/>
      <w:ind w:leftChars="200" w:left="200"/>
    </w:pPr>
    <w:rPr>
      <w:rFonts w:eastAsia="仿宋"/>
      <w:sz w:val="24"/>
    </w:rPr>
  </w:style>
  <w:style w:type="paragraph" w:styleId="aa">
    <w:name w:val="Normal (Web)"/>
    <w:basedOn w:val="a"/>
    <w:uiPriority w:val="99"/>
    <w:qFormat/>
    <w:pPr>
      <w:spacing w:before="100" w:beforeAutospacing="1" w:after="100" w:afterAutospacing="1"/>
      <w:jc w:val="left"/>
    </w:pPr>
    <w:rPr>
      <w:kern w:val="0"/>
      <w:sz w:val="24"/>
    </w:rPr>
  </w:style>
  <w:style w:type="character" w:styleId="ab">
    <w:name w:val="Hyperlink"/>
    <w:rPr>
      <w:color w:val="0000FF"/>
      <w:u w:val="single"/>
    </w:rPr>
  </w:style>
  <w:style w:type="character" w:customStyle="1" w:styleId="font61">
    <w:name w:val="font61"/>
    <w:basedOn w:val="a0"/>
    <w:rPr>
      <w:rFonts w:ascii="宋体" w:eastAsia="宋体" w:hAnsi="宋体" w:cs="宋体" w:hint="eastAsia"/>
      <w:i w:val="0"/>
      <w:iCs w:val="0"/>
      <w:color w:val="000000"/>
      <w:sz w:val="24"/>
      <w:szCs w:val="24"/>
      <w:u w:val="none"/>
    </w:rPr>
  </w:style>
  <w:style w:type="character" w:customStyle="1" w:styleId="font11">
    <w:name w:val="font11"/>
    <w:basedOn w:val="a0"/>
    <w:rPr>
      <w:rFonts w:ascii="宋体" w:eastAsia="宋体" w:hAnsi="宋体" w:cs="宋体" w:hint="eastAsia"/>
      <w:i w:val="0"/>
      <w:iCs w:val="0"/>
      <w:color w:val="000000"/>
      <w:sz w:val="24"/>
      <w:szCs w:val="24"/>
      <w:u w:val="none"/>
    </w:rPr>
  </w:style>
  <w:style w:type="character" w:customStyle="1" w:styleId="font01">
    <w:name w:val="font01"/>
    <w:basedOn w:val="a0"/>
    <w:rPr>
      <w:rFonts w:ascii="宋体" w:eastAsia="宋体" w:hAnsi="宋体" w:cs="宋体" w:hint="eastAsia"/>
      <w:i w:val="0"/>
      <w:iCs w:val="0"/>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024&#24180;\2023&#24180;&#20998;&#26512;&#25253;&#21578;\&#22270;&#34920;.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D:\2024&#24180;\2023&#24180;&#20998;&#26512;&#25253;&#21578;\&#22270;&#34920;.xlsx" TargetMode="External"/><Relationship Id="rId1" Type="http://schemas.openxmlformats.org/officeDocument/2006/relationships/themeOverride" Target="../theme/themeOverride7.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D:\2024&#24180;\2023&#24180;&#20998;&#26512;&#25253;&#21578;\&#22270;&#34920;.xlsx" TargetMode="External"/></Relationships>
</file>

<file path=word/charts/_rels/chart12.xml.rels><?xml version="1.0" encoding="UTF-8" standalone="yes"?>
<Relationships xmlns="http://schemas.openxmlformats.org/package/2006/relationships"><Relationship Id="rId2" Type="http://schemas.openxmlformats.org/officeDocument/2006/relationships/oleObject" Target="file:///D:\2024&#24180;\2023&#24180;&#20998;&#26512;&#25253;&#21578;\&#22270;&#34920;.xlsx" TargetMode="External"/><Relationship Id="rId1" Type="http://schemas.openxmlformats.org/officeDocument/2006/relationships/themeOverride" Target="../theme/themeOverride9.xml"/></Relationships>
</file>

<file path=word/charts/_rels/chart13.xml.rels><?xml version="1.0" encoding="UTF-8" standalone="yes"?>
<Relationships xmlns="http://schemas.openxmlformats.org/package/2006/relationships"><Relationship Id="rId2" Type="http://schemas.openxmlformats.org/officeDocument/2006/relationships/oleObject" Target="file:///D:\2024&#24180;\2023&#24180;&#20998;&#26512;&#25253;&#21578;\&#22270;&#34920;.xlsx" TargetMode="External"/><Relationship Id="rId1" Type="http://schemas.openxmlformats.org/officeDocument/2006/relationships/themeOverride" Target="../theme/themeOverride10.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2024&#24180;\2023&#24180;&#20998;&#26512;&#25253;&#21578;\&#22270;&#34920;.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D:\2024&#24180;\2023&#24180;&#20998;&#26512;&#25253;&#21578;\&#22270;&#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2024&#24180;\2023&#24180;&#20998;&#26512;&#25253;&#21578;\&#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024&#24180;\2023&#24180;&#20998;&#26512;&#25253;&#21578;\&#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024&#24180;\2023&#24180;&#20998;&#26512;&#25253;&#21578;\&#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D:\2024&#24180;\2023&#24180;&#20998;&#26512;&#25253;&#21578;\&#22270;&#34920;.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D:\2024&#24180;\2023&#24180;&#20998;&#26512;&#25253;&#21578;\&#22270;&#34920;.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D:\2024&#24180;\2023&#24180;&#20998;&#26512;&#25253;&#21578;\&#22270;&#34920;.xlsx" TargetMode="External"/><Relationship Id="rId1" Type="http://schemas.openxmlformats.org/officeDocument/2006/relationships/themeOverride" Target="../theme/themeOverride5.xml"/></Relationships>
</file>

<file path=word/charts/_rels/chart9.xml.rels><?xml version="1.0" encoding="UTF-8" standalone="yes"?>
<Relationships xmlns="http://schemas.openxmlformats.org/package/2006/relationships"><Relationship Id="rId2" Type="http://schemas.openxmlformats.org/officeDocument/2006/relationships/oleObject" Target="file:///D:\2024&#24180;\2023&#24180;&#20998;&#26512;&#25253;&#21578;\&#22270;&#34920;.xlsx"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zh-CN" altLang="en-US"/>
              <a:t>部门收入支出结转上下年对比情况表</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manualLayout>
          <c:layoutTarget val="inner"/>
          <c:xMode val="edge"/>
          <c:yMode val="edge"/>
          <c:x val="0.202446059766932"/>
          <c:y val="0.18030303030302999"/>
          <c:w val="0.83665789473684204"/>
          <c:h val="0.66709656084656099"/>
        </c:manualLayout>
      </c:layout>
      <c:barChart>
        <c:barDir val="col"/>
        <c:grouping val="stacked"/>
        <c:varyColors val="0"/>
        <c:ser>
          <c:idx val="0"/>
          <c:order val="0"/>
          <c:tx>
            <c:strRef>
              <c:f>"本年收入"</c:f>
              <c:strCache>
                <c:ptCount val="1"/>
                <c:pt idx="0">
                  <c:v>本年收入</c:v>
                </c:pt>
              </c:strCache>
            </c:strRef>
          </c:tx>
          <c:spPr>
            <a:gradFill>
              <a:gsLst>
                <a:gs pos="100000">
                  <a:srgbClr val="4874CB"/>
                </a:gs>
                <a:gs pos="0">
                  <a:srgbClr val="4874CB">
                    <a:hueOff val="-1670000"/>
                  </a:srgbClr>
                </a:gs>
              </a:gsLst>
              <a:lin ang="5400000" scaled="0"/>
            </a:gradFill>
            <a:ln>
              <a:gradFill>
                <a:gsLst>
                  <a:gs pos="100000">
                    <a:srgbClr val="4874CB">
                      <a:lumMod val="75000"/>
                    </a:srgbClr>
                  </a:gs>
                  <a:gs pos="0">
                    <a:srgbClr val="4874CB">
                      <a:lumMod val="75000"/>
                      <a:hueOff val="-1670000"/>
                    </a:srgbClr>
                  </a:gs>
                </a:gsLst>
                <a:lin ang="5280000" scaled="0"/>
              </a:gradFill>
            </a:ln>
            <a:effectLst/>
          </c:spPr>
          <c:invertIfNegative val="0"/>
          <c:dLbls>
            <c:dLbl>
              <c:idx val="1"/>
              <c:layout>
                <c:manualLayout>
                  <c:x val="-4.1536863966770499E-3"/>
                  <c:y val="-0.14772727272727301"/>
                </c:manualLayout>
              </c:layout>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F7E-44D0-9988-4EF2F00F4C9F}"/>
                </c:ext>
              </c:extLst>
            </c:dLbl>
            <c:dLbl>
              <c:idx val="3"/>
              <c:layout>
                <c:manualLayout>
                  <c:x val="0"/>
                  <c:y val="-0.120454545454545"/>
                </c:manualLayout>
              </c:layout>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F7E-44D0-9988-4EF2F00F4C9F}"/>
                </c:ext>
              </c:extLst>
            </c:dLbl>
            <c:dLbl>
              <c:idx val="4"/>
              <c:layout>
                <c:manualLayout>
                  <c:x val="5.2613361024575998E-2"/>
                  <c:y val="-0.111363636363636"/>
                </c:manualLayout>
              </c:layout>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F7E-44D0-9988-4EF2F00F4C9F}"/>
                </c:ext>
              </c:extLst>
            </c:dLbl>
            <c:dLbl>
              <c:idx val="5"/>
              <c:layout>
                <c:manualLayout>
                  <c:x val="-1.38456213222568E-3"/>
                  <c:y val="-0.118181818181818"/>
                </c:manualLayout>
              </c:layout>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F7E-44D0-9988-4EF2F00F4C9F}"/>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ysClr val="windowText" lastClr="000000">
                          <a:lumMod val="35000"/>
                          <a:lumOff val="65000"/>
                        </a:sysClr>
                      </a:solidFill>
                    </a:ln>
                    <a:effectLst/>
                  </c:spPr>
                </c15:leaderLines>
              </c:ext>
            </c:extLst>
          </c:dLbls>
          <c:cat>
            <c:strRef>
              <c:f>[图表.xlsx]Sheet2!$B$4:$B$9</c:f>
              <c:strCache>
                <c:ptCount val="6"/>
                <c:pt idx="0">
                  <c:v>本年收入与上年收入</c:v>
                </c:pt>
                <c:pt idx="1">
                  <c:v>比上年下降</c:v>
                </c:pt>
                <c:pt idx="2">
                  <c:v>本年支出与上年支出</c:v>
                </c:pt>
                <c:pt idx="3">
                  <c:v>比上年下降</c:v>
                </c:pt>
                <c:pt idx="4">
                  <c:v>本年结转与上年结转</c:v>
                </c:pt>
                <c:pt idx="5">
                  <c:v>比上年增长</c:v>
                </c:pt>
              </c:strCache>
            </c:strRef>
          </c:cat>
          <c:val>
            <c:numRef>
              <c:f>[图表.xlsx]Sheet2!$C$4:$C$9</c:f>
              <c:numCache>
                <c:formatCode>0.00%</c:formatCode>
                <c:ptCount val="6"/>
                <c:pt idx="0" formatCode="General">
                  <c:v>472731.06</c:v>
                </c:pt>
                <c:pt idx="1">
                  <c:v>3.8800000000000001E-2</c:v>
                </c:pt>
                <c:pt idx="2" formatCode="General">
                  <c:v>470542.12</c:v>
                </c:pt>
                <c:pt idx="3">
                  <c:v>4.7199999999999999E-2</c:v>
                </c:pt>
                <c:pt idx="4" formatCode="General">
                  <c:v>3810.7</c:v>
                </c:pt>
                <c:pt idx="5">
                  <c:v>1.3573999999999999</c:v>
                </c:pt>
              </c:numCache>
            </c:numRef>
          </c:val>
          <c:extLst>
            <c:ext xmlns:c16="http://schemas.microsoft.com/office/drawing/2014/chart" uri="{C3380CC4-5D6E-409C-BE32-E72D297353CC}">
              <c16:uniqueId val="{00000004-AF7E-44D0-9988-4EF2F00F4C9F}"/>
            </c:ext>
          </c:extLst>
        </c:ser>
        <c:ser>
          <c:idx val="2"/>
          <c:order val="2"/>
          <c:tx>
            <c:strRef>
              <c:f>"上年收入"</c:f>
              <c:strCache>
                <c:ptCount val="1"/>
                <c:pt idx="0">
                  <c:v>上年收入</c:v>
                </c:pt>
              </c:strCache>
            </c:strRef>
          </c:tx>
          <c:spPr>
            <a:gradFill flip="none" rotWithShape="1">
              <a:gsLst>
                <a:gs pos="100000">
                  <a:srgbClr val="F2BA02"/>
                </a:gs>
                <a:gs pos="0">
                  <a:srgbClr val="F2BA02"/>
                </a:gs>
              </a:gsLst>
              <a:lin ang="5400000" scaled="0"/>
            </a:gradFill>
            <a:ln>
              <a:gradFill>
                <a:gsLst>
                  <a:gs pos="100000">
                    <a:srgbClr val="F2BA02">
                      <a:lumMod val="75000"/>
                    </a:srgbClr>
                  </a:gs>
                  <a:gs pos="0">
                    <a:srgbClr val="F2BA02">
                      <a:lumMod val="75000"/>
                      <a:hueOff val="-1670000"/>
                    </a:srgbClr>
                  </a:gs>
                </a:gsLst>
                <a:lin ang="5280000" scaled="0"/>
              </a:gradFill>
            </a:ln>
            <a:effectLst>
              <a:outerShdw blurRad="50800" dir="6000000" algn="ctr" rotWithShape="0">
                <a:srgbClr val="000000">
                  <a:alpha val="43000"/>
                </a:srgbClr>
              </a:outerShdw>
            </a:effectLst>
          </c:spPr>
          <c:invertIfNegative val="0"/>
          <c:dLbls>
            <c:dLbl>
              <c:idx val="4"/>
              <c:layout>
                <c:manualLayout>
                  <c:x val="-4.1536863966770499E-3"/>
                  <c:y val="-0.19318181818181801"/>
                </c:manualLayout>
              </c:layout>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F7E-44D0-9988-4EF2F00F4C9F}"/>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ysClr val="windowText" lastClr="000000">
                          <a:lumMod val="35000"/>
                          <a:lumOff val="65000"/>
                        </a:sysClr>
                      </a:solidFill>
                    </a:ln>
                    <a:effectLst/>
                  </c:spPr>
                </c15:leaderLines>
              </c:ext>
            </c:extLst>
          </c:dLbls>
          <c:cat>
            <c:strRef>
              <c:f>[图表.xlsx]Sheet2!$B$4:$B$9</c:f>
              <c:strCache>
                <c:ptCount val="6"/>
                <c:pt idx="0">
                  <c:v>本年收入与上年收入</c:v>
                </c:pt>
                <c:pt idx="1">
                  <c:v>比上年下降</c:v>
                </c:pt>
                <c:pt idx="2">
                  <c:v>本年支出与上年支出</c:v>
                </c:pt>
                <c:pt idx="3">
                  <c:v>比上年下降</c:v>
                </c:pt>
                <c:pt idx="4">
                  <c:v>本年结转与上年结转</c:v>
                </c:pt>
                <c:pt idx="5">
                  <c:v>比上年增长</c:v>
                </c:pt>
              </c:strCache>
            </c:strRef>
          </c:cat>
          <c:val>
            <c:numRef>
              <c:f>[图表.xlsx]Sheet2!$E$4:$E$9</c:f>
              <c:numCache>
                <c:formatCode>General</c:formatCode>
                <c:ptCount val="6"/>
                <c:pt idx="0">
                  <c:v>491795.99</c:v>
                </c:pt>
                <c:pt idx="2">
                  <c:v>493874.7</c:v>
                </c:pt>
                <c:pt idx="4">
                  <c:v>1621.75</c:v>
                </c:pt>
              </c:numCache>
            </c:numRef>
          </c:val>
          <c:extLst>
            <c:ext xmlns:c16="http://schemas.microsoft.com/office/drawing/2014/chart" uri="{C3380CC4-5D6E-409C-BE32-E72D297353CC}">
              <c16:uniqueId val="{00000006-AF7E-44D0-9988-4EF2F00F4C9F}"/>
            </c:ext>
          </c:extLst>
        </c:ser>
        <c:dLbls>
          <c:showLegendKey val="0"/>
          <c:showVal val="1"/>
          <c:showCatName val="0"/>
          <c:showSerName val="0"/>
          <c:showPercent val="0"/>
          <c:showBubbleSize val="0"/>
        </c:dLbls>
        <c:gapWidth val="55"/>
        <c:overlap val="100"/>
        <c:axId val="469183102"/>
        <c:axId val="391024294"/>
        <c:extLst>
          <c:ext xmlns:c15="http://schemas.microsoft.com/office/drawing/2012/chart" uri="{02D57815-91ED-43cb-92C2-25804820EDAC}">
            <c15:filteredBarSeries>
              <c15:ser>
                <c:idx val="1"/>
                <c:order val="1"/>
                <c:spPr>
                  <a:gradFill>
                    <a:gsLst>
                      <a:gs pos="100000">
                        <a:srgbClr val="EE822F"/>
                      </a:gs>
                      <a:gs pos="0">
                        <a:srgbClr val="EE822F">
                          <a:hueOff val="-1670000"/>
                        </a:srgbClr>
                      </a:gs>
                    </a:gsLst>
                    <a:lin ang="5400000" scaled="0"/>
                  </a:gradFill>
                  <a:ln>
                    <a:gradFill>
                      <a:gsLst>
                        <a:gs pos="100000">
                          <a:srgbClr val="EE822F">
                            <a:lumMod val="75000"/>
                          </a:srgbClr>
                        </a:gs>
                        <a:gs pos="0">
                          <a:srgbClr val="EE822F">
                            <a:lumMod val="75000"/>
                            <a:hueOff val="-1670000"/>
                          </a:srgbClr>
                        </a:gs>
                      </a:gsLst>
                      <a:lin ang="5280000" scaled="0"/>
                    </a:grad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1"/>
                  <c:showCatName val="0"/>
                  <c:showSerName val="0"/>
                  <c:showPercent val="0"/>
                  <c:showBubbleSize val="0"/>
                  <c:showLeaderLines val="0"/>
                  <c:extLst>
                    <c:ext uri="{CE6537A1-D6FC-4f65-9D91-7224C49458BB}">
                      <c15:showLeaderLines val="1"/>
                      <c15:leaderLines>
                        <c:spPr>
                          <a:ln w="9525">
                            <a:solidFill>
                              <a:sysClr val="windowText" lastClr="000000">
                                <a:lumMod val="35000"/>
                                <a:lumOff val="65000"/>
                              </a:sysClr>
                            </a:solidFill>
                          </a:ln>
                          <a:effectLst/>
                        </c:spPr>
                      </c15:leaderLines>
                    </c:ext>
                  </c:extLst>
                </c:dLbls>
                <c:cat>
                  <c:strRef>
                    <c:extLst>
                      <c:ext uri="{02D57815-91ED-43cb-92C2-25804820EDAC}">
                        <c15:formulaRef>
                          <c15:sqref>[图表.xlsx]Sheet2!$B$4:$B$9</c15:sqref>
                        </c15:formulaRef>
                      </c:ext>
                    </c:extLst>
                    <c:strCache>
                      <c:ptCount val="6"/>
                      <c:pt idx="0">
                        <c:v>本年收入与上年收入</c:v>
                      </c:pt>
                      <c:pt idx="1">
                        <c:v>比上年下降</c:v>
                      </c:pt>
                      <c:pt idx="2">
                        <c:v>本年支出与上年支出</c:v>
                      </c:pt>
                      <c:pt idx="3">
                        <c:v>比上年下降</c:v>
                      </c:pt>
                      <c:pt idx="4">
                        <c:v>本年结转与上年结转</c:v>
                      </c:pt>
                      <c:pt idx="5">
                        <c:v>比上年增长</c:v>
                      </c:pt>
                    </c:strCache>
                  </c:strRef>
                </c:cat>
                <c:val>
                  <c:numRef>
                    <c:extLst>
                      <c:ext uri="{02D57815-91ED-43cb-92C2-25804820EDAC}">
                        <c15:formulaRef>
                          <c15:sqref>{0,#N/A,0,#N/A,0,#N/A}</c15:sqref>
                        </c15:formulaRef>
                      </c:ext>
                    </c:extLst>
                    <c:numCache>
                      <c:formatCode>General</c:formatCode>
                      <c:ptCount val="6"/>
                      <c:pt idx="0">
                        <c:v>0</c:v>
                      </c:pt>
                      <c:pt idx="2">
                        <c:v>0</c:v>
                      </c:pt>
                      <c:pt idx="4">
                        <c:v>0</c:v>
                      </c:pt>
                    </c:numCache>
                  </c:numRef>
                </c:val>
                <c:extLst>
                  <c:ext xmlns:c16="http://schemas.microsoft.com/office/drawing/2014/chart" uri="{C3380CC4-5D6E-409C-BE32-E72D297353CC}">
                    <c16:uniqueId val="{00000007-AF7E-44D0-9988-4EF2F00F4C9F}"/>
                  </c:ext>
                </c:extLst>
              </c15:ser>
            </c15:filteredBarSeries>
          </c:ext>
        </c:extLst>
      </c:barChart>
      <c:catAx>
        <c:axId val="469183102"/>
        <c:scaling>
          <c:orientation val="minMax"/>
        </c:scaling>
        <c:delete val="0"/>
        <c:axPos val="b"/>
        <c:numFmt formatCode="General" sourceLinked="0"/>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391024294"/>
        <c:crosses val="autoZero"/>
        <c:auto val="1"/>
        <c:lblAlgn val="ctr"/>
        <c:lblOffset val="100"/>
        <c:noMultiLvlLbl val="0"/>
      </c:catAx>
      <c:valAx>
        <c:axId val="391024294"/>
        <c:scaling>
          <c:orientation val="minMax"/>
        </c:scaling>
        <c:delete val="0"/>
        <c:axPos val="l"/>
        <c:majorGridlines>
          <c:spPr>
            <a:ln w="9525" cap="flat" cmpd="sng" algn="ctr">
              <a:solidFill>
                <a:sysClr val="window" lastClr="FFFFFF">
                  <a:lumMod val="902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469183102"/>
        <c:crosses val="autoZero"/>
        <c:crossBetween val="between"/>
      </c:valAx>
      <c:dTable>
        <c:showHorzBorder val="1"/>
        <c:showVertBorder val="1"/>
        <c:showOutline val="1"/>
        <c:showKeys val="1"/>
        <c:spPr>
          <a:noFill/>
          <a:ln w="9525" cap="flat" cmpd="sng" algn="ctr">
            <a:solidFill>
              <a:sysClr val="windowText" lastClr="000000">
                <a:lumMod val="15000"/>
                <a:lumOff val="85000"/>
              </a:sysClr>
            </a:solidFill>
            <a:round/>
          </a:ln>
          <a:effectLst/>
        </c:spPr>
        <c:txPr>
          <a:bodyPr rot="0" spcFirstLastPara="0" vertOverflow="ellipsis" vert="horz" wrap="square" anchor="ctr" anchorCtr="1"/>
          <a:lstStyle/>
          <a:p>
            <a:pPr rtl="0">
              <a:defRPr lang="zh-CN" sz="900" b="0" i="0" u="none" strike="noStrike" kern="1200" baseline="0">
                <a:solidFill>
                  <a:sysClr val="windowText" lastClr="000000">
                    <a:lumMod val="65000"/>
                    <a:lumOff val="35000"/>
                  </a:sysClr>
                </a:solidFill>
                <a:latin typeface="+mn-lt"/>
                <a:ea typeface="+mn-ea"/>
                <a:cs typeface="+mn-cs"/>
              </a:defRPr>
            </a:pPr>
            <a:endParaRPr lang="zh-CN"/>
          </a:p>
        </c:txPr>
      </c:dTable>
      <c:spPr>
        <a:noFill/>
        <a:ln>
          <a:noFill/>
        </a:ln>
        <a:effectLst/>
      </c:spPr>
    </c:plotArea>
    <c:plotVisOnly val="1"/>
    <c:dispBlanksAs val="gap"/>
    <c:showDLblsOverMax val="0"/>
  </c:chart>
  <c:spPr>
    <a:solidFill>
      <a:sysClr val="window" lastClr="FFFFFF">
        <a:lumMod val="96000"/>
      </a:sysClr>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en-US" altLang="zh-CN"/>
              <a:t>2023</a:t>
            </a:r>
            <a:r>
              <a:rPr lang="zh-CN" altLang="en-US"/>
              <a:t>年按预算级次收入情况</a:t>
            </a:r>
          </a:p>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ltLang="en-US"/>
          </a:p>
        </c:rich>
      </c:tx>
      <c:overlay val="0"/>
      <c:spPr>
        <a:noFill/>
        <a:ln>
          <a:noFill/>
        </a:ln>
        <a:effectLst/>
      </c:spPr>
    </c:title>
    <c:autoTitleDeleted val="0"/>
    <c:plotArea>
      <c:layout/>
      <c:ofPieChart>
        <c:ofPieType val="bar"/>
        <c:varyColors val="1"/>
        <c:ser>
          <c:idx val="0"/>
          <c:order val="0"/>
          <c:dPt>
            <c:idx val="0"/>
            <c:bubble3D val="0"/>
            <c:spPr>
              <a:solidFill>
                <a:srgbClr val="4874CB"/>
              </a:solidFill>
              <a:ln w="9525">
                <a:solidFill>
                  <a:sysClr val="window" lastClr="FFFFFF"/>
                </a:solidFill>
              </a:ln>
              <a:effectLst/>
            </c:spPr>
            <c:extLst>
              <c:ext xmlns:c16="http://schemas.microsoft.com/office/drawing/2014/chart" uri="{C3380CC4-5D6E-409C-BE32-E72D297353CC}">
                <c16:uniqueId val="{00000001-B6CF-41FE-906C-01481EC745B4}"/>
              </c:ext>
            </c:extLst>
          </c:dPt>
          <c:dPt>
            <c:idx val="1"/>
            <c:bubble3D val="0"/>
            <c:spPr>
              <a:solidFill>
                <a:srgbClr val="EE822F"/>
              </a:solidFill>
              <a:ln w="9525">
                <a:solidFill>
                  <a:sysClr val="window" lastClr="FFFFFF"/>
                </a:solidFill>
              </a:ln>
              <a:effectLst/>
            </c:spPr>
            <c:extLst>
              <c:ext xmlns:c16="http://schemas.microsoft.com/office/drawing/2014/chart" uri="{C3380CC4-5D6E-409C-BE32-E72D297353CC}">
                <c16:uniqueId val="{00000003-B6CF-41FE-906C-01481EC745B4}"/>
              </c:ext>
            </c:extLst>
          </c:dPt>
          <c:dPt>
            <c:idx val="2"/>
            <c:bubble3D val="0"/>
            <c:spPr>
              <a:solidFill>
                <a:srgbClr val="F2BA02"/>
              </a:solidFill>
              <a:ln w="9525">
                <a:solidFill>
                  <a:sysClr val="window" lastClr="FFFFFF"/>
                </a:solidFill>
              </a:ln>
              <a:effectLst/>
            </c:spPr>
            <c:extLst>
              <c:ext xmlns:c16="http://schemas.microsoft.com/office/drawing/2014/chart" uri="{C3380CC4-5D6E-409C-BE32-E72D297353CC}">
                <c16:uniqueId val="{00000005-B6CF-41FE-906C-01481EC745B4}"/>
              </c:ext>
            </c:extLst>
          </c:dPt>
          <c:dPt>
            <c:idx val="3"/>
            <c:bubble3D val="0"/>
            <c:spPr>
              <a:solidFill>
                <a:srgbClr val="75BD42"/>
              </a:solidFill>
              <a:ln w="9525">
                <a:solidFill>
                  <a:sysClr val="window" lastClr="FFFFFF"/>
                </a:solidFill>
              </a:ln>
              <a:effectLst/>
            </c:spPr>
            <c:extLst>
              <c:ext xmlns:c16="http://schemas.microsoft.com/office/drawing/2014/chart" uri="{C3380CC4-5D6E-409C-BE32-E72D297353CC}">
                <c16:uniqueId val="{00000007-B6CF-41FE-906C-01481EC745B4}"/>
              </c:ext>
            </c:extLst>
          </c:dPt>
          <c:dLbls>
            <c:dLbl>
              <c:idx val="3"/>
              <c:delete val="1"/>
              <c:extLst>
                <c:ext xmlns:c15="http://schemas.microsoft.com/office/drawing/2012/chart" uri="{CE6537A1-D6FC-4f65-9D91-7224C49458BB}"/>
                <c:ext xmlns:c16="http://schemas.microsoft.com/office/drawing/2014/chart" uri="{C3380CC4-5D6E-409C-BE32-E72D297353CC}">
                  <c16:uniqueId val="{00000007-B6CF-41FE-906C-01481EC745B4}"/>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65000"/>
                        <a:lumOff val="35000"/>
                      </a:sysClr>
                    </a:solidFill>
                    <a:latin typeface="+mn-lt"/>
                    <a:ea typeface="+mn-ea"/>
                    <a:cs typeface="+mn-cs"/>
                  </a:defRPr>
                </a:pPr>
                <a:endParaRPr lang="zh-CN"/>
              </a:p>
            </c:txPr>
            <c:dLblPos val="bestFit"/>
            <c:showLegendKey val="0"/>
            <c:showVal val="1"/>
            <c:showCatName val="1"/>
            <c:showSerName val="0"/>
            <c:showPercent val="0"/>
            <c:showBubbleSize val="0"/>
            <c:showLeaderLines val="1"/>
            <c:leaderLines>
              <c:spPr>
                <a:ln w="9525" cap="flat" cmpd="sng" algn="ctr">
                  <a:solidFill>
                    <a:sysClr val="windowText" lastClr="000000">
                      <a:lumMod val="35000"/>
                      <a:lumOff val="65000"/>
                    </a:sysClr>
                  </a:solidFill>
                  <a:round/>
                </a:ln>
                <a:effectLst/>
              </c:spPr>
            </c:leaderLines>
            <c:extLst>
              <c:ext xmlns:c15="http://schemas.microsoft.com/office/drawing/2012/chart" uri="{CE6537A1-D6FC-4f65-9D91-7224C49458BB}"/>
            </c:extLst>
          </c:dLbls>
          <c:cat>
            <c:strRef>
              <c:f>[图表.xlsx]Sheet14!$C$7:$C$9</c:f>
              <c:strCache>
                <c:ptCount val="3"/>
                <c:pt idx="0">
                  <c:v>本年团场</c:v>
                </c:pt>
                <c:pt idx="1">
                  <c:v>上年团场</c:v>
                </c:pt>
                <c:pt idx="2">
                  <c:v>下降</c:v>
                </c:pt>
              </c:strCache>
            </c:strRef>
          </c:cat>
          <c:val>
            <c:numRef>
              <c:f>[图表.xlsx]Sheet14!$D$7:$D$9</c:f>
              <c:numCache>
                <c:formatCode>General</c:formatCode>
                <c:ptCount val="3"/>
                <c:pt idx="0">
                  <c:v>161491.18</c:v>
                </c:pt>
                <c:pt idx="1">
                  <c:v>200908.13</c:v>
                </c:pt>
                <c:pt idx="2" formatCode="0%">
                  <c:v>0.2</c:v>
                </c:pt>
              </c:numCache>
            </c:numRef>
          </c:val>
          <c:extLst>
            <c:ext xmlns:c16="http://schemas.microsoft.com/office/drawing/2014/chart" uri="{C3380CC4-5D6E-409C-BE32-E72D297353CC}">
              <c16:uniqueId val="{00000008-B6CF-41FE-906C-01481EC745B4}"/>
            </c:ext>
          </c:extLst>
        </c:ser>
        <c:dLbls>
          <c:showLegendKey val="0"/>
          <c:showVal val="0"/>
          <c:showCatName val="1"/>
          <c:showSerName val="0"/>
          <c:showPercent val="0"/>
          <c:showBubbleSize val="0"/>
          <c:showLeaderLines val="1"/>
        </c:dLbls>
        <c:gapWidth val="100"/>
        <c:secondPieSize val="75"/>
        <c:serLines>
          <c:spPr>
            <a:ln w="9525" cap="flat" cmpd="sng" algn="ctr">
              <a:solidFill>
                <a:sysClr val="windowText" lastClr="000000">
                  <a:lumMod val="35000"/>
                  <a:lumOff val="65000"/>
                </a:sysClr>
              </a:solidFill>
              <a:round/>
            </a:ln>
            <a:effectLst/>
          </c:spPr>
        </c:serLines>
      </c:of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zh-CN" altLang="en-US"/>
              <a:t>师本级及团场结转数据上下年增减变动情况表</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barChart>
        <c:barDir val="bar"/>
        <c:grouping val="clustered"/>
        <c:varyColors val="0"/>
        <c:ser>
          <c:idx val="0"/>
          <c:order val="0"/>
          <c:spPr>
            <a:solidFill>
              <a:srgbClr val="4874C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f>[图表.xlsx]Sheet15!$B$2:$B$7</c:f>
              <c:strCache>
                <c:ptCount val="6"/>
                <c:pt idx="0">
                  <c:v>本年师本级</c:v>
                </c:pt>
                <c:pt idx="1">
                  <c:v>上年师本级</c:v>
                </c:pt>
                <c:pt idx="2">
                  <c:v>增长</c:v>
                </c:pt>
                <c:pt idx="3">
                  <c:v>本年团场</c:v>
                </c:pt>
                <c:pt idx="4">
                  <c:v>上年团场</c:v>
                </c:pt>
                <c:pt idx="5">
                  <c:v>下降</c:v>
                </c:pt>
              </c:strCache>
            </c:strRef>
          </c:cat>
          <c:val>
            <c:numRef>
              <c:f>[图表.xlsx]Sheet15!$C$2:$C$7</c:f>
              <c:numCache>
                <c:formatCode>General</c:formatCode>
                <c:ptCount val="6"/>
                <c:pt idx="0">
                  <c:v>3810.7</c:v>
                </c:pt>
                <c:pt idx="1">
                  <c:v>1575.32</c:v>
                </c:pt>
                <c:pt idx="2" formatCode="0%">
                  <c:v>1.42</c:v>
                </c:pt>
                <c:pt idx="3">
                  <c:v>0</c:v>
                </c:pt>
                <c:pt idx="4">
                  <c:v>46.43</c:v>
                </c:pt>
                <c:pt idx="5" formatCode="0%">
                  <c:v>1</c:v>
                </c:pt>
              </c:numCache>
            </c:numRef>
          </c:val>
          <c:extLst>
            <c:ext xmlns:c16="http://schemas.microsoft.com/office/drawing/2014/chart" uri="{C3380CC4-5D6E-409C-BE32-E72D297353CC}">
              <c16:uniqueId val="{00000000-B2B4-46B4-AFB4-7C8CEF078DBB}"/>
            </c:ext>
          </c:extLst>
        </c:ser>
        <c:dLbls>
          <c:showLegendKey val="0"/>
          <c:showVal val="1"/>
          <c:showCatName val="0"/>
          <c:showSerName val="0"/>
          <c:showPercent val="0"/>
          <c:showBubbleSize val="0"/>
        </c:dLbls>
        <c:gapWidth val="75"/>
        <c:overlap val="40"/>
        <c:axId val="312136492"/>
        <c:axId val="272366837"/>
      </c:barChart>
      <c:catAx>
        <c:axId val="312136492"/>
        <c:scaling>
          <c:orientation val="minMax"/>
        </c:scaling>
        <c:delete val="0"/>
        <c:axPos val="l"/>
        <c:numFmt formatCode="General" sourceLinked="0"/>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272366837"/>
        <c:crosses val="autoZero"/>
        <c:auto val="1"/>
        <c:lblAlgn val="ctr"/>
        <c:lblOffset val="100"/>
        <c:noMultiLvlLbl val="0"/>
      </c:catAx>
      <c:valAx>
        <c:axId val="272366837"/>
        <c:scaling>
          <c:orientation val="minMax"/>
        </c:scaling>
        <c:delete val="0"/>
        <c:axPos val="b"/>
        <c:majorGridlines>
          <c:spPr>
            <a:ln w="9525" cap="flat" cmpd="sng" algn="ctr">
              <a:solidFill>
                <a:sysClr val="window" lastClr="FFFFFF">
                  <a:lumMod val="902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312136492"/>
        <c:crosses val="autoZero"/>
        <c:crossBetween val="between"/>
      </c:valAx>
      <c:spPr>
        <a:noFill/>
        <a:ln>
          <a:noFill/>
        </a:ln>
        <a:effectLst/>
      </c:spPr>
    </c:plotArea>
    <c:plotVisOnly val="1"/>
    <c:dispBlanksAs val="zero"/>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en-US" altLang="zh-CN"/>
              <a:t>2023</a:t>
            </a:r>
            <a:r>
              <a:rPr lang="zh-CN" altLang="en-US"/>
              <a:t>年年初预算情况表</a:t>
            </a:r>
          </a:p>
        </c:rich>
      </c:tx>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manualLayout>
          <c:layoutTarget val="inner"/>
          <c:xMode val="edge"/>
          <c:yMode val="edge"/>
          <c:x val="3.2105263157894699E-2"/>
          <c:y val="0.171527777777778"/>
          <c:w val="0.674473684210526"/>
          <c:h val="0.77199074074074103"/>
        </c:manualLayout>
      </c:layout>
      <c:pie3DChart>
        <c:varyColors val="1"/>
        <c:ser>
          <c:idx val="0"/>
          <c:order val="0"/>
          <c:spPr>
            <a:scene3d>
              <a:camera prst="orthographicFront"/>
              <a:lightRig rig="threePt" dir="t"/>
            </a:scene3d>
            <a:sp3d contourW="9525"/>
          </c:spPr>
          <c:dPt>
            <c:idx val="0"/>
            <c:bubble3D val="0"/>
            <c:spPr>
              <a:solidFill>
                <a:srgbClr val="4874CB"/>
              </a:solidFill>
              <a:ln>
                <a:solidFill>
                  <a:sysClr val="window" lastClr="FFFFFF"/>
                </a:solidFill>
              </a:ln>
              <a:effectLst/>
              <a:scene3d>
                <a:camera prst="orthographicFront"/>
                <a:lightRig rig="threePt" dir="t"/>
              </a:scene3d>
              <a:sp3d contourW="9525"/>
            </c:spPr>
            <c:extLst>
              <c:ext xmlns:c16="http://schemas.microsoft.com/office/drawing/2014/chart" uri="{C3380CC4-5D6E-409C-BE32-E72D297353CC}">
                <c16:uniqueId val="{00000001-EEC8-4186-881A-3D678A601A41}"/>
              </c:ext>
            </c:extLst>
          </c:dPt>
          <c:dPt>
            <c:idx val="1"/>
            <c:bubble3D val="0"/>
            <c:spPr>
              <a:solidFill>
                <a:srgbClr val="EE822F"/>
              </a:solidFill>
              <a:ln>
                <a:solidFill>
                  <a:sysClr val="window" lastClr="FFFFFF"/>
                </a:solidFill>
              </a:ln>
              <a:effectLst/>
              <a:scene3d>
                <a:camera prst="orthographicFront"/>
                <a:lightRig rig="threePt" dir="t"/>
              </a:scene3d>
              <a:sp3d contourW="9525"/>
            </c:spPr>
            <c:extLst>
              <c:ext xmlns:c16="http://schemas.microsoft.com/office/drawing/2014/chart" uri="{C3380CC4-5D6E-409C-BE32-E72D297353CC}">
                <c16:uniqueId val="{00000003-EEC8-4186-881A-3D678A601A41}"/>
              </c:ext>
            </c:extLst>
          </c:dPt>
          <c:dPt>
            <c:idx val="2"/>
            <c:bubble3D val="0"/>
            <c:spPr>
              <a:solidFill>
                <a:srgbClr val="F2BA02"/>
              </a:solidFill>
              <a:ln>
                <a:solidFill>
                  <a:sysClr val="window" lastClr="FFFFFF"/>
                </a:solidFill>
              </a:ln>
              <a:effectLst/>
              <a:scene3d>
                <a:camera prst="orthographicFront"/>
                <a:lightRig rig="threePt" dir="t"/>
              </a:scene3d>
              <a:sp3d contourW="9525"/>
            </c:spPr>
            <c:extLst>
              <c:ext xmlns:c16="http://schemas.microsoft.com/office/drawing/2014/chart" uri="{C3380CC4-5D6E-409C-BE32-E72D297353CC}">
                <c16:uniqueId val="{00000005-EEC8-4186-881A-3D678A601A41}"/>
              </c:ext>
            </c:extLst>
          </c:dPt>
          <c:dLbls>
            <c:dLbl>
              <c:idx val="0"/>
              <c:layout>
                <c:manualLayout>
                  <c:x val="7.3096526289687996E-3"/>
                  <c:y val="-6.862021419169260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EC8-4186-881A-3D678A601A41}"/>
                </c:ext>
              </c:extLst>
            </c:dLbl>
            <c:dLbl>
              <c:idx val="1"/>
              <c:layout>
                <c:manualLayout>
                  <c:x val="2.2564669767152E-3"/>
                  <c:y val="7.142591148397479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EC8-4186-881A-3D678A601A41}"/>
                </c:ext>
              </c:extLst>
            </c:dLbl>
            <c:dLbl>
              <c:idx val="2"/>
              <c:layout>
                <c:manualLayout>
                  <c:x val="-0.16877457575503099"/>
                  <c:y val="1.63258667265704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EC8-4186-881A-3D678A601A41}"/>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1"/>
            <c:showCatName val="1"/>
            <c:showSerName val="0"/>
            <c:showPercent val="0"/>
            <c:showBubbleSize val="0"/>
            <c:showLeaderLines val="1"/>
            <c:leaderLines>
              <c:spPr>
                <a:ln w="9525" cap="flat" cmpd="sng" algn="ctr">
                  <a:solidFill>
                    <a:sysClr val="windowText" lastClr="000000">
                      <a:lumMod val="35000"/>
                      <a:lumOff val="65000"/>
                    </a:sysClr>
                  </a:solidFill>
                  <a:round/>
                </a:ln>
                <a:effectLst/>
              </c:spPr>
            </c:leaderLines>
            <c:extLst>
              <c:ext xmlns:c15="http://schemas.microsoft.com/office/drawing/2012/chart" uri="{CE6537A1-D6FC-4f65-9D91-7224C49458BB}"/>
            </c:extLst>
          </c:dLbls>
          <c:cat>
            <c:strRef>
              <c:f>[图表.xlsx]Sheet16!$B$2:$B$4</c:f>
              <c:strCache>
                <c:ptCount val="3"/>
                <c:pt idx="0">
                  <c:v>基本支出年初预算数</c:v>
                </c:pt>
                <c:pt idx="1">
                  <c:v>项目支出年初预算数</c:v>
                </c:pt>
                <c:pt idx="2">
                  <c:v>经营支出年初预算数</c:v>
                </c:pt>
              </c:strCache>
            </c:strRef>
          </c:cat>
          <c:val>
            <c:numRef>
              <c:f>[图表.xlsx]Sheet16!$C$2:$C$4</c:f>
              <c:numCache>
                <c:formatCode>General</c:formatCode>
                <c:ptCount val="3"/>
                <c:pt idx="0">
                  <c:v>109771.92</c:v>
                </c:pt>
                <c:pt idx="1">
                  <c:v>202671.17</c:v>
                </c:pt>
                <c:pt idx="2">
                  <c:v>4523.74</c:v>
                </c:pt>
              </c:numCache>
            </c:numRef>
          </c:val>
          <c:extLst>
            <c:ext xmlns:c16="http://schemas.microsoft.com/office/drawing/2014/chart" uri="{C3380CC4-5D6E-409C-BE32-E72D297353CC}">
              <c16:uniqueId val="{00000006-EEC8-4186-881A-3D678A601A41}"/>
            </c:ext>
          </c:extLst>
        </c:ser>
        <c:dLbls>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zh-CN" altLang="en-US"/>
              <a:t>支出占比情况</a:t>
            </a:r>
          </a:p>
        </c:rich>
      </c:tx>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spPr>
            <a:scene3d>
              <a:camera prst="orthographicFront"/>
              <a:lightRig rig="threePt" dir="t"/>
            </a:scene3d>
            <a:sp3d contourW="9525"/>
          </c:spPr>
          <c:dPt>
            <c:idx val="0"/>
            <c:bubble3D val="0"/>
            <c:spPr>
              <a:solidFill>
                <a:srgbClr val="4874CB"/>
              </a:solidFill>
              <a:ln>
                <a:solidFill>
                  <a:sysClr val="window" lastClr="FFFFFF"/>
                </a:solidFill>
              </a:ln>
              <a:effectLst/>
              <a:scene3d>
                <a:camera prst="orthographicFront"/>
                <a:lightRig rig="threePt" dir="t"/>
              </a:scene3d>
              <a:sp3d contourW="9525"/>
            </c:spPr>
            <c:extLst>
              <c:ext xmlns:c16="http://schemas.microsoft.com/office/drawing/2014/chart" uri="{C3380CC4-5D6E-409C-BE32-E72D297353CC}">
                <c16:uniqueId val="{00000001-3B4C-44A7-9A17-E4E23C808998}"/>
              </c:ext>
            </c:extLst>
          </c:dPt>
          <c:dPt>
            <c:idx val="1"/>
            <c:bubble3D val="0"/>
            <c:spPr>
              <a:solidFill>
                <a:srgbClr val="EE822F"/>
              </a:solidFill>
              <a:ln>
                <a:solidFill>
                  <a:sysClr val="window" lastClr="FFFFFF"/>
                </a:solidFill>
              </a:ln>
              <a:effectLst/>
              <a:scene3d>
                <a:camera prst="orthographicFront"/>
                <a:lightRig rig="threePt" dir="t"/>
              </a:scene3d>
              <a:sp3d contourW="9525"/>
            </c:spPr>
            <c:extLst>
              <c:ext xmlns:c16="http://schemas.microsoft.com/office/drawing/2014/chart" uri="{C3380CC4-5D6E-409C-BE32-E72D297353CC}">
                <c16:uniqueId val="{00000003-3B4C-44A7-9A17-E4E23C808998}"/>
              </c:ext>
            </c:extLst>
          </c:dPt>
          <c:dPt>
            <c:idx val="2"/>
            <c:bubble3D val="0"/>
            <c:spPr>
              <a:solidFill>
                <a:srgbClr val="F2BA02"/>
              </a:solidFill>
              <a:ln>
                <a:solidFill>
                  <a:sysClr val="window" lastClr="FFFFFF"/>
                </a:solidFill>
              </a:ln>
              <a:effectLst/>
              <a:scene3d>
                <a:camera prst="orthographicFront"/>
                <a:lightRig rig="threePt" dir="t"/>
              </a:scene3d>
              <a:sp3d contourW="9525"/>
            </c:spPr>
            <c:extLst>
              <c:ext xmlns:c16="http://schemas.microsoft.com/office/drawing/2014/chart" uri="{C3380CC4-5D6E-409C-BE32-E72D297353CC}">
                <c16:uniqueId val="{00000005-3B4C-44A7-9A17-E4E23C808998}"/>
              </c:ext>
            </c:extLst>
          </c:dPt>
          <c:dLbls>
            <c:dLbl>
              <c:idx val="0"/>
              <c:layout>
                <c:manualLayout>
                  <c:x val="7.6849367879650896E-2"/>
                  <c:y val="6.7214226019484298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3B4C-44A7-9A17-E4E23C808998}"/>
                </c:ext>
              </c:extLst>
            </c:dLbl>
            <c:dLbl>
              <c:idx val="1"/>
              <c:layout>
                <c:manualLayout>
                  <c:x val="-3.3006032418503098E-2"/>
                  <c:y val="-3.2149893250716197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3B4C-44A7-9A17-E4E23C808998}"/>
                </c:ext>
              </c:extLst>
            </c:dLbl>
            <c:dLbl>
              <c:idx val="2"/>
              <c:layout>
                <c:manualLayout>
                  <c:x val="-0.12262155666055401"/>
                  <c:y val="1.32963931066261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3B4C-44A7-9A17-E4E23C808998}"/>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ysClr val="windowText" lastClr="000000">
                      <a:lumMod val="35000"/>
                      <a:lumOff val="65000"/>
                    </a:sysClr>
                  </a:solidFill>
                  <a:round/>
                </a:ln>
                <a:effectLst/>
              </c:spPr>
            </c:leaderLines>
            <c:extLst>
              <c:ext xmlns:c15="http://schemas.microsoft.com/office/drawing/2012/chart" uri="{CE6537A1-D6FC-4f65-9D91-7224C49458BB}"/>
            </c:extLst>
          </c:dLbls>
          <c:cat>
            <c:strRef>
              <c:f>[图表.xlsx]Sheet17!$B$5:$B$7</c:f>
              <c:strCache>
                <c:ptCount val="3"/>
                <c:pt idx="0">
                  <c:v>基本支出年</c:v>
                </c:pt>
                <c:pt idx="1">
                  <c:v>项目支出年</c:v>
                </c:pt>
                <c:pt idx="2">
                  <c:v>经营支出年</c:v>
                </c:pt>
              </c:strCache>
            </c:strRef>
          </c:cat>
          <c:val>
            <c:numRef>
              <c:f>[图表.xlsx]Sheet17!$C$5:$C$7</c:f>
              <c:numCache>
                <c:formatCode>0.00%</c:formatCode>
                <c:ptCount val="3"/>
                <c:pt idx="0">
                  <c:v>0.23769313148842</c:v>
                </c:pt>
                <c:pt idx="1">
                  <c:v>0.752692957646385</c:v>
                </c:pt>
                <c:pt idx="2">
                  <c:v>9.6138896131126392E-3</c:v>
                </c:pt>
              </c:numCache>
            </c:numRef>
          </c:val>
          <c:extLst>
            <c:ext xmlns:c16="http://schemas.microsoft.com/office/drawing/2014/chart" uri="{C3380CC4-5D6E-409C-BE32-E72D297353CC}">
              <c16:uniqueId val="{00000006-3B4C-44A7-9A17-E4E23C808998}"/>
            </c:ext>
          </c:extLst>
        </c:ser>
        <c:dLbls>
          <c:showLegendKey val="0"/>
          <c:showVal val="0"/>
          <c:showCatName val="1"/>
          <c:showSerName val="0"/>
          <c:showPercent val="1"/>
          <c:showBubbleSize val="0"/>
          <c:showLeaderLines val="1"/>
        </c:dLbls>
      </c:pie3D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zh-CN" altLang="en-US"/>
              <a:t>资产房屋上下年差异情况</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4874C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f>[图表.xlsx]Sheet18!$C$2:$C$3</c:f>
              <c:strCache>
                <c:ptCount val="2"/>
                <c:pt idx="0">
                  <c:v>房屋（平方米）比上年度差额</c:v>
                </c:pt>
                <c:pt idx="1">
                  <c:v>房屋（平方米）金额比上年度差额</c:v>
                </c:pt>
              </c:strCache>
            </c:strRef>
          </c:cat>
          <c:val>
            <c:numRef>
              <c:f>[图表.xlsx]Sheet18!$D$2:$D$3</c:f>
              <c:numCache>
                <c:formatCode>General</c:formatCode>
                <c:ptCount val="2"/>
                <c:pt idx="0">
                  <c:v>348060.96</c:v>
                </c:pt>
                <c:pt idx="1">
                  <c:v>70603.490000000005</c:v>
                </c:pt>
              </c:numCache>
            </c:numRef>
          </c:val>
          <c:extLst>
            <c:ext xmlns:c16="http://schemas.microsoft.com/office/drawing/2014/chart" uri="{C3380CC4-5D6E-409C-BE32-E72D297353CC}">
              <c16:uniqueId val="{00000000-0350-4676-B985-C7F03B4B0E8E}"/>
            </c:ext>
          </c:extLst>
        </c:ser>
        <c:dLbls>
          <c:showLegendKey val="0"/>
          <c:showVal val="1"/>
          <c:showCatName val="0"/>
          <c:showSerName val="0"/>
          <c:showPercent val="0"/>
          <c:showBubbleSize val="0"/>
        </c:dLbls>
        <c:gapWidth val="246"/>
        <c:overlap val="-28"/>
        <c:axId val="642963854"/>
        <c:axId val="874025010"/>
      </c:barChart>
      <c:catAx>
        <c:axId val="642963854"/>
        <c:scaling>
          <c:orientation val="minMax"/>
        </c:scaling>
        <c:delete val="0"/>
        <c:axPos val="b"/>
        <c:numFmt formatCode="General" sourceLinked="0"/>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874025010"/>
        <c:crosses val="autoZero"/>
        <c:auto val="1"/>
        <c:lblAlgn val="ctr"/>
        <c:lblOffset val="100"/>
        <c:noMultiLvlLbl val="0"/>
      </c:catAx>
      <c:valAx>
        <c:axId val="874025010"/>
        <c:scaling>
          <c:orientation val="minMax"/>
        </c:scaling>
        <c:delete val="0"/>
        <c:axPos val="l"/>
        <c:majorGridlines>
          <c:spPr>
            <a:ln w="9525" cap="flat" cmpd="sng" algn="ctr">
              <a:solidFill>
                <a:sysClr val="window" lastClr="FFFFFF">
                  <a:lumMod val="902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64296385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zh-CN" altLang="en-US"/>
              <a:t>在职人员上下年差异情况</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4874C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f>[图表.xlsx]Sheet19!$B$2:$B$3</c:f>
              <c:strCache>
                <c:ptCount val="2"/>
                <c:pt idx="0">
                  <c:v>本年在职人员</c:v>
                </c:pt>
                <c:pt idx="1">
                  <c:v>上年在职人员</c:v>
                </c:pt>
              </c:strCache>
            </c:strRef>
          </c:cat>
          <c:val>
            <c:numRef>
              <c:f>[图表.xlsx]Sheet19!$C$2:$C$3</c:f>
              <c:numCache>
                <c:formatCode>General</c:formatCode>
                <c:ptCount val="2"/>
                <c:pt idx="0">
                  <c:v>3979</c:v>
                </c:pt>
                <c:pt idx="1">
                  <c:v>3931</c:v>
                </c:pt>
              </c:numCache>
            </c:numRef>
          </c:val>
          <c:extLst>
            <c:ext xmlns:c16="http://schemas.microsoft.com/office/drawing/2014/chart" uri="{C3380CC4-5D6E-409C-BE32-E72D297353CC}">
              <c16:uniqueId val="{00000000-45F1-4521-B6DA-DFE36993729A}"/>
            </c:ext>
          </c:extLst>
        </c:ser>
        <c:dLbls>
          <c:showLegendKey val="0"/>
          <c:showVal val="1"/>
          <c:showCatName val="0"/>
          <c:showSerName val="0"/>
          <c:showPercent val="0"/>
          <c:showBubbleSize val="0"/>
        </c:dLbls>
        <c:gapWidth val="246"/>
        <c:overlap val="-28"/>
        <c:axId val="382802852"/>
        <c:axId val="580423651"/>
      </c:barChart>
      <c:catAx>
        <c:axId val="382802852"/>
        <c:scaling>
          <c:orientation val="minMax"/>
        </c:scaling>
        <c:delete val="0"/>
        <c:axPos val="b"/>
        <c:numFmt formatCode="General" sourceLinked="0"/>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580423651"/>
        <c:crosses val="autoZero"/>
        <c:auto val="1"/>
        <c:lblAlgn val="ctr"/>
        <c:lblOffset val="100"/>
        <c:noMultiLvlLbl val="0"/>
      </c:catAx>
      <c:valAx>
        <c:axId val="580423651"/>
        <c:scaling>
          <c:orientation val="minMax"/>
        </c:scaling>
        <c:delete val="0"/>
        <c:axPos val="l"/>
        <c:majorGridlines>
          <c:spPr>
            <a:ln w="9525" cap="flat" cmpd="sng" algn="ctr">
              <a:solidFill>
                <a:sysClr val="window" lastClr="FFFFFF">
                  <a:lumMod val="902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38280285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en-US" altLang="zh-CN"/>
              <a:t>2023</a:t>
            </a:r>
            <a:r>
              <a:rPr lang="zh-CN" altLang="en-US"/>
              <a:t>年本年收入按资金来源上下年对比分析</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barChart>
        <c:barDir val="col"/>
        <c:grouping val="stacked"/>
        <c:varyColors val="0"/>
        <c:ser>
          <c:idx val="0"/>
          <c:order val="0"/>
          <c:tx>
            <c:strRef>
              <c:f>"2023年收入"</c:f>
              <c:strCache>
                <c:ptCount val="1"/>
                <c:pt idx="0">
                  <c:v>2023年收入</c:v>
                </c:pt>
              </c:strCache>
            </c:strRef>
          </c:tx>
          <c:spPr>
            <a:solidFill>
              <a:srgbClr val="4874CB"/>
            </a:solidFill>
            <a:ln>
              <a:solidFill>
                <a:sysClr val="window" lastClr="FFFFFF"/>
              </a:solidFill>
            </a:ln>
            <a:effectLst/>
          </c:spPr>
          <c:invertIfNegative val="0"/>
          <c:dLbls>
            <c:dLbl>
              <c:idx val="1"/>
              <c:layout>
                <c:manualLayout>
                  <c:x val="-2.7652955409609402E-3"/>
                  <c:y val="-8.035714285714290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3B6-43FE-A7E4-180A3BA617F1}"/>
                </c:ext>
              </c:extLst>
            </c:dLbl>
            <c:dLbl>
              <c:idx val="2"/>
              <c:layout>
                <c:manualLayout>
                  <c:x val="5.5305910819218797E-2"/>
                  <c:y val="-0.1696428571428570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3B6-43FE-A7E4-180A3BA617F1}"/>
                </c:ext>
              </c:extLst>
            </c:dLbl>
            <c:dLbl>
              <c:idx val="3"/>
              <c:layout>
                <c:manualLayout>
                  <c:x val="6.9132388524023496E-3"/>
                  <c:y val="-6.845238095238100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3B6-43FE-A7E4-180A3BA617F1}"/>
                </c:ext>
              </c:extLst>
            </c:dLbl>
            <c:dLbl>
              <c:idx val="4"/>
              <c:layout>
                <c:manualLayout>
                  <c:x val="-7.7428275146906297E-2"/>
                  <c:y val="-0.13988095238095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3B6-43FE-A7E4-180A3BA617F1}"/>
                </c:ext>
              </c:extLst>
            </c:dLbl>
            <c:dLbl>
              <c:idx val="5"/>
              <c:layout>
                <c:manualLayout>
                  <c:x val="1.24438299343242E-2"/>
                  <c:y val="-0.2053571428571429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3B6-43FE-A7E4-180A3BA617F1}"/>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f>[工作簿1]Sheet3!$C$2:$C$7</c:f>
              <c:strCache>
                <c:ptCount val="6"/>
                <c:pt idx="0">
                  <c:v>财政拨款收入</c:v>
                </c:pt>
                <c:pt idx="1">
                  <c:v>比上年下降</c:v>
                </c:pt>
                <c:pt idx="2">
                  <c:v>事业收入</c:v>
                </c:pt>
                <c:pt idx="3">
                  <c:v>比上年增长</c:v>
                </c:pt>
                <c:pt idx="4">
                  <c:v>其他收入</c:v>
                </c:pt>
                <c:pt idx="5">
                  <c:v>比上年增长</c:v>
                </c:pt>
              </c:strCache>
            </c:strRef>
          </c:cat>
          <c:val>
            <c:numRef>
              <c:f>[工作簿1]Sheet3!$D$2:$D$7</c:f>
              <c:numCache>
                <c:formatCode>0.00%</c:formatCode>
                <c:ptCount val="6"/>
                <c:pt idx="0" formatCode="General">
                  <c:v>430499.64</c:v>
                </c:pt>
                <c:pt idx="1">
                  <c:v>7.5999999999999998E-2</c:v>
                </c:pt>
                <c:pt idx="2" formatCode="General">
                  <c:v>22941.38</c:v>
                </c:pt>
                <c:pt idx="3">
                  <c:v>0.20519999999999999</c:v>
                </c:pt>
                <c:pt idx="4" formatCode="General">
                  <c:v>19290.04</c:v>
                </c:pt>
                <c:pt idx="5">
                  <c:v>1.8177000000000001</c:v>
                </c:pt>
              </c:numCache>
            </c:numRef>
          </c:val>
          <c:extLst>
            <c:ext xmlns:c16="http://schemas.microsoft.com/office/drawing/2014/chart" uri="{C3380CC4-5D6E-409C-BE32-E72D297353CC}">
              <c16:uniqueId val="{00000005-33B6-43FE-A7E4-180A3BA617F1}"/>
            </c:ext>
          </c:extLst>
        </c:ser>
        <c:ser>
          <c:idx val="2"/>
          <c:order val="2"/>
          <c:tx>
            <c:strRef>
              <c:f>"2022年收入"</c:f>
              <c:strCache>
                <c:ptCount val="1"/>
                <c:pt idx="0">
                  <c:v>2022年收入</c:v>
                </c:pt>
              </c:strCache>
            </c:strRef>
          </c:tx>
          <c:spPr>
            <a:solidFill>
              <a:srgbClr val="F2BA02"/>
            </a:solidFill>
            <a:ln>
              <a:solidFill>
                <a:sysClr val="window" lastClr="FFFFFF"/>
              </a:solidFill>
            </a:ln>
            <a:effectLst/>
          </c:spPr>
          <c:invertIfNegative val="0"/>
          <c:dLbls>
            <c:dLbl>
              <c:idx val="2"/>
              <c:layout>
                <c:manualLayout>
                  <c:x val="-7.1897684064984493E-2"/>
                  <c:y val="-0.1785714285714289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3B6-43FE-A7E4-180A3BA617F1}"/>
                </c:ext>
              </c:extLst>
            </c:dLbl>
            <c:dLbl>
              <c:idx val="4"/>
              <c:layout>
                <c:manualLayout>
                  <c:x val="6.0836501901140698E-2"/>
                  <c:y val="-0.12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3B6-43FE-A7E4-180A3BA617F1}"/>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f>[工作簿1]Sheet3!$C$2:$C$7</c:f>
              <c:strCache>
                <c:ptCount val="6"/>
                <c:pt idx="0">
                  <c:v>财政拨款收入</c:v>
                </c:pt>
                <c:pt idx="1">
                  <c:v>比上年下降</c:v>
                </c:pt>
                <c:pt idx="2">
                  <c:v>事业收入</c:v>
                </c:pt>
                <c:pt idx="3">
                  <c:v>比上年增长</c:v>
                </c:pt>
                <c:pt idx="4">
                  <c:v>其他收入</c:v>
                </c:pt>
                <c:pt idx="5">
                  <c:v>比上年增长</c:v>
                </c:pt>
              </c:strCache>
            </c:strRef>
          </c:cat>
          <c:val>
            <c:numRef>
              <c:f>[工作簿1]Sheet3!$F$2:$F$7</c:f>
              <c:numCache>
                <c:formatCode>General</c:formatCode>
                <c:ptCount val="6"/>
                <c:pt idx="0">
                  <c:v>465914.35</c:v>
                </c:pt>
                <c:pt idx="2">
                  <c:v>19035.53</c:v>
                </c:pt>
                <c:pt idx="4">
                  <c:v>6846.11</c:v>
                </c:pt>
              </c:numCache>
            </c:numRef>
          </c:val>
          <c:extLst>
            <c:ext xmlns:c16="http://schemas.microsoft.com/office/drawing/2014/chart" uri="{C3380CC4-5D6E-409C-BE32-E72D297353CC}">
              <c16:uniqueId val="{00000008-33B6-43FE-A7E4-180A3BA617F1}"/>
            </c:ext>
          </c:extLst>
        </c:ser>
        <c:dLbls>
          <c:showLegendKey val="0"/>
          <c:showVal val="1"/>
          <c:showCatName val="0"/>
          <c:showSerName val="0"/>
          <c:showPercent val="0"/>
          <c:showBubbleSize val="0"/>
        </c:dLbls>
        <c:gapWidth val="216"/>
        <c:overlap val="100"/>
        <c:axId val="378603566"/>
        <c:axId val="362895182"/>
        <c:extLst>
          <c:ext xmlns:c15="http://schemas.microsoft.com/office/drawing/2012/chart" uri="{02D57815-91ED-43cb-92C2-25804820EDAC}">
            <c15:filteredBarSeries>
              <c15:ser>
                <c:idx val="1"/>
                <c:order val="1"/>
                <c:spPr>
                  <a:solidFill>
                    <a:srgbClr val="EE822F"/>
                  </a:solidFill>
                  <a:ln>
                    <a:solidFill>
                      <a:sysClr val="window" lastClr="FFFFFF"/>
                    </a:solid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extLst>
                      <c:ext uri="{02D57815-91ED-43cb-92C2-25804820EDAC}">
                        <c15:formulaRef>
                          <c15:sqref>[工作簿1]Sheet3!$C$2:$C$7</c15:sqref>
                        </c15:formulaRef>
                      </c:ext>
                    </c:extLst>
                    <c:strCache>
                      <c:ptCount val="6"/>
                      <c:pt idx="0">
                        <c:v>财政拨款收入</c:v>
                      </c:pt>
                      <c:pt idx="1">
                        <c:v>比上年下降</c:v>
                      </c:pt>
                      <c:pt idx="2">
                        <c:v>事业收入</c:v>
                      </c:pt>
                      <c:pt idx="3">
                        <c:v>比上年增长</c:v>
                      </c:pt>
                      <c:pt idx="4">
                        <c:v>其他收入</c:v>
                      </c:pt>
                      <c:pt idx="5">
                        <c:v>比上年增长</c:v>
                      </c:pt>
                    </c:strCache>
                  </c:strRef>
                </c:cat>
                <c:val>
                  <c:numRef>
                    <c:extLst>
                      <c:ext uri="{02D57815-91ED-43cb-92C2-25804820EDAC}">
                        <c15:formulaRef>
                          <c15:sqref>{0,#N/A,0,#N/A,0,#N/A}</c15:sqref>
                        </c15:formulaRef>
                      </c:ext>
                    </c:extLst>
                    <c:numCache>
                      <c:formatCode>General</c:formatCode>
                      <c:ptCount val="6"/>
                      <c:pt idx="0">
                        <c:v>0</c:v>
                      </c:pt>
                      <c:pt idx="2">
                        <c:v>0</c:v>
                      </c:pt>
                      <c:pt idx="4">
                        <c:v>0</c:v>
                      </c:pt>
                    </c:numCache>
                  </c:numRef>
                </c:val>
                <c:extLst>
                  <c:ext xmlns:c16="http://schemas.microsoft.com/office/drawing/2014/chart" uri="{C3380CC4-5D6E-409C-BE32-E72D297353CC}">
                    <c16:uniqueId val="{00000009-33B6-43FE-A7E4-180A3BA617F1}"/>
                  </c:ext>
                </c:extLst>
              </c15:ser>
            </c15:filteredBarSeries>
          </c:ext>
        </c:extLst>
      </c:barChart>
      <c:catAx>
        <c:axId val="378603566"/>
        <c:scaling>
          <c:orientation val="minMax"/>
        </c:scaling>
        <c:delete val="0"/>
        <c:axPos val="b"/>
        <c:numFmt formatCode="General" sourceLinked="0"/>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362895182"/>
        <c:crosses val="autoZero"/>
        <c:auto val="1"/>
        <c:lblAlgn val="ctr"/>
        <c:lblOffset val="100"/>
        <c:noMultiLvlLbl val="0"/>
      </c:catAx>
      <c:valAx>
        <c:axId val="362895182"/>
        <c:scaling>
          <c:orientation val="minMax"/>
        </c:scaling>
        <c:delete val="0"/>
        <c:axPos val="l"/>
        <c:majorGridlines>
          <c:spPr>
            <a:ln w="9525" cap="flat" cmpd="sng" algn="ctr">
              <a:solidFill>
                <a:sysClr val="window" lastClr="FFFFFF">
                  <a:lumMod val="902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378603566"/>
        <c:crosses val="autoZero"/>
        <c:crossBetween val="between"/>
      </c:valAx>
      <c:dTable>
        <c:showHorzBorder val="1"/>
        <c:showVertBorder val="1"/>
        <c:showOutline val="1"/>
        <c:showKeys val="1"/>
        <c:spPr>
          <a:noFill/>
          <a:ln w="9525" cap="flat" cmpd="sng" algn="ctr">
            <a:solidFill>
              <a:sysClr val="windowText" lastClr="000000">
                <a:lumMod val="15000"/>
                <a:lumOff val="85000"/>
              </a:sysClr>
            </a:solidFill>
            <a:round/>
          </a:ln>
          <a:effectLst/>
        </c:spPr>
        <c:txPr>
          <a:bodyPr rot="0" spcFirstLastPara="0" vertOverflow="ellipsis" vert="horz" wrap="square" anchor="ctr" anchorCtr="1"/>
          <a:lstStyle/>
          <a:p>
            <a:pPr rtl="0">
              <a:defRPr lang="zh-CN" sz="900" b="0" i="0" u="none" strike="noStrike" kern="1200" baseline="0">
                <a:solidFill>
                  <a:sysClr val="windowText" lastClr="000000">
                    <a:lumMod val="65000"/>
                    <a:lumOff val="35000"/>
                  </a:sysClr>
                </a:solidFill>
                <a:latin typeface="+mn-lt"/>
                <a:ea typeface="+mn-ea"/>
                <a:cs typeface="+mn-cs"/>
              </a:defRPr>
            </a:pPr>
            <a:endParaRPr lang="zh-CN"/>
          </a:p>
        </c:txPr>
      </c:dTable>
      <c:spPr>
        <a:noFill/>
        <a:ln>
          <a:noFill/>
        </a:ln>
        <a:effectLst/>
      </c:spPr>
    </c:plotArea>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tx>
            <c:strRef>
              <c:f>"财政拨款和非财政拨款上下年差异表"</c:f>
              <c:strCache>
                <c:ptCount val="1"/>
                <c:pt idx="0">
                  <c:v>财政拨款和非财政拨款上下年差异表</c:v>
                </c:pt>
              </c:strCache>
            </c:strRef>
          </c:tx>
          <c:spPr>
            <a:solidFill>
              <a:srgbClr val="4F81BD"/>
            </a:solidFill>
            <a:ln>
              <a:noFill/>
            </a:ln>
            <a:effectLst/>
          </c:spPr>
          <c:invertIfNegative val="0"/>
          <c:dLbls>
            <c:dLbl>
              <c:idx val="2"/>
              <c:layout>
                <c:manualLayout>
                  <c:x val="-2.8116213683224002E-3"/>
                  <c:y val="-7.89473684210525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E78-4369-B7BA-9B544B6AEDBA}"/>
                </c:ext>
              </c:extLst>
            </c:dLbl>
            <c:dLbl>
              <c:idx val="5"/>
              <c:layout>
                <c:manualLayout>
                  <c:x val="-7.0290534208059998E-3"/>
                  <c:y val="-0.16578947368421099"/>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E78-4369-B7BA-9B544B6AEDBA}"/>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[图表.xlsx]Sheet11!$D$1:$I$1</c:f>
              <c:strCache>
                <c:ptCount val="6"/>
                <c:pt idx="0">
                  <c:v>本年财政拨款支出</c:v>
                </c:pt>
                <c:pt idx="1">
                  <c:v>上年财政拨款支出</c:v>
                </c:pt>
                <c:pt idx="2">
                  <c:v>下降</c:v>
                </c:pt>
                <c:pt idx="3">
                  <c:v>本年非财政拨款支出</c:v>
                </c:pt>
                <c:pt idx="4">
                  <c:v>上年非财政拨款支出</c:v>
                </c:pt>
                <c:pt idx="5">
                  <c:v>增长</c:v>
                </c:pt>
              </c:strCache>
            </c:strRef>
          </c:cat>
          <c:val>
            <c:numRef>
              <c:f>[图表.xlsx]Sheet11!$D$2:$I$2</c:f>
              <c:numCache>
                <c:formatCode>General</c:formatCode>
                <c:ptCount val="6"/>
                <c:pt idx="0">
                  <c:v>430499.64</c:v>
                </c:pt>
                <c:pt idx="1">
                  <c:v>465914.35</c:v>
                </c:pt>
                <c:pt idx="2" formatCode="0.00%">
                  <c:v>7.5999999999999998E-2</c:v>
                </c:pt>
                <c:pt idx="3">
                  <c:v>40042.47</c:v>
                </c:pt>
                <c:pt idx="4">
                  <c:v>27842.1</c:v>
                </c:pt>
                <c:pt idx="5" formatCode="0.00%">
                  <c:v>0.43819999999999998</c:v>
                </c:pt>
              </c:numCache>
            </c:numRef>
          </c:val>
          <c:extLst>
            <c:ext xmlns:c16="http://schemas.microsoft.com/office/drawing/2014/chart" uri="{C3380CC4-5D6E-409C-BE32-E72D297353CC}">
              <c16:uniqueId val="{00000002-2E78-4369-B7BA-9B544B6AEDBA}"/>
            </c:ext>
          </c:extLst>
        </c:ser>
        <c:dLbls>
          <c:showLegendKey val="0"/>
          <c:showVal val="1"/>
          <c:showCatName val="0"/>
          <c:showSerName val="0"/>
          <c:showPercent val="0"/>
          <c:showBubbleSize val="0"/>
        </c:dLbls>
        <c:gapWidth val="246"/>
        <c:overlap val="-28"/>
        <c:axId val="812284567"/>
        <c:axId val="441882107"/>
      </c:barChart>
      <c:catAx>
        <c:axId val="812284567"/>
        <c:scaling>
          <c:orientation val="minMax"/>
        </c:scaling>
        <c:delete val="0"/>
        <c:axPos val="b"/>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441882107"/>
        <c:crosses val="autoZero"/>
        <c:auto val="1"/>
        <c:lblAlgn val="ctr"/>
        <c:lblOffset val="100"/>
        <c:noMultiLvlLbl val="0"/>
      </c:catAx>
      <c:valAx>
        <c:axId val="441882107"/>
        <c:scaling>
          <c:orientation val="minMax"/>
        </c:scaling>
        <c:delete val="0"/>
        <c:axPos val="l"/>
        <c:majorGridlines>
          <c:spPr>
            <a:ln w="9525" cap="flat" cmpd="sng" algn="ctr">
              <a:solidFill>
                <a:srgbClr val="E6E6E6">
                  <a:lumMod val="90200"/>
                </a:srgb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812284567"/>
        <c:crosses val="autoZero"/>
        <c:crossBetween val="between"/>
      </c:valAx>
      <c:dTable>
        <c:showHorzBorder val="1"/>
        <c:showVertBorder val="1"/>
        <c:showOutline val="1"/>
        <c:showKeys val="0"/>
        <c:spPr>
          <a:noFill/>
          <a:ln w="9525" cap="flat" cmpd="sng" algn="ctr">
            <a:solidFill>
              <a:srgbClr val="D9D9D9">
                <a:lumMod val="15000"/>
                <a:lumOff val="85000"/>
              </a:srgbClr>
            </a:solidFill>
            <a:round/>
          </a:ln>
          <a:effectLst/>
        </c:spPr>
        <c:txPr>
          <a:bodyPr rot="0" spcFirstLastPara="0" vertOverflow="ellipsis" vert="horz" wrap="square" anchor="ctr" anchorCtr="1"/>
          <a:lstStyle/>
          <a:p>
            <a:pPr rtl="0">
              <a:defRPr lang="zh-CN" sz="900" b="0" i="0" u="none" strike="noStrike" kern="1200" baseline="0">
                <a:solidFill>
                  <a:srgbClr val="595959">
                    <a:lumMod val="65000"/>
                    <a:lumOff val="35000"/>
                  </a:srgb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zero"/>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结转资金上下年对比情况</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pieChart>
        <c:varyColors val="1"/>
        <c:ser>
          <c:idx val="0"/>
          <c:order val="0"/>
          <c:tx>
            <c:strRef>
              <c:f>"结转资金上下年对比情况"</c:f>
              <c:strCache>
                <c:ptCount val="1"/>
                <c:pt idx="0">
                  <c:v>结转资金上下年对比情况</c:v>
                </c:pt>
              </c:strCache>
            </c:strRef>
          </c:tx>
          <c:dPt>
            <c:idx val="0"/>
            <c:bubble3D val="0"/>
            <c:spPr>
              <a:solidFill>
                <a:srgbClr val="4F81BD"/>
              </a:solidFill>
              <a:ln>
                <a:solidFill>
                  <a:srgbClr val="FFFFFF"/>
                </a:solidFill>
              </a:ln>
              <a:effectLst/>
            </c:spPr>
            <c:extLst>
              <c:ext xmlns:c16="http://schemas.microsoft.com/office/drawing/2014/chart" uri="{C3380CC4-5D6E-409C-BE32-E72D297353CC}">
                <c16:uniqueId val="{00000001-8DEB-4B4B-899A-52EA80B164C1}"/>
              </c:ext>
            </c:extLst>
          </c:dPt>
          <c:dPt>
            <c:idx val="1"/>
            <c:bubble3D val="0"/>
            <c:spPr>
              <a:solidFill>
                <a:srgbClr val="C0504D"/>
              </a:solidFill>
              <a:ln>
                <a:solidFill>
                  <a:srgbClr val="FFFFFF"/>
                </a:solidFill>
              </a:ln>
              <a:effectLst/>
            </c:spPr>
            <c:extLst>
              <c:ext xmlns:c16="http://schemas.microsoft.com/office/drawing/2014/chart" uri="{C3380CC4-5D6E-409C-BE32-E72D297353CC}">
                <c16:uniqueId val="{00000003-8DEB-4B4B-899A-52EA80B164C1}"/>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endParaRPr lang="zh-CN"/>
              </a:p>
            </c:txPr>
            <c:dLblPos val="inEnd"/>
            <c:showLegendKey val="0"/>
            <c:showVal val="1"/>
            <c:showCatName val="1"/>
            <c:showSerName val="0"/>
            <c:showPercent val="0"/>
            <c:showBubbleSize val="0"/>
            <c:showLeaderLines val="1"/>
            <c:leaderLines>
              <c:spPr>
                <a:ln w="9525" cap="flat" cmpd="sng" algn="ctr">
                  <a:solidFill>
                    <a:srgbClr val="A6A6A6">
                      <a:lumMod val="35000"/>
                      <a:lumOff val="65000"/>
                    </a:srgbClr>
                  </a:solidFill>
                  <a:round/>
                </a:ln>
                <a:effectLst/>
              </c:spPr>
            </c:leaderLines>
            <c:extLst>
              <c:ext xmlns:c15="http://schemas.microsoft.com/office/drawing/2012/chart" uri="{CE6537A1-D6FC-4f65-9D91-7224C49458BB}"/>
            </c:extLst>
          </c:dLbls>
          <c:cat>
            <c:strRef>
              <c:f>[图表.xlsx]本年结转资金!$B$3:$B$4</c:f>
              <c:strCache>
                <c:ptCount val="2"/>
                <c:pt idx="0">
                  <c:v>非财政拨款结转</c:v>
                </c:pt>
                <c:pt idx="1">
                  <c:v>上年非财政拨款结转</c:v>
                </c:pt>
              </c:strCache>
            </c:strRef>
          </c:cat>
          <c:val>
            <c:numRef>
              <c:f>[图表.xlsx]本年结转资金!$C$3:$C$4</c:f>
              <c:numCache>
                <c:formatCode>General</c:formatCode>
                <c:ptCount val="2"/>
                <c:pt idx="0">
                  <c:v>3810.7</c:v>
                </c:pt>
                <c:pt idx="1">
                  <c:v>1621.75</c:v>
                </c:pt>
              </c:numCache>
            </c:numRef>
          </c:val>
          <c:extLst>
            <c:ext xmlns:c16="http://schemas.microsoft.com/office/drawing/2014/chart" uri="{C3380CC4-5D6E-409C-BE32-E72D297353CC}">
              <c16:uniqueId val="{00000004-8DEB-4B4B-899A-52EA80B164C1}"/>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en-US" altLang="zh-CN"/>
              <a:t>2023</a:t>
            </a:r>
            <a:r>
              <a:rPr lang="zh-CN" altLang="en-US"/>
              <a:t>年按资金性质上下年对比分析</a:t>
            </a:r>
          </a:p>
        </c:rich>
      </c:tx>
      <c:layout>
        <c:manualLayout>
          <c:xMode val="edge"/>
          <c:yMode val="edge"/>
          <c:x val="0.23130841121495299"/>
          <c:y val="1.6620498614958401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tx>
            <c:strRef>
              <c:f>"2023年按资金性质上下年对比分析"</c:f>
              <c:strCache>
                <c:ptCount val="1"/>
                <c:pt idx="0">
                  <c:v>2023年按资金性质上下年对比分析</c:v>
                </c:pt>
              </c:strCache>
            </c:strRef>
          </c:tx>
          <c:spPr>
            <a:solidFill>
              <a:srgbClr val="4F81BD"/>
            </a:solidFill>
            <a:ln>
              <a:noFill/>
            </a:ln>
            <a:effectLst/>
          </c:spPr>
          <c:invertIfNegative val="0"/>
          <c:dLbls>
            <c:dLbl>
              <c:idx val="1"/>
              <c:layout>
                <c:manualLayout>
                  <c:x val="0"/>
                  <c:y val="-6.666666666666669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A16-4466-A72F-E9E66A99E7E0}"/>
                </c:ext>
              </c:extLst>
            </c:dLbl>
            <c:dLbl>
              <c:idx val="4"/>
              <c:layout>
                <c:manualLayout>
                  <c:x val="-1.57894736842105E-3"/>
                  <c:y val="1.944444444444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A16-4466-A72F-E9E66A99E7E0}"/>
                </c:ext>
              </c:extLst>
            </c:dLbl>
            <c:dLbl>
              <c:idx val="5"/>
              <c:layout>
                <c:manualLayout>
                  <c:x val="2.052631578947370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A16-4466-A72F-E9E66A99E7E0}"/>
                </c:ext>
              </c:extLst>
            </c:dLbl>
            <c:dLbl>
              <c:idx val="6"/>
              <c:layout>
                <c:manualLayout>
                  <c:x val="-1.57894736842105E-3"/>
                  <c:y val="-4.7222222222222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A16-4466-A72F-E9E66A99E7E0}"/>
                </c:ext>
              </c:extLst>
            </c:dLbl>
            <c:dLbl>
              <c:idx val="7"/>
              <c:layout>
                <c:manualLayout>
                  <c:x val="1.57894736842105E-3"/>
                  <c:y val="-0.17222222222222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A16-4466-A72F-E9E66A99E7E0}"/>
                </c:ext>
              </c:extLst>
            </c:dLbl>
            <c:dLbl>
              <c:idx val="8"/>
              <c:layout>
                <c:manualLayout>
                  <c:x val="1.57894736842105E-3"/>
                  <c:y val="-7.777777777777780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A16-4466-A72F-E9E66A99E7E0}"/>
                </c:ext>
              </c:extLst>
            </c:dLbl>
            <c:dLbl>
              <c:idx val="9"/>
              <c:layout>
                <c:manualLayout>
                  <c:x val="-1.57894736842105E-3"/>
                  <c:y val="-0.13888888888888901"/>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A16-4466-A72F-E9E66A99E7E0}"/>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strRef>
              <c:f>[图表.xlsx]Sheet9!$B$2:$B$11</c:f>
              <c:strCache>
                <c:ptCount val="10"/>
                <c:pt idx="0">
                  <c:v>本年支出</c:v>
                </c:pt>
                <c:pt idx="1">
                  <c:v>基本支出</c:v>
                </c:pt>
                <c:pt idx="2">
                  <c:v>上年基本支出</c:v>
                </c:pt>
                <c:pt idx="3">
                  <c:v>增长</c:v>
                </c:pt>
                <c:pt idx="4">
                  <c:v>本年项目支出</c:v>
                </c:pt>
                <c:pt idx="5">
                  <c:v>上年项目支出</c:v>
                </c:pt>
                <c:pt idx="6">
                  <c:v>下降</c:v>
                </c:pt>
                <c:pt idx="7">
                  <c:v>本年经营支出</c:v>
                </c:pt>
                <c:pt idx="8">
                  <c:v>上年经营支出</c:v>
                </c:pt>
                <c:pt idx="9">
                  <c:v>增长</c:v>
                </c:pt>
              </c:strCache>
            </c:strRef>
          </c:cat>
          <c:val>
            <c:numRef>
              <c:f>[图表.xlsx]Sheet9!$C$2:$C$11</c:f>
              <c:numCache>
                <c:formatCode>General</c:formatCode>
                <c:ptCount val="10"/>
                <c:pt idx="0">
                  <c:v>470542.12</c:v>
                </c:pt>
                <c:pt idx="1">
                  <c:v>111844.63</c:v>
                </c:pt>
                <c:pt idx="2">
                  <c:v>106102.32</c:v>
                </c:pt>
                <c:pt idx="3" formatCode="0%">
                  <c:v>0.05</c:v>
                </c:pt>
                <c:pt idx="4">
                  <c:v>354173.74</c:v>
                </c:pt>
                <c:pt idx="5">
                  <c:v>385912.65</c:v>
                </c:pt>
                <c:pt idx="6" formatCode="0%">
                  <c:v>0.08</c:v>
                </c:pt>
                <c:pt idx="7">
                  <c:v>4523.74</c:v>
                </c:pt>
                <c:pt idx="8">
                  <c:v>1859.72</c:v>
                </c:pt>
                <c:pt idx="9" formatCode="0%">
                  <c:v>1.43</c:v>
                </c:pt>
              </c:numCache>
            </c:numRef>
          </c:val>
          <c:extLst>
            <c:ext xmlns:c16="http://schemas.microsoft.com/office/drawing/2014/chart" uri="{C3380CC4-5D6E-409C-BE32-E72D297353CC}">
              <c16:uniqueId val="{00000007-5A16-4466-A72F-E9E66A99E7E0}"/>
            </c:ext>
          </c:extLst>
        </c:ser>
        <c:dLbls>
          <c:showLegendKey val="0"/>
          <c:showVal val="1"/>
          <c:showCatName val="0"/>
          <c:showSerName val="0"/>
          <c:showPercent val="0"/>
          <c:showBubbleSize val="0"/>
        </c:dLbls>
        <c:gapWidth val="246"/>
        <c:overlap val="-28"/>
        <c:axId val="774056241"/>
        <c:axId val="480832208"/>
      </c:barChart>
      <c:catAx>
        <c:axId val="774056241"/>
        <c:scaling>
          <c:orientation val="minMax"/>
        </c:scaling>
        <c:delete val="0"/>
        <c:axPos val="b"/>
        <c:title>
          <c:overlay val="0"/>
          <c:spPr>
            <a:noFill/>
            <a:ln>
              <a:noFill/>
            </a:ln>
            <a:effectLst/>
          </c:spPr>
          <c:txPr>
            <a:bodyPr rot="0" spcFirstLastPara="0" vertOverflow="ellipsis" vert="horz" wrap="square" anchor="ctr" anchorCtr="1"/>
            <a:lstStyle/>
            <a:p>
              <a:pPr>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480832208"/>
        <c:crosses val="autoZero"/>
        <c:auto val="1"/>
        <c:lblAlgn val="ctr"/>
        <c:lblOffset val="100"/>
        <c:noMultiLvlLbl val="0"/>
      </c:catAx>
      <c:valAx>
        <c:axId val="480832208"/>
        <c:scaling>
          <c:orientation val="minMax"/>
        </c:scaling>
        <c:delete val="0"/>
        <c:axPos val="l"/>
        <c:majorGridlines>
          <c:spPr>
            <a:ln w="9525" cap="flat" cmpd="sng" algn="ctr">
              <a:solidFill>
                <a:srgbClr val="E6E6E6">
                  <a:lumMod val="90200"/>
                </a:srgb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774056241"/>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rtl="0">
              <a:defRPr lang="zh-CN" sz="900" b="0" i="0" u="none" strike="noStrike" kern="1200" baseline="0">
                <a:solidFill>
                  <a:srgbClr val="595959">
                    <a:lumMod val="65000"/>
                    <a:lumOff val="35000"/>
                  </a:srgb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0" vertOverflow="ellipsis" vert="horz" wrap="square" anchor="ctr" anchorCtr="1"/>
        <a:lstStyle/>
        <a:p>
          <a:pPr>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barChart>
        <c:barDir val="col"/>
        <c:grouping val="clustered"/>
        <c:varyColors val="0"/>
        <c:ser>
          <c:idx val="0"/>
          <c:order val="0"/>
          <c:tx>
            <c:strRef>
              <c:f>"2023年基本和项目上下年对比分析"</c:f>
              <c:strCache>
                <c:ptCount val="1"/>
                <c:pt idx="0">
                  <c:v>2023年基本和项目上下年对比分析</c:v>
                </c:pt>
              </c:strCache>
            </c:strRef>
          </c:tx>
          <c:spPr>
            <a:solidFill>
              <a:srgbClr val="4874C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ysClr val="windowText" lastClr="000000">
                          <a:lumMod val="35000"/>
                          <a:lumOff val="65000"/>
                        </a:sysClr>
                      </a:solidFill>
                      <a:round/>
                    </a:ln>
                    <a:effectLst/>
                  </c:spPr>
                </c15:leaderLines>
              </c:ext>
            </c:extLst>
          </c:dLbls>
          <c:cat>
            <c:strRef>
              <c:f>[图表.xlsx]Sheet12!$B$4:$B$9</c:f>
              <c:strCache>
                <c:ptCount val="6"/>
                <c:pt idx="0">
                  <c:v>本年基本支出结转</c:v>
                </c:pt>
                <c:pt idx="1">
                  <c:v>上年基本支出结转</c:v>
                </c:pt>
                <c:pt idx="2">
                  <c:v>增长</c:v>
                </c:pt>
                <c:pt idx="3">
                  <c:v>本年项目支出结转</c:v>
                </c:pt>
                <c:pt idx="4">
                  <c:v>上年项目支出结转</c:v>
                </c:pt>
                <c:pt idx="5">
                  <c:v>增长</c:v>
                </c:pt>
              </c:strCache>
            </c:strRef>
          </c:cat>
          <c:val>
            <c:numRef>
              <c:f>[图表.xlsx]Sheet12!$C$4:$C$9</c:f>
              <c:numCache>
                <c:formatCode>General</c:formatCode>
                <c:ptCount val="6"/>
                <c:pt idx="0">
                  <c:v>3695.2</c:v>
                </c:pt>
                <c:pt idx="1">
                  <c:v>1525.32</c:v>
                </c:pt>
                <c:pt idx="2" formatCode="0%">
                  <c:v>1.42</c:v>
                </c:pt>
                <c:pt idx="3">
                  <c:v>115.5</c:v>
                </c:pt>
                <c:pt idx="4">
                  <c:v>96.43</c:v>
                </c:pt>
                <c:pt idx="5" formatCode="0%">
                  <c:v>0.2</c:v>
                </c:pt>
              </c:numCache>
            </c:numRef>
          </c:val>
          <c:extLst>
            <c:ext xmlns:c16="http://schemas.microsoft.com/office/drawing/2014/chart" uri="{C3380CC4-5D6E-409C-BE32-E72D297353CC}">
              <c16:uniqueId val="{00000000-C497-4E10-98B9-6C42C935863A}"/>
            </c:ext>
          </c:extLst>
        </c:ser>
        <c:dLbls>
          <c:showLegendKey val="0"/>
          <c:showVal val="1"/>
          <c:showCatName val="0"/>
          <c:showSerName val="0"/>
          <c:showPercent val="0"/>
          <c:showBubbleSize val="0"/>
        </c:dLbls>
        <c:gapWidth val="246"/>
        <c:overlap val="-28"/>
        <c:axId val="954106945"/>
        <c:axId val="596711652"/>
      </c:barChart>
      <c:catAx>
        <c:axId val="954106945"/>
        <c:scaling>
          <c:orientation val="minMax"/>
        </c:scaling>
        <c:delete val="0"/>
        <c:axPos val="b"/>
        <c:numFmt formatCode="General" sourceLinked="0"/>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596711652"/>
        <c:crosses val="autoZero"/>
        <c:auto val="1"/>
        <c:lblAlgn val="ctr"/>
        <c:lblOffset val="100"/>
        <c:noMultiLvlLbl val="0"/>
      </c:catAx>
      <c:valAx>
        <c:axId val="596711652"/>
        <c:scaling>
          <c:orientation val="minMax"/>
        </c:scaling>
        <c:delete val="0"/>
        <c:axPos val="l"/>
        <c:majorGridlines>
          <c:spPr>
            <a:ln w="9525" cap="flat" cmpd="sng" algn="ctr">
              <a:solidFill>
                <a:sysClr val="window" lastClr="FFFFFF">
                  <a:lumMod val="902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crossAx val="954106945"/>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en-US" altLang="zh-CN"/>
              <a:t>2023</a:t>
            </a:r>
            <a:r>
              <a:rPr lang="zh-CN" altLang="en-US"/>
              <a:t>年按预算级次收入情况</a:t>
            </a:r>
          </a:p>
        </c:rich>
      </c:tx>
      <c:layout>
        <c:manualLayout>
          <c:xMode val="edge"/>
          <c:yMode val="edge"/>
          <c:x val="0.26454164727780399"/>
          <c:y val="3.3613445378151301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p>
      </c:txPr>
    </c:title>
    <c:autoTitleDeleted val="0"/>
    <c:plotArea>
      <c:layout>
        <c:manualLayout>
          <c:layoutTarget val="inner"/>
          <c:xMode val="edge"/>
          <c:yMode val="edge"/>
          <c:x val="2.69892973476035E-2"/>
          <c:y val="0.13392857142857101"/>
          <c:w val="0.75407166123778502"/>
          <c:h val="0.82755602240896398"/>
        </c:manualLayout>
      </c:layout>
      <c:ofPieChart>
        <c:ofPieType val="bar"/>
        <c:varyColors val="1"/>
        <c:ser>
          <c:idx val="0"/>
          <c:order val="0"/>
          <c:dPt>
            <c:idx val="0"/>
            <c:bubble3D val="0"/>
            <c:spPr>
              <a:solidFill>
                <a:srgbClr val="4874CB"/>
              </a:solidFill>
              <a:ln>
                <a:solidFill>
                  <a:sysClr val="window" lastClr="FFFFFF"/>
                </a:solidFill>
              </a:ln>
              <a:effectLst/>
            </c:spPr>
            <c:extLst>
              <c:ext xmlns:c16="http://schemas.microsoft.com/office/drawing/2014/chart" uri="{C3380CC4-5D6E-409C-BE32-E72D297353CC}">
                <c16:uniqueId val="{00000001-D7D3-4779-9BDC-D1AD5EC31ED2}"/>
              </c:ext>
            </c:extLst>
          </c:dPt>
          <c:dPt>
            <c:idx val="1"/>
            <c:bubble3D val="0"/>
            <c:spPr>
              <a:solidFill>
                <a:srgbClr val="EE822F"/>
              </a:solidFill>
              <a:ln>
                <a:solidFill>
                  <a:sysClr val="window" lastClr="FFFFFF"/>
                </a:solidFill>
              </a:ln>
              <a:effectLst/>
            </c:spPr>
            <c:extLst>
              <c:ext xmlns:c16="http://schemas.microsoft.com/office/drawing/2014/chart" uri="{C3380CC4-5D6E-409C-BE32-E72D297353CC}">
                <c16:uniqueId val="{00000003-D7D3-4779-9BDC-D1AD5EC31ED2}"/>
              </c:ext>
            </c:extLst>
          </c:dPt>
          <c:dPt>
            <c:idx val="2"/>
            <c:bubble3D val="0"/>
            <c:spPr>
              <a:solidFill>
                <a:srgbClr val="F2BA02"/>
              </a:solidFill>
              <a:ln>
                <a:solidFill>
                  <a:sysClr val="window" lastClr="FFFFFF"/>
                </a:solidFill>
              </a:ln>
              <a:effectLst/>
            </c:spPr>
            <c:extLst>
              <c:ext xmlns:c16="http://schemas.microsoft.com/office/drawing/2014/chart" uri="{C3380CC4-5D6E-409C-BE32-E72D297353CC}">
                <c16:uniqueId val="{00000005-D7D3-4779-9BDC-D1AD5EC31ED2}"/>
              </c:ext>
            </c:extLst>
          </c:dPt>
          <c:dPt>
            <c:idx val="3"/>
            <c:bubble3D val="0"/>
            <c:spPr>
              <a:solidFill>
                <a:srgbClr val="75BD42"/>
              </a:solidFill>
              <a:ln>
                <a:solidFill>
                  <a:sysClr val="window" lastClr="FFFFFF"/>
                </a:solidFill>
              </a:ln>
              <a:effectLst/>
            </c:spPr>
            <c:extLst>
              <c:ext xmlns:c16="http://schemas.microsoft.com/office/drawing/2014/chart" uri="{C3380CC4-5D6E-409C-BE32-E72D297353CC}">
                <c16:uniqueId val="{00000007-D7D3-4779-9BDC-D1AD5EC31ED2}"/>
              </c:ext>
            </c:extLst>
          </c:dPt>
          <c:dLbls>
            <c:dLbl>
              <c:idx val="1"/>
              <c:layout>
                <c:manualLayout>
                  <c:x val="3.2866172717081299E-3"/>
                  <c:y val="0.15062418060977001"/>
                </c:manualLayout>
              </c:layout>
              <c:tx>
                <c:rich>
                  <a:bodyPr/>
                  <a:lstStyle/>
                  <a:p>
                    <a:r>
                      <a:rPr lang="zh-CN" altLang="en-US"/>
                      <a:t>师本级上年收入， </a:t>
                    </a:r>
                    <a:r>
                      <a:rPr lang="en-US" altLang="zh-CN"/>
                      <a:t>290972.78</a:t>
                    </a:r>
                  </a:p>
                </c:rich>
              </c:tx>
              <c:dLblPos val="bestFit"/>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7D3-4779-9BDC-D1AD5EC31ED2}"/>
                </c:ext>
              </c:extLst>
            </c:dLbl>
            <c:dLbl>
              <c:idx val="2"/>
              <c:layout>
                <c:manualLayout>
                  <c:x val="-0.114695565021298"/>
                  <c:y val="-3.2361021331609598E-2"/>
                </c:manualLayout>
              </c:layout>
              <c:tx>
                <c:rich>
                  <a:bodyPr/>
                  <a:lstStyle/>
                  <a:p>
                    <a:r>
                      <a:rPr lang="en-US" altLang="zh-CN"/>
                      <a:t>7%</a:t>
                    </a:r>
                  </a:p>
                </c:rich>
              </c:tx>
              <c:dLblPos val="bestFit"/>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7D3-4779-9BDC-D1AD5EC31ED2}"/>
                </c:ext>
              </c:extLst>
            </c:dLbl>
            <c:dLbl>
              <c:idx val="3"/>
              <c:delete val="1"/>
              <c:extLst>
                <c:ext xmlns:c15="http://schemas.microsoft.com/office/drawing/2012/chart" uri="{CE6537A1-D6FC-4f65-9D91-7224C49458BB}"/>
                <c:ext xmlns:c16="http://schemas.microsoft.com/office/drawing/2014/chart" uri="{C3380CC4-5D6E-409C-BE32-E72D297353CC}">
                  <c16:uniqueId val="{00000007-D7D3-4779-9BDC-D1AD5EC31ED2}"/>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75000"/>
                        <a:lumOff val="25000"/>
                      </a:sysClr>
                    </a:solidFill>
                    <a:latin typeface="+mn-lt"/>
                    <a:ea typeface="+mn-ea"/>
                    <a:cs typeface="+mn-cs"/>
                  </a:defRPr>
                </a:pPr>
                <a:endParaRPr lang="zh-CN"/>
              </a:p>
            </c:txPr>
            <c:dLblPos val="inEnd"/>
            <c:showLegendKey val="0"/>
            <c:showVal val="1"/>
            <c:showCatName val="1"/>
            <c:showSerName val="0"/>
            <c:showPercent val="0"/>
            <c:showBubbleSize val="0"/>
            <c:showLeaderLines val="1"/>
            <c:leaderLines>
              <c:spPr>
                <a:ln w="9525" cap="flat" cmpd="sng" algn="ctr">
                  <a:solidFill>
                    <a:sysClr val="windowText" lastClr="000000">
                      <a:lumMod val="35000"/>
                      <a:lumOff val="65000"/>
                    </a:sysClr>
                  </a:solidFill>
                  <a:round/>
                </a:ln>
                <a:effectLst/>
              </c:spPr>
            </c:leaderLines>
            <c:extLst>
              <c:ext xmlns:c15="http://schemas.microsoft.com/office/drawing/2012/chart" uri="{CE6537A1-D6FC-4f65-9D91-7224C49458BB}"/>
            </c:extLst>
          </c:dLbls>
          <c:cat>
            <c:strRef>
              <c:f>[图表.xlsx]Sheet13!$C$3:$C$5</c:f>
              <c:strCache>
                <c:ptCount val="3"/>
                <c:pt idx="0">
                  <c:v>师本级本年收入</c:v>
                </c:pt>
                <c:pt idx="1">
                  <c:v>师本级上年收入</c:v>
                </c:pt>
                <c:pt idx="2">
                  <c:v>增长</c:v>
                </c:pt>
              </c:strCache>
            </c:strRef>
          </c:cat>
          <c:val>
            <c:numRef>
              <c:f>[图表.xlsx]Sheet13!$D$3:$D$5</c:f>
              <c:numCache>
                <c:formatCode>General</c:formatCode>
                <c:ptCount val="3"/>
                <c:pt idx="0">
                  <c:v>311286.31</c:v>
                </c:pt>
                <c:pt idx="1">
                  <c:v>290972.78000000003</c:v>
                </c:pt>
                <c:pt idx="2" formatCode="0%">
                  <c:v>7.0000000000000007E-2</c:v>
                </c:pt>
              </c:numCache>
            </c:numRef>
          </c:val>
          <c:extLst>
            <c:ext xmlns:c16="http://schemas.microsoft.com/office/drawing/2014/chart" uri="{C3380CC4-5D6E-409C-BE32-E72D297353CC}">
              <c16:uniqueId val="{00000008-D7D3-4779-9BDC-D1AD5EC31ED2}"/>
            </c:ext>
          </c:extLst>
        </c:ser>
        <c:dLbls>
          <c:showLegendKey val="0"/>
          <c:showVal val="1"/>
          <c:showCatName val="1"/>
          <c:showSerName val="0"/>
          <c:showPercent val="0"/>
          <c:showBubbleSize val="0"/>
          <c:showLeaderLines val="1"/>
        </c:dLbls>
        <c:gapWidth val="100"/>
        <c:secondPieSize val="75"/>
        <c:serLines>
          <c:spPr>
            <a:ln w="9525" cap="flat" cmpd="sng" algn="ctr">
              <a:solidFill>
                <a:sysClr val="windowText" lastClr="000000">
                  <a:lumMod val="35000"/>
                  <a:lumOff val="65000"/>
                </a:sysClr>
              </a:solidFill>
              <a:round/>
            </a:ln>
            <a:effectLst/>
          </c:spPr>
        </c:serLines>
      </c:of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en-US" altLang="zh-CN"/>
              <a:t>2023</a:t>
            </a:r>
            <a:r>
              <a:rPr lang="zh-CN" altLang="en-US"/>
              <a:t>年按预算级次收入情况</a:t>
            </a:r>
          </a:p>
          <a:p>
            <a:pPr defTabSz="914400">
              <a:defRPr lang="zh-CN" sz="1400" b="1" i="0" u="none" strike="noStrike" kern="1200" baseline="0">
                <a:solidFill>
                  <a:sysClr val="windowText" lastClr="000000">
                    <a:lumMod val="75000"/>
                    <a:lumOff val="25000"/>
                  </a:sysClr>
                </a:solidFill>
                <a:latin typeface="+mn-lt"/>
                <a:ea typeface="+mn-ea"/>
                <a:cs typeface="+mn-cs"/>
              </a:defRPr>
            </a:pPr>
            <a:endParaRPr lang="zh-CN" altLang="en-US"/>
          </a:p>
        </c:rich>
      </c:tx>
      <c:overlay val="0"/>
      <c:spPr>
        <a:noFill/>
        <a:ln>
          <a:noFill/>
        </a:ln>
        <a:effectLst/>
      </c:spPr>
    </c:title>
    <c:autoTitleDeleted val="0"/>
    <c:plotArea>
      <c:layout/>
      <c:ofPieChart>
        <c:ofPieType val="bar"/>
        <c:varyColors val="1"/>
        <c:ser>
          <c:idx val="0"/>
          <c:order val="0"/>
          <c:dPt>
            <c:idx val="0"/>
            <c:bubble3D val="0"/>
            <c:spPr>
              <a:solidFill>
                <a:srgbClr val="4874CB"/>
              </a:solidFill>
              <a:ln w="9525">
                <a:solidFill>
                  <a:sysClr val="window" lastClr="FFFFFF"/>
                </a:solidFill>
              </a:ln>
              <a:effectLst/>
            </c:spPr>
            <c:extLst>
              <c:ext xmlns:c16="http://schemas.microsoft.com/office/drawing/2014/chart" uri="{C3380CC4-5D6E-409C-BE32-E72D297353CC}">
                <c16:uniqueId val="{00000001-3D96-45C9-B51F-E09B324C3B27}"/>
              </c:ext>
            </c:extLst>
          </c:dPt>
          <c:dPt>
            <c:idx val="1"/>
            <c:bubble3D val="0"/>
            <c:spPr>
              <a:solidFill>
                <a:srgbClr val="EE822F"/>
              </a:solidFill>
              <a:ln w="9525">
                <a:solidFill>
                  <a:sysClr val="window" lastClr="FFFFFF"/>
                </a:solidFill>
              </a:ln>
              <a:effectLst/>
            </c:spPr>
            <c:extLst>
              <c:ext xmlns:c16="http://schemas.microsoft.com/office/drawing/2014/chart" uri="{C3380CC4-5D6E-409C-BE32-E72D297353CC}">
                <c16:uniqueId val="{00000003-3D96-45C9-B51F-E09B324C3B27}"/>
              </c:ext>
            </c:extLst>
          </c:dPt>
          <c:dPt>
            <c:idx val="2"/>
            <c:bubble3D val="0"/>
            <c:spPr>
              <a:solidFill>
                <a:srgbClr val="F2BA02"/>
              </a:solidFill>
              <a:ln w="9525">
                <a:solidFill>
                  <a:sysClr val="window" lastClr="FFFFFF"/>
                </a:solidFill>
              </a:ln>
              <a:effectLst/>
            </c:spPr>
            <c:extLst>
              <c:ext xmlns:c16="http://schemas.microsoft.com/office/drawing/2014/chart" uri="{C3380CC4-5D6E-409C-BE32-E72D297353CC}">
                <c16:uniqueId val="{00000005-3D96-45C9-B51F-E09B324C3B27}"/>
              </c:ext>
            </c:extLst>
          </c:dPt>
          <c:dPt>
            <c:idx val="3"/>
            <c:bubble3D val="0"/>
            <c:spPr>
              <a:solidFill>
                <a:srgbClr val="75BD42"/>
              </a:solidFill>
              <a:ln w="9525">
                <a:solidFill>
                  <a:sysClr val="window" lastClr="FFFFFF"/>
                </a:solidFill>
              </a:ln>
              <a:effectLst/>
            </c:spPr>
            <c:extLst>
              <c:ext xmlns:c16="http://schemas.microsoft.com/office/drawing/2014/chart" uri="{C3380CC4-5D6E-409C-BE32-E72D297353CC}">
                <c16:uniqueId val="{00000007-3D96-45C9-B51F-E09B324C3B27}"/>
              </c:ext>
            </c:extLst>
          </c:dPt>
          <c:dLbls>
            <c:dLbl>
              <c:idx val="0"/>
              <c:tx>
                <c:rich>
                  <a:bodyPr rot="0" spcFirstLastPara="0" vertOverflow="ellipsis" vert="horz" wrap="square" lIns="38100" tIns="19050" rIns="38100" bIns="19050" anchor="ctr" anchorCtr="1"/>
                  <a:lstStyle/>
                  <a:p>
                    <a:pPr defTabSz="914400">
                      <a:defRPr lang="zh-CN" sz="1000" b="1" i="0" u="none" strike="noStrike" kern="1200" spc="0" baseline="0">
                        <a:solidFill>
                          <a:srgbClr val="4874CB"/>
                        </a:solidFill>
                        <a:latin typeface="+mn-lt"/>
                        <a:ea typeface="+mn-ea"/>
                        <a:cs typeface="+mn-cs"/>
                      </a:defRPr>
                    </a:pPr>
                    <a:r>
                      <a:rPr lang="zh-CN" altLang="en-US"/>
                      <a:t>团场本年收入</a:t>
                    </a:r>
                    <a:r>
                      <a:rPr lang="en-US" altLang="zh-CN"/>
                      <a:t>, 161444.76</a:t>
                    </a:r>
                  </a:p>
                </c:rich>
              </c:tx>
              <c:spPr>
                <a:noFill/>
                <a:ln>
                  <a:noFill/>
                </a:ln>
                <a:effectLst/>
              </c:spPr>
              <c:dLblPos val="outEnd"/>
              <c:showLegendKey val="0"/>
              <c:showVal val="1"/>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3D96-45C9-B51F-E09B324C3B27}"/>
                </c:ext>
              </c:extLst>
            </c:dLbl>
            <c:dLbl>
              <c:idx val="1"/>
              <c:tx>
                <c:rich>
                  <a:bodyPr rot="0" spcFirstLastPara="0" vertOverflow="ellipsis" vert="horz" wrap="square" lIns="38100" tIns="19050" rIns="38100" bIns="19050" anchor="ctr" anchorCtr="1"/>
                  <a:lstStyle/>
                  <a:p>
                    <a:pPr defTabSz="914400">
                      <a:defRPr lang="zh-CN" sz="1000" b="1" i="0" u="none" strike="noStrike" kern="1200" spc="0" baseline="0">
                        <a:solidFill>
                          <a:srgbClr val="EE822F"/>
                        </a:solidFill>
                        <a:latin typeface="+mn-lt"/>
                        <a:ea typeface="+mn-ea"/>
                        <a:cs typeface="+mn-cs"/>
                      </a:defRPr>
                    </a:pPr>
                    <a:r>
                      <a:rPr lang="zh-CN" altLang="en-US"/>
                      <a:t>团场上年收入</a:t>
                    </a:r>
                    <a:r>
                      <a:rPr lang="en-US" altLang="zh-CN"/>
                      <a:t>, 200823.2</a:t>
                    </a:r>
                  </a:p>
                </c:rich>
              </c:tx>
              <c:spPr>
                <a:noFill/>
                <a:ln>
                  <a:noFill/>
                </a:ln>
                <a:effectLst/>
              </c:spPr>
              <c:dLblPos val="outEnd"/>
              <c:showLegendKey val="0"/>
              <c:showVal val="1"/>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3D96-45C9-B51F-E09B324C3B27}"/>
                </c:ext>
              </c:extLst>
            </c:dLbl>
            <c:dLbl>
              <c:idx val="2"/>
              <c:layout>
                <c:manualLayout>
                  <c:x val="7.8957757599684205E-3"/>
                  <c:y val="-0.23055555555555601"/>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rgbClr val="F2BA02"/>
                        </a:solidFill>
                        <a:latin typeface="+mn-lt"/>
                        <a:ea typeface="+mn-ea"/>
                        <a:cs typeface="+mn-cs"/>
                      </a:defRPr>
                    </a:pPr>
                    <a:r>
                      <a:rPr lang="zh-CN" altLang="en-US"/>
                      <a:t>下降</a:t>
                    </a:r>
                    <a:r>
                      <a:rPr lang="en-US" altLang="zh-CN"/>
                      <a:t>, 20%</a:t>
                    </a:r>
                  </a:p>
                </c:rich>
              </c:tx>
              <c:spPr>
                <a:noFill/>
                <a:ln>
                  <a:noFill/>
                </a:ln>
                <a:effectLst/>
              </c:spPr>
              <c:dLblPos val="bestFit"/>
              <c:showLegendKey val="0"/>
              <c:showVal val="1"/>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3D96-45C9-B51F-E09B324C3B27}"/>
                </c:ext>
              </c:extLst>
            </c:dLbl>
            <c:dLbl>
              <c:idx val="3"/>
              <c:delete val="1"/>
              <c:extLst>
                <c:ext xmlns:c15="http://schemas.microsoft.com/office/drawing/2012/chart" uri="{CE6537A1-D6FC-4f65-9D91-7224C49458BB}"/>
                <c:ext xmlns:c16="http://schemas.microsoft.com/office/drawing/2014/chart" uri="{C3380CC4-5D6E-409C-BE32-E72D297353CC}">
                  <c16:uniqueId val="{00000007-3D96-45C9-B51F-E09B324C3B27}"/>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rgbClr val="4874CB"/>
                    </a:solidFill>
                    <a:latin typeface="+mn-lt"/>
                    <a:ea typeface="+mn-ea"/>
                    <a:cs typeface="+mn-cs"/>
                  </a:defRPr>
                </a:pPr>
                <a:endParaRPr lang="zh-CN"/>
              </a:p>
            </c:txPr>
            <c:dLblPos val="outEnd"/>
            <c:showLegendKey val="0"/>
            <c:showVal val="1"/>
            <c:showCatName val="1"/>
            <c:showSerName val="0"/>
            <c:showPercent val="1"/>
            <c:showBubbleSize val="0"/>
            <c:showLeaderLines val="1"/>
            <c:leaderLines>
              <c:spPr>
                <a:ln w="9525" cap="flat" cmpd="sng" algn="ctr">
                  <a:solidFill>
                    <a:sysClr val="windowText" lastClr="000000">
                      <a:lumMod val="35000"/>
                      <a:lumOff val="65000"/>
                    </a:sysClr>
                  </a:solidFill>
                  <a:round/>
                </a:ln>
                <a:effectLst/>
              </c:spPr>
            </c:leaderLines>
            <c:extLst>
              <c:ext xmlns:c15="http://schemas.microsoft.com/office/drawing/2012/chart" uri="{CE6537A1-D6FC-4f65-9D91-7224C49458BB}"/>
            </c:extLst>
          </c:dLbls>
          <c:cat>
            <c:strRef>
              <c:f>[图表.xlsx]Sheet13!$C$6:$C$8</c:f>
              <c:strCache>
                <c:ptCount val="3"/>
                <c:pt idx="0">
                  <c:v>团场本年收入</c:v>
                </c:pt>
                <c:pt idx="1">
                  <c:v>团场上年收入</c:v>
                </c:pt>
                <c:pt idx="2">
                  <c:v>下降</c:v>
                </c:pt>
              </c:strCache>
            </c:strRef>
          </c:cat>
          <c:val>
            <c:numRef>
              <c:f>[图表.xlsx]Sheet13!$D$6:$D$8</c:f>
              <c:numCache>
                <c:formatCode>General</c:formatCode>
                <c:ptCount val="3"/>
                <c:pt idx="0">
                  <c:v>161444.76</c:v>
                </c:pt>
                <c:pt idx="1">
                  <c:v>200823.2</c:v>
                </c:pt>
                <c:pt idx="2" formatCode="0%">
                  <c:v>0.2</c:v>
                </c:pt>
              </c:numCache>
            </c:numRef>
          </c:val>
          <c:extLst>
            <c:ext xmlns:c16="http://schemas.microsoft.com/office/drawing/2014/chart" uri="{C3380CC4-5D6E-409C-BE32-E72D297353CC}">
              <c16:uniqueId val="{00000008-3D96-45C9-B51F-E09B324C3B27}"/>
            </c:ext>
          </c:extLst>
        </c:ser>
        <c:dLbls>
          <c:showLegendKey val="0"/>
          <c:showVal val="1"/>
          <c:showCatName val="0"/>
          <c:showSerName val="0"/>
          <c:showPercent val="0"/>
          <c:showBubbleSize val="0"/>
          <c:showLeaderLines val="1"/>
        </c:dLbls>
        <c:gapWidth val="100"/>
        <c:secondPieSize val="75"/>
        <c:serLines>
          <c:spPr>
            <a:ln w="9525" cap="flat" cmpd="sng" algn="ctr">
              <a:solidFill>
                <a:sysClr val="windowText" lastClr="000000">
                  <a:lumMod val="35000"/>
                  <a:lumOff val="65000"/>
                </a:sysClr>
              </a:solidFill>
              <a:round/>
            </a:ln>
            <a:effectLst/>
          </c:spPr>
        </c:serLines>
      </c:of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1" i="0" u="none" strike="noStrike" kern="1200" baseline="0">
                <a:solidFill>
                  <a:sysClr val="windowText" lastClr="000000">
                    <a:lumMod val="75000"/>
                    <a:lumOff val="25000"/>
                  </a:sysClr>
                </a:solidFill>
                <a:latin typeface="+mn-lt"/>
                <a:ea typeface="+mn-ea"/>
                <a:cs typeface="+mn-cs"/>
              </a:defRPr>
            </a:pPr>
            <a:r>
              <a:rPr lang="en-US" altLang="zh-CN"/>
              <a:t>2023</a:t>
            </a:r>
            <a:r>
              <a:rPr lang="zh-CN" altLang="en-US"/>
              <a:t>年按预算级次收入情况</a:t>
            </a:r>
          </a:p>
        </c:rich>
      </c:tx>
      <c:layout>
        <c:manualLayout>
          <c:xMode val="edge"/>
          <c:yMode val="edge"/>
          <c:x val="0.34552631578947401"/>
          <c:y val="2.5000000000000001E-2"/>
        </c:manualLayout>
      </c:layout>
      <c:overlay val="0"/>
      <c:spPr>
        <a:noFill/>
        <a:ln>
          <a:noFill/>
        </a:ln>
        <a:effectLst/>
      </c:spPr>
    </c:title>
    <c:autoTitleDeleted val="0"/>
    <c:plotArea>
      <c:layout/>
      <c:ofPieChart>
        <c:ofPieType val="bar"/>
        <c:varyColors val="1"/>
        <c:ser>
          <c:idx val="0"/>
          <c:order val="0"/>
          <c:dPt>
            <c:idx val="0"/>
            <c:bubble3D val="0"/>
            <c:spPr>
              <a:solidFill>
                <a:srgbClr val="4874CB"/>
              </a:solidFill>
              <a:ln w="9525">
                <a:solidFill>
                  <a:sysClr val="window" lastClr="FFFFFF"/>
                </a:solidFill>
              </a:ln>
              <a:effectLst/>
            </c:spPr>
            <c:extLst>
              <c:ext xmlns:c16="http://schemas.microsoft.com/office/drawing/2014/chart" uri="{C3380CC4-5D6E-409C-BE32-E72D297353CC}">
                <c16:uniqueId val="{00000001-827E-49B9-BE9E-5651FEF35030}"/>
              </c:ext>
            </c:extLst>
          </c:dPt>
          <c:dPt>
            <c:idx val="1"/>
            <c:bubble3D val="0"/>
            <c:spPr>
              <a:solidFill>
                <a:srgbClr val="EE822F"/>
              </a:solidFill>
              <a:ln w="9525">
                <a:solidFill>
                  <a:sysClr val="window" lastClr="FFFFFF"/>
                </a:solidFill>
              </a:ln>
              <a:effectLst/>
            </c:spPr>
            <c:extLst>
              <c:ext xmlns:c16="http://schemas.microsoft.com/office/drawing/2014/chart" uri="{C3380CC4-5D6E-409C-BE32-E72D297353CC}">
                <c16:uniqueId val="{00000003-827E-49B9-BE9E-5651FEF35030}"/>
              </c:ext>
            </c:extLst>
          </c:dPt>
          <c:dPt>
            <c:idx val="2"/>
            <c:bubble3D val="0"/>
            <c:spPr>
              <a:solidFill>
                <a:srgbClr val="F2BA02"/>
              </a:solidFill>
              <a:ln w="9525">
                <a:solidFill>
                  <a:sysClr val="window" lastClr="FFFFFF"/>
                </a:solidFill>
              </a:ln>
              <a:effectLst/>
            </c:spPr>
            <c:extLst>
              <c:ext xmlns:c16="http://schemas.microsoft.com/office/drawing/2014/chart" uri="{C3380CC4-5D6E-409C-BE32-E72D297353CC}">
                <c16:uniqueId val="{00000005-827E-49B9-BE9E-5651FEF35030}"/>
              </c:ext>
            </c:extLst>
          </c:dPt>
          <c:dPt>
            <c:idx val="3"/>
            <c:bubble3D val="0"/>
            <c:spPr>
              <a:solidFill>
                <a:srgbClr val="75BD42"/>
              </a:solidFill>
              <a:ln w="9525">
                <a:solidFill>
                  <a:sysClr val="window" lastClr="FFFFFF"/>
                </a:solidFill>
              </a:ln>
              <a:effectLst/>
            </c:spPr>
            <c:extLst>
              <c:ext xmlns:c16="http://schemas.microsoft.com/office/drawing/2014/chart" uri="{C3380CC4-5D6E-409C-BE32-E72D297353CC}">
                <c16:uniqueId val="{00000007-827E-49B9-BE9E-5651FEF35030}"/>
              </c:ext>
            </c:extLst>
          </c:dPt>
          <c:dLbls>
            <c:dLbl>
              <c:idx val="3"/>
              <c:delete val="1"/>
              <c:extLst>
                <c:ext xmlns:c15="http://schemas.microsoft.com/office/drawing/2012/chart" uri="{CE6537A1-D6FC-4f65-9D91-7224C49458BB}"/>
                <c:ext xmlns:c16="http://schemas.microsoft.com/office/drawing/2014/chart" uri="{C3380CC4-5D6E-409C-BE32-E72D297353CC}">
                  <c16:uniqueId val="{00000007-827E-49B9-BE9E-5651FEF35030}"/>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lumMod val="65000"/>
                        <a:lumOff val="35000"/>
                      </a:sysClr>
                    </a:solidFill>
                    <a:latin typeface="+mn-lt"/>
                    <a:ea typeface="+mn-ea"/>
                    <a:cs typeface="+mn-cs"/>
                  </a:defRPr>
                </a:pPr>
                <a:endParaRPr lang="zh-CN"/>
              </a:p>
            </c:txPr>
            <c:dLblPos val="bestFit"/>
            <c:showLegendKey val="0"/>
            <c:showVal val="1"/>
            <c:showCatName val="1"/>
            <c:showSerName val="0"/>
            <c:showPercent val="0"/>
            <c:showBubbleSize val="0"/>
            <c:showLeaderLines val="1"/>
            <c:leaderLines>
              <c:spPr>
                <a:ln w="9525" cap="flat" cmpd="sng" algn="ctr">
                  <a:solidFill>
                    <a:sysClr val="windowText" lastClr="000000">
                      <a:lumMod val="35000"/>
                      <a:lumOff val="65000"/>
                    </a:sysClr>
                  </a:solidFill>
                  <a:round/>
                </a:ln>
                <a:effectLst/>
              </c:spPr>
            </c:leaderLines>
            <c:extLst>
              <c:ext xmlns:c15="http://schemas.microsoft.com/office/drawing/2012/chart" uri="{CE6537A1-D6FC-4f65-9D91-7224C49458BB}"/>
            </c:extLst>
          </c:dLbls>
          <c:cat>
            <c:strRef>
              <c:f>[图表.xlsx]Sheet14!$C$2:$C$4</c:f>
              <c:strCache>
                <c:ptCount val="3"/>
                <c:pt idx="0">
                  <c:v>本年师本级</c:v>
                </c:pt>
                <c:pt idx="1">
                  <c:v>上年师本级</c:v>
                </c:pt>
                <c:pt idx="2">
                  <c:v>增长</c:v>
                </c:pt>
              </c:strCache>
            </c:strRef>
          </c:cat>
          <c:val>
            <c:numRef>
              <c:f>[图表.xlsx]Sheet14!$D$2:$D$4</c:f>
              <c:numCache>
                <c:formatCode>General</c:formatCode>
                <c:ptCount val="3"/>
                <c:pt idx="0">
                  <c:v>309050.94</c:v>
                </c:pt>
                <c:pt idx="1">
                  <c:v>292966.57</c:v>
                </c:pt>
                <c:pt idx="2" formatCode="0%">
                  <c:v>0.05</c:v>
                </c:pt>
              </c:numCache>
            </c:numRef>
          </c:val>
          <c:extLst>
            <c:ext xmlns:c16="http://schemas.microsoft.com/office/drawing/2014/chart" uri="{C3380CC4-5D6E-409C-BE32-E72D297353CC}">
              <c16:uniqueId val="{00000008-827E-49B9-BE9E-5651FEF35030}"/>
            </c:ext>
          </c:extLst>
        </c:ser>
        <c:dLbls>
          <c:showLegendKey val="0"/>
          <c:showVal val="1"/>
          <c:showCatName val="0"/>
          <c:showSerName val="0"/>
          <c:showPercent val="0"/>
          <c:showBubbleSize val="0"/>
          <c:showLeaderLines val="1"/>
        </c:dLbls>
        <c:gapWidth val="100"/>
        <c:secondPieSize val="75"/>
        <c:serLines>
          <c:spPr>
            <a:ln w="9525" cap="flat" cmpd="sng" algn="ctr">
              <a:solidFill>
                <a:sysClr val="windowText" lastClr="000000">
                  <a:lumMod val="35000"/>
                  <a:lumOff val="65000"/>
                </a:sysClr>
              </a:solidFill>
              <a:round/>
            </a:ln>
            <a:effectLst/>
          </c:spPr>
        </c:serLines>
      </c:ofPieChart>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18">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lumMod val="96000"/>
        </a:sysClr>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ysClr val="windowText" lastClr="000000"/>
    </cs:fontRef>
    <cs:spPr>
      <a:gradFill>
        <a:gsLst>
          <a:gs pos="100000">
            <a:srgbClr val="FFFFFF"/>
          </a:gs>
          <a:gs pos="0">
            <a:srgbClr val="FFFFFF">
              <a:hueOff val="-1670000"/>
            </a:srgbClr>
          </a:gs>
        </a:gsLst>
        <a:lin ang="5400000" scaled="0"/>
      </a:gradFill>
      <a:ln>
        <a:gradFill>
          <a:gsLst>
            <a:gs pos="100000">
              <a:srgbClr val="BFBFBF">
                <a:lumMod val="75000"/>
              </a:srgbClr>
            </a:gs>
            <a:gs pos="0">
              <a:srgbClr val="BFBFBF">
                <a:lumMod val="75000"/>
                <a:hueOff val="-1670000"/>
              </a:srgbClr>
            </a:gs>
          </a:gsLst>
          <a:lin ang="5280000" scaled="0"/>
        </a:gradFill>
      </a:ln>
      <a:effectLst/>
    </cs:spPr>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a:solidFill>
          <a:sysClr val="windowText" lastClr="000000">
            <a:lumMod val="35000"/>
            <a:lumOff val="65000"/>
          </a:sysClr>
        </a:solidFill>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a:solidFill>
          <a:sysClr val="windowText" lastClr="000000">
            <a:lumMod val="75000"/>
            <a:lumOff val="25000"/>
          </a:sysClr>
        </a:solidFill>
      </a:ln>
    </cs:spPr>
  </cs:hiLoLine>
  <cs:leaderLine>
    <cs:lnRef idx="0"/>
    <cs:fillRef idx="0"/>
    <cs:effectRef idx="0"/>
    <cs:fontRef idx="minor">
      <a:sysClr val="windowText" lastClr="000000"/>
    </cs:fontRef>
    <cs:spPr>
      <a:ln w="9525">
        <a:solidFill>
          <a:sysClr val="windowText" lastClr="000000">
            <a:lumMod val="35000"/>
            <a:lumOff val="65000"/>
          </a:sysClr>
        </a:solidFill>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a:solidFill>
          <a:sysClr val="windowText" lastClr="000000">
            <a:lumMod val="35000"/>
            <a:lumOff val="65000"/>
          </a:sysClr>
        </a:solidFill>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10.xml><?xml version="1.0" encoding="utf-8"?>
<cs:chartStyle xmlns:cs="http://schemas.microsoft.com/office/drawing/2012/chartStyle" xmlns:a="http://schemas.openxmlformats.org/drawingml/2006/main" id="100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ysClr val="windowText" lastClr="000000"/>
    </cs:fontRef>
    <cs:spPr>
      <a:ln>
        <a:noFill/>
      </a:ln>
      <a:effectLst/>
    </cs:spPr>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10012">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ysClr val="windowText" lastClr="000000"/>
    </cs:fontRef>
    <cs:spPr>
      <a:ln>
        <a:solidFill>
          <a:sysClr val="window" lastClr="FFFFFF"/>
        </a:solidFill>
      </a:ln>
      <a:effectLst/>
    </cs:spPr>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3.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4.xml><?xml version="1.0" encoding="utf-8"?>
<cs:chartStyle xmlns:cs="http://schemas.microsoft.com/office/drawing/2012/chartStyle" xmlns:a="http://schemas.openxmlformats.org/drawingml/2006/main" id="10082">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9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solidFill>
          <a:srgbClr val="FFFFFF"/>
        </a:solidFill>
      </a:ln>
      <a:effectLst/>
    </cs:spPr>
  </cs:dataPoint>
  <cs:dataPoint3D>
    <cs:lnRef idx="0"/>
    <cs:fillRef idx="1">
      <cs:styleClr val="auto"/>
    </cs:fillRef>
    <cs:effectRef idx="0"/>
    <cs:fontRef idx="minor">
      <a:srgbClr val="000000"/>
    </cs:fontRef>
    <cs:spPr>
      <a:ln w="25400">
        <a:solidFill>
          <a:srgbClr val="FFFFFF"/>
        </a:solidFill>
      </a:ln>
    </cs:spPr>
  </cs:dataPoint3D>
  <cs:dataPointLine>
    <cs:lnRef idx="0">
      <cs:styleClr val="auto"/>
    </cs:lnRef>
    <cs:fillRef idx="0"/>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5.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6.xml><?xml version="1.0" encoding="utf-8"?>
<cs:chartStyle xmlns:cs="http://schemas.microsoft.com/office/drawing/2012/chartStyle" xmlns:a="http://schemas.openxmlformats.org/drawingml/2006/main" id="100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ysClr val="windowText" lastClr="000000"/>
    </cs:fontRef>
    <cs:spPr>
      <a:ln>
        <a:noFill/>
      </a:ln>
      <a:effectLst/>
    </cs:spPr>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7.xml><?xml version="1.0" encoding="utf-8"?>
<cs:chartStyle xmlns:cs="http://schemas.microsoft.com/office/drawing/2012/chartStyle" xmlns:a="http://schemas.openxmlformats.org/drawingml/2006/main" id="10082">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9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ysClr val="windowText" lastClr="000000"/>
    </cs:fontRef>
    <cs:spPr>
      <a:ln>
        <a:solidFill>
          <a:sysClr val="window" lastClr="FFFFFF"/>
        </a:solidFill>
      </a:ln>
      <a:effectLst/>
    </cs:spPr>
  </cs:dataPoint>
  <cs:dataPoint3D>
    <cs:lnRef idx="0"/>
    <cs:fillRef idx="1">
      <cs:styleClr val="auto"/>
    </cs:fillRef>
    <cs:effectRef idx="0"/>
    <cs:fontRef idx="minor">
      <a:sysClr val="windowText" lastClr="000000"/>
    </cs:fontRef>
    <cs:spPr>
      <a:ln w="25400">
        <a:solidFill>
          <a:sysClr val="window" lastClr="FFFFFF"/>
        </a:solidFill>
      </a:ln>
    </cs:spPr>
  </cs:dataPoint3D>
  <cs:dataPointLine>
    <cs:lnRef idx="0">
      <cs:styleClr val="auto"/>
    </cs:lnRef>
    <cs:fillRef idx="0"/>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0"/>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8.xml><?xml version="1.0" encoding="utf-8"?>
<cs:chartStyle xmlns:cs="http://schemas.microsoft.com/office/drawing/2012/chartStyle" xmlns:a="http://schemas.openxmlformats.org/drawingml/2006/main" id="10073">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0">
      <cs:styleClr val="auto"/>
    </cs:fillRef>
    <cs:effectRef idx="0"/>
    <cs:fontRef idx="minor">
      <a:sysClr val="windowText" lastClr="000000"/>
    </cs:fontRef>
    <cs:spPr>
      <a:ln w="28575" cap="rnd">
        <a:solidFill>
          <a:srgbClr val="FFFFFF"/>
        </a:solidFill>
        <a:round/>
      </a:ln>
      <a:effectLst/>
    </cs:spPr>
  </cs:dataPointLine>
  <cs:dataPointMarker>
    <cs:lnRef idx="0">
      <cs:styleClr val="auto"/>
    </cs:lnRef>
    <cs:fillRef idx="1">
      <cs:styleClr val="auto"/>
    </cs:fillRef>
    <cs:effectRef idx="0"/>
    <cs:fontRef idx="minor">
      <a:sysClr val="windowText" lastClr="000000"/>
    </cs:fontRef>
    <cs:spPr>
      <a:ln w="9525">
        <a:solidFill>
          <a:srgbClr val="FFFFFF"/>
        </a:solidFill>
      </a:ln>
      <a:effectLst/>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9.xml><?xml version="1.0" encoding="utf-8"?>
<cs:chartStyle xmlns:cs="http://schemas.microsoft.com/office/drawing/2012/chartStyle" xmlns:a="http://schemas.openxmlformats.org/drawingml/2006/main" id="100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10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ysClr val="windowText" lastClr="000000"/>
    </cs:fontRef>
    <cs:spPr>
      <a:ln>
        <a:noFill/>
      </a:ln>
      <a:effectLst/>
    </cs:spPr>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rgbClr val="FFFFFF"/>
        </a:solidFill>
        <a:round/>
      </a:ln>
    </cs:spPr>
  </cs:dataPointLine>
  <cs:dataPointMarker>
    <cs:lnRef idx="0">
      <cs:styleClr val="auto"/>
    </cs:lnRef>
    <cs:fillRef idx="1">
      <cs:styleClr val="auto"/>
    </cs:fillRef>
    <cs:effectRef idx="0"/>
    <cs:fontRef idx="minor">
      <a:sysClr val="windowText" lastClr="000000"/>
    </cs:fontRef>
    <cs:spPr>
      <a:ln w="9525">
        <a:solidFill>
          <a:srgbClr val="FFFFFF"/>
        </a:solidFill>
      </a:ln>
    </cs:spPr>
  </cs:dataPointMarker>
  <cs:dataPointMarkerLayout symbol="circle" size="5"/>
  <cs:dataPointWireframe>
    <cs:lnRef idx="0">
      <cs:styleClr val="auto"/>
    </cs:lnRef>
    <cs:fillRef idx="1"/>
    <cs:effectRef idx="0"/>
    <cs:fontRef idx="minor">
      <a:sysClr val="windowText" lastClr="000000"/>
    </cs:fontRef>
    <cs:spPr>
      <a:ln w="9525" cap="rnd">
        <a:solidFill>
          <a:srgbClr val="FFFFFF"/>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 lastClr="FFFFFF">
            <a:lumMod val="902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75000"/>
        <a:lumOff val="25000"/>
      </a:sysClr>
    </cs:fontRef>
    <cs:defRPr sz="1400" b="1" kern="1200" baseline="0"/>
  </cs:title>
  <cs:trendline>
    <cs:lnRef idx="0">
      <cs:styleClr val="auto"/>
    </cs:lnRef>
    <cs:fillRef idx="0"/>
    <cs:effectRef idx="0"/>
    <cs:fontRef idx="minor">
      <a:sysClr val="windowText" lastClr="000000"/>
    </cs:fontRef>
    <cs:spPr>
      <a:ln w="19050" cap="rnd">
        <a:solidFill>
          <a:srgbClr val="FFFFFF"/>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10.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1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1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4.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5.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6.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7.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8.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9.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rgbClr val="FFFFFF"/>
      </a:solidFill>
      <a:gradFill>
        <a:gsLst>
          <a:gs pos="0">
            <a:srgbClr val="FFFFFF">
              <a:lumOff val="17500"/>
            </a:srgbClr>
          </a:gs>
          <a:gs pos="100000">
            <a:srgbClr val="FFFFFF"/>
          </a:gs>
        </a:gsLst>
        <a:lin ang="2700000" scaled="0"/>
      </a:gradFill>
      <a:gradFill>
        <a:gsLst>
          <a:gs pos="0">
            <a:srgbClr val="FFFFFF">
              <a:hueOff val="-2520000"/>
            </a:srgbClr>
          </a:gs>
          <a:gs pos="100000">
            <a:srgbClr val="FFFFFF"/>
          </a:gs>
        </a:gsLst>
        <a:lin ang="2700000" scaled="0"/>
      </a:gradFill>
    </a:fillStyleLst>
    <a:lnStyleLst>
      <a:ln w="12700" cap="flat" cmpd="sng" algn="ctr">
        <a:solidFill>
          <a:srgbClr val="FFFFFF"/>
        </a:solidFill>
        <a:prstDash val="solid"/>
        <a:miter lim="800000"/>
      </a:ln>
      <a:ln w="12700" cap="flat" cmpd="sng" algn="ctr">
        <a:solidFill>
          <a:srgbClr val="FFFFFF"/>
        </a:solidFill>
        <a:prstDash val="solid"/>
        <a:miter lim="800000"/>
      </a:ln>
      <a:ln w="12700" cap="flat" cmpd="sng" algn="ctr">
        <a:gradFill>
          <a:gsLst>
            <a:gs pos="0">
              <a:srgbClr val="FFFFFF">
                <a:hueOff val="-4200000"/>
              </a:srgbClr>
            </a:gs>
            <a:gs pos="100000">
              <a:srgbClr val="FFFFFF"/>
            </a:gs>
          </a:gsLst>
          <a:lin ang="2700000" scaled="1"/>
        </a:gradFill>
        <a:prstDash val="solid"/>
        <a:miter lim="800000"/>
      </a:ln>
    </a:lnStyleLst>
    <a:effectStyleLst>
      <a:effectStyle>
        <a:effectLst>
          <a:outerShdw blurRad="101600" dist="50800" dir="5400000" algn="ctr" rotWithShape="0">
            <a:srgbClr val="FFFFFF">
              <a:alpha val="60000"/>
            </a:srgb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Pages>
  <Words>4752</Words>
  <Characters>27089</Characters>
  <Application>Microsoft Office Word</Application>
  <DocSecurity>0</DocSecurity>
  <PresentationFormat/>
  <Lines>225</Lines>
  <Paragraphs>63</Paragraphs>
  <Slides>0</Slides>
  <Notes>0</Notes>
  <HiddenSlides>0</HiddenSlides>
  <MMClips>0</MMClips>
  <ScaleCrop>false</ScaleCrop>
  <Manager/>
  <Company>Freesoho</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部门决算分析报告撰写提纲（部门用）</dc:title>
  <dc:subject/>
  <dc:creator>lfq</dc:creator>
  <cp:keywords/>
  <dc:description/>
  <cp:lastModifiedBy>BR Z</cp:lastModifiedBy>
  <cp:revision>3</cp:revision>
  <dcterms:created xsi:type="dcterms:W3CDTF">2024-12-27T03:39:00Z</dcterms:created>
  <dcterms:modified xsi:type="dcterms:W3CDTF">2024-12-27T03:39:00Z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10FE4CC836364FDE8170B072A20B64F7_13</vt:lpwstr>
  </property>
</Properties>
</file>