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91861" w14:textId="230252CD" w:rsidR="00194167" w:rsidRPr="00042081" w:rsidRDefault="00B51D34" w:rsidP="00CB7B03">
      <w:pPr>
        <w:pStyle w:val="Heading1"/>
        <w:tabs>
          <w:tab w:val="left" w:pos="6210"/>
        </w:tabs>
        <w:spacing w:before="80" w:line="379" w:lineRule="auto"/>
        <w:ind w:left="0" w:right="3410" w:firstLine="2459"/>
      </w:pPr>
      <w:r>
        <w:t xml:space="preserve">TASK ORDER </w:t>
      </w:r>
      <w:r w:rsidRPr="003A587D">
        <w:t>#</w:t>
      </w:r>
      <w:r w:rsidRPr="005D5C46">
        <w:rPr>
          <w:color w:val="FF0000"/>
        </w:rPr>
        <w:t xml:space="preserve"> </w:t>
      </w:r>
    </w:p>
    <w:p w14:paraId="1B6CC610" w14:textId="795AEE78" w:rsidR="00BF1E6C" w:rsidRPr="00042081" w:rsidRDefault="005D5C46" w:rsidP="00417AC8">
      <w:pPr>
        <w:pStyle w:val="Heading1"/>
        <w:spacing w:before="80" w:line="379" w:lineRule="auto"/>
        <w:ind w:left="540" w:right="3410" w:firstLine="900"/>
        <w:jc w:val="right"/>
      </w:pPr>
      <w:r w:rsidRPr="00042081">
        <w:t xml:space="preserve">LibAMG </w:t>
      </w:r>
      <w:r w:rsidR="00417AC8" w:rsidRPr="00042081">
        <w:t>performance, testing &amp; porting improvements</w:t>
      </w:r>
    </w:p>
    <w:p w14:paraId="3346C687" w14:textId="2D11F3D7" w:rsidR="00B456C3" w:rsidRDefault="00A8660B" w:rsidP="00CC32DA">
      <w:pPr>
        <w:pStyle w:val="BodyText"/>
        <w:spacing w:before="114"/>
      </w:pPr>
      <w:r w:rsidRPr="00A8660B">
        <w:t>This Task Order Agency analytics review and re-documentation (the “Task Order”), made effective as of 1</w:t>
      </w:r>
      <w:r w:rsidR="00376B62">
        <w:t>0</w:t>
      </w:r>
      <w:r w:rsidRPr="00A8660B">
        <w:t xml:space="preserve">th </w:t>
      </w:r>
      <w:r w:rsidR="00376B62">
        <w:t>March</w:t>
      </w:r>
      <w:r w:rsidRPr="00A8660B">
        <w:t>, 202</w:t>
      </w:r>
      <w:r w:rsidR="00376B62">
        <w:t>5</w:t>
      </w:r>
      <w:r w:rsidRPr="00A8660B">
        <w:t xml:space="preserve"> (the “Effective Date”) is entered into by and between </w:t>
      </w:r>
      <w:r w:rsidR="000B1CD4" w:rsidRPr="00CC32DA">
        <w:rPr>
          <w:b/>
          <w:bCs/>
        </w:rPr>
        <w:t>Morgan Stanley &amp; Co. LLC, an Affiliate of</w:t>
      </w:r>
      <w:r w:rsidR="000B1CD4" w:rsidRPr="00CC32DA">
        <w:t xml:space="preserve"> </w:t>
      </w:r>
      <w:r w:rsidR="000B1CD4" w:rsidRPr="00CC32DA">
        <w:rPr>
          <w:b/>
        </w:rPr>
        <w:t>Morgan Stanley &amp;</w:t>
      </w:r>
      <w:r w:rsidR="00A36527">
        <w:rPr>
          <w:b/>
        </w:rPr>
        <w:t xml:space="preserve"> </w:t>
      </w:r>
      <w:r w:rsidR="000B1CD4" w:rsidRPr="00CC32DA">
        <w:rPr>
          <w:b/>
        </w:rPr>
        <w:t xml:space="preserve">Co. International Plc </w:t>
      </w:r>
      <w:r w:rsidR="000B1CD4" w:rsidRPr="00CC32DA">
        <w:t xml:space="preserve">(“Morgan Stanley”) and </w:t>
      </w:r>
      <w:r w:rsidR="000B1CD4" w:rsidRPr="00CC32DA">
        <w:rPr>
          <w:b/>
        </w:rPr>
        <w:t>RiskCare Inc.</w:t>
      </w:r>
      <w:r w:rsidR="000B1CD4" w:rsidRPr="00CC32DA">
        <w:t xml:space="preserve"> (“Consultant”) </w:t>
      </w:r>
      <w:r w:rsidRPr="00A8660B">
        <w:t xml:space="preserve">and is pursuant to and incorporates herein by reference the terms and conditions of the Short Form Framework Consulting Services Agreement, entered into as of the 21st October 2008 by and between Morgan Stanley UK Limited (successor by novation to Morgan Stanley &amp; Co. International Plc) and Riskcare Limited (the “Agreement”). In the event any terms of this Task Order conflict with the terms of the Agreement, the terms of this Task Order shall govern. All </w:t>
      </w:r>
      <w:proofErr w:type="spellStart"/>
      <w:r w:rsidRPr="00A8660B">
        <w:t>capitalised</w:t>
      </w:r>
      <w:proofErr w:type="spellEnd"/>
      <w:r w:rsidRPr="00A8660B">
        <w:t xml:space="preserve"> terms used herein shall have the same meaning ascribed in the Agreement.</w:t>
      </w:r>
    </w:p>
    <w:p w14:paraId="7B13AADE" w14:textId="77777777" w:rsidR="00BF1E6C" w:rsidRDefault="00BF1E6C">
      <w:pPr>
        <w:pStyle w:val="BodyText"/>
        <w:spacing w:before="206"/>
      </w:pPr>
    </w:p>
    <w:p w14:paraId="3C8F110B" w14:textId="77777777" w:rsidR="00BF1E6C" w:rsidRDefault="00B51D34">
      <w:pPr>
        <w:pStyle w:val="Heading1"/>
        <w:numPr>
          <w:ilvl w:val="0"/>
          <w:numId w:val="1"/>
        </w:numPr>
        <w:tabs>
          <w:tab w:val="left" w:pos="459"/>
        </w:tabs>
        <w:ind w:left="459" w:hanging="359"/>
      </w:pPr>
      <w:r>
        <w:rPr>
          <w:u w:val="single"/>
        </w:rPr>
        <w:t>Description</w:t>
      </w:r>
      <w:r>
        <w:rPr>
          <w:spacing w:val="-4"/>
          <w:u w:val="single"/>
        </w:rPr>
        <w:t xml:space="preserve"> </w:t>
      </w:r>
      <w:r>
        <w:rPr>
          <w:u w:val="single"/>
        </w:rPr>
        <w:t>of</w:t>
      </w:r>
      <w:r>
        <w:rPr>
          <w:spacing w:val="-3"/>
          <w:u w:val="single"/>
        </w:rPr>
        <w:t xml:space="preserve"> </w:t>
      </w:r>
      <w:r>
        <w:rPr>
          <w:spacing w:val="-2"/>
          <w:u w:val="single"/>
        </w:rPr>
        <w:t>Services:</w:t>
      </w:r>
    </w:p>
    <w:p w14:paraId="01F7B854" w14:textId="77777777" w:rsidR="0040039A" w:rsidRDefault="0040039A" w:rsidP="00D52847">
      <w:pPr>
        <w:rPr>
          <w:sz w:val="18"/>
          <w:szCs w:val="18"/>
        </w:rPr>
      </w:pPr>
    </w:p>
    <w:p w14:paraId="00B25060" w14:textId="2E240977" w:rsidR="00BF1E6C" w:rsidRPr="00682663" w:rsidRDefault="00D60466" w:rsidP="00085CB2">
      <w:r w:rsidRPr="00682663">
        <w:rPr>
          <w:sz w:val="18"/>
          <w:szCs w:val="18"/>
        </w:rPr>
        <w:t xml:space="preserve">The </w:t>
      </w:r>
      <w:r w:rsidR="00B51D34" w:rsidRPr="00682663">
        <w:rPr>
          <w:sz w:val="18"/>
          <w:szCs w:val="18"/>
        </w:rPr>
        <w:t xml:space="preserve">Consultant </w:t>
      </w:r>
      <w:r w:rsidRPr="00682663">
        <w:rPr>
          <w:sz w:val="18"/>
          <w:szCs w:val="18"/>
        </w:rPr>
        <w:t xml:space="preserve">will assist </w:t>
      </w:r>
      <w:r w:rsidR="00B51D34" w:rsidRPr="00682663">
        <w:rPr>
          <w:sz w:val="18"/>
          <w:szCs w:val="18"/>
        </w:rPr>
        <w:t>Morgan Stanley</w:t>
      </w:r>
      <w:r w:rsidR="00A45805" w:rsidRPr="00682663">
        <w:rPr>
          <w:sz w:val="18"/>
          <w:szCs w:val="18"/>
        </w:rPr>
        <w:t xml:space="preserve"> by improving LibAMG performance on the existing x86 architecture with SIMD optimization; </w:t>
      </w:r>
      <w:r w:rsidR="00682663" w:rsidRPr="00682663">
        <w:rPr>
          <w:sz w:val="18"/>
          <w:szCs w:val="18"/>
        </w:rPr>
        <w:t>port</w:t>
      </w:r>
      <w:r w:rsidR="00A45805" w:rsidRPr="00682663">
        <w:rPr>
          <w:sz w:val="18"/>
          <w:szCs w:val="18"/>
        </w:rPr>
        <w:t xml:space="preserve"> LibAMG code for more cost-efficient hardware, such as ARM; and upgrading the testing framework</w:t>
      </w:r>
      <w:r w:rsidR="00682663" w:rsidRPr="00682663">
        <w:rPr>
          <w:sz w:val="18"/>
          <w:szCs w:val="18"/>
        </w:rPr>
        <w:t xml:space="preserve"> and build system</w:t>
      </w:r>
      <w:r w:rsidR="00A45805" w:rsidRPr="00682663">
        <w:rPr>
          <w:sz w:val="18"/>
          <w:szCs w:val="18"/>
        </w:rPr>
        <w:t xml:space="preserve"> to reduce execution time with shorter cycles, expand coverage, and ensure valuation consistency across platform / code variations during system optimization and transitions. </w:t>
      </w:r>
      <w:r w:rsidR="00B51D34" w:rsidRPr="00682663">
        <w:rPr>
          <w:sz w:val="18"/>
          <w:szCs w:val="18"/>
        </w:rPr>
        <w:t xml:space="preserve">The Consultant is to support the Morgan Stanley </w:t>
      </w:r>
      <w:r w:rsidR="00A45805" w:rsidRPr="00682663">
        <w:rPr>
          <w:sz w:val="18"/>
          <w:szCs w:val="18"/>
        </w:rPr>
        <w:t xml:space="preserve">LibAMG </w:t>
      </w:r>
      <w:r w:rsidR="00B51D34" w:rsidRPr="00682663">
        <w:rPr>
          <w:sz w:val="18"/>
          <w:szCs w:val="18"/>
        </w:rPr>
        <w:t xml:space="preserve">team </w:t>
      </w:r>
      <w:r w:rsidR="00220D28" w:rsidRPr="00682663">
        <w:rPr>
          <w:sz w:val="18"/>
          <w:szCs w:val="18"/>
        </w:rPr>
        <w:t>as per consultant proposal “</w:t>
      </w:r>
      <w:r w:rsidR="00417AC8" w:rsidRPr="00682663">
        <w:rPr>
          <w:sz w:val="18"/>
          <w:szCs w:val="18"/>
        </w:rPr>
        <w:t xml:space="preserve">LibAMG performance, testing and porting improvements </w:t>
      </w:r>
      <w:r w:rsidR="00A45805" w:rsidRPr="25480B04">
        <w:rPr>
          <w:sz w:val="18"/>
          <w:szCs w:val="18"/>
        </w:rPr>
        <w:t>v1</w:t>
      </w:r>
      <w:r w:rsidR="29591DBF" w:rsidRPr="25480B04">
        <w:rPr>
          <w:sz w:val="18"/>
          <w:szCs w:val="18"/>
        </w:rPr>
        <w:t>9</w:t>
      </w:r>
      <w:r w:rsidR="00A45805" w:rsidRPr="25480B04">
        <w:rPr>
          <w:sz w:val="18"/>
          <w:szCs w:val="18"/>
        </w:rPr>
        <w:t>Feb</w:t>
      </w:r>
      <w:r w:rsidR="00CB7B03" w:rsidRPr="25480B04">
        <w:rPr>
          <w:sz w:val="18"/>
          <w:szCs w:val="18"/>
        </w:rPr>
        <w:t>20</w:t>
      </w:r>
      <w:r w:rsidR="00A45805" w:rsidRPr="25480B04">
        <w:rPr>
          <w:sz w:val="18"/>
          <w:szCs w:val="18"/>
        </w:rPr>
        <w:t>25</w:t>
      </w:r>
      <w:r w:rsidR="00277FAE" w:rsidRPr="25480B04">
        <w:rPr>
          <w:sz w:val="18"/>
          <w:szCs w:val="18"/>
        </w:rPr>
        <w:t>”.</w:t>
      </w:r>
      <w:r w:rsidR="00277FAE" w:rsidRPr="00682663">
        <w:rPr>
          <w:sz w:val="18"/>
          <w:szCs w:val="18"/>
        </w:rPr>
        <w:t xml:space="preserve"> </w:t>
      </w:r>
      <w:r w:rsidR="00085CB2" w:rsidRPr="00682663">
        <w:rPr>
          <w:sz w:val="18"/>
          <w:szCs w:val="18"/>
        </w:rPr>
        <w:t>The Consultant is expected to perform the following activities:</w:t>
      </w:r>
    </w:p>
    <w:p w14:paraId="2BC68555" w14:textId="77777777" w:rsidR="00590662" w:rsidRDefault="00590662" w:rsidP="00590662">
      <w:pPr>
        <w:pStyle w:val="Heading1"/>
        <w:tabs>
          <w:tab w:val="left" w:pos="459"/>
        </w:tabs>
      </w:pPr>
    </w:p>
    <w:p w14:paraId="5C6FE850" w14:textId="5D6B26C3" w:rsidR="00D27800" w:rsidRPr="00682663" w:rsidRDefault="00D27800" w:rsidP="00590662">
      <w:pPr>
        <w:pStyle w:val="ListParagraph"/>
        <w:widowControl/>
        <w:numPr>
          <w:ilvl w:val="0"/>
          <w:numId w:val="3"/>
        </w:numPr>
        <w:autoSpaceDE/>
        <w:autoSpaceDN/>
        <w:spacing w:after="120" w:line="240" w:lineRule="atLeast"/>
        <w:contextualSpacing/>
        <w:jc w:val="both"/>
        <w:rPr>
          <w:sz w:val="18"/>
          <w:szCs w:val="18"/>
        </w:rPr>
      </w:pPr>
      <w:r w:rsidRPr="00682663">
        <w:rPr>
          <w:sz w:val="18"/>
          <w:szCs w:val="18"/>
        </w:rPr>
        <w:t xml:space="preserve">Testing </w:t>
      </w:r>
      <w:r w:rsidR="00D76E6E" w:rsidRPr="00682663">
        <w:rPr>
          <w:sz w:val="18"/>
          <w:szCs w:val="18"/>
        </w:rPr>
        <w:t xml:space="preserve">framework / </w:t>
      </w:r>
      <w:r w:rsidRPr="00682663">
        <w:rPr>
          <w:sz w:val="18"/>
          <w:szCs w:val="18"/>
        </w:rPr>
        <w:t xml:space="preserve">platform and build </w:t>
      </w:r>
      <w:r w:rsidR="00DF6D92" w:rsidRPr="00682663">
        <w:rPr>
          <w:sz w:val="18"/>
          <w:szCs w:val="18"/>
        </w:rPr>
        <w:t xml:space="preserve">system </w:t>
      </w:r>
      <w:r w:rsidRPr="00682663">
        <w:rPr>
          <w:sz w:val="18"/>
          <w:szCs w:val="18"/>
        </w:rPr>
        <w:t>upgrade</w:t>
      </w:r>
    </w:p>
    <w:p w14:paraId="4E844154" w14:textId="479440F0" w:rsidR="002D14D0" w:rsidRPr="00682663" w:rsidRDefault="00D27800" w:rsidP="00590662">
      <w:pPr>
        <w:pStyle w:val="ListParagraph"/>
        <w:widowControl/>
        <w:numPr>
          <w:ilvl w:val="0"/>
          <w:numId w:val="3"/>
        </w:numPr>
        <w:autoSpaceDE/>
        <w:autoSpaceDN/>
        <w:spacing w:after="120" w:line="240" w:lineRule="atLeast"/>
        <w:contextualSpacing/>
        <w:jc w:val="both"/>
        <w:rPr>
          <w:sz w:val="18"/>
          <w:szCs w:val="18"/>
        </w:rPr>
      </w:pPr>
      <w:r w:rsidRPr="00682663">
        <w:rPr>
          <w:sz w:val="18"/>
          <w:szCs w:val="18"/>
        </w:rPr>
        <w:t xml:space="preserve">LibAMG </w:t>
      </w:r>
      <w:r w:rsidR="008C3D16" w:rsidRPr="00682663">
        <w:rPr>
          <w:sz w:val="18"/>
          <w:szCs w:val="18"/>
        </w:rPr>
        <w:t xml:space="preserve">performance improvements &amp; </w:t>
      </w:r>
      <w:r w:rsidR="00682663" w:rsidRPr="00682663">
        <w:rPr>
          <w:sz w:val="18"/>
          <w:szCs w:val="18"/>
        </w:rPr>
        <w:t xml:space="preserve">SIMD </w:t>
      </w:r>
      <w:r w:rsidR="008C3D16" w:rsidRPr="00682663">
        <w:rPr>
          <w:sz w:val="18"/>
          <w:szCs w:val="18"/>
        </w:rPr>
        <w:t>optimization</w:t>
      </w:r>
      <w:r w:rsidR="002D14D0" w:rsidRPr="00682663">
        <w:rPr>
          <w:sz w:val="18"/>
          <w:szCs w:val="18"/>
        </w:rPr>
        <w:t xml:space="preserve"> </w:t>
      </w:r>
    </w:p>
    <w:p w14:paraId="43046E17" w14:textId="251F08E1" w:rsidR="00BF1E6C" w:rsidRPr="00682663" w:rsidRDefault="005A02F7" w:rsidP="00085CB2">
      <w:pPr>
        <w:pStyle w:val="ListParagraph"/>
        <w:widowControl/>
        <w:numPr>
          <w:ilvl w:val="0"/>
          <w:numId w:val="3"/>
        </w:numPr>
        <w:autoSpaceDE/>
        <w:autoSpaceDN/>
        <w:spacing w:after="120" w:line="240" w:lineRule="atLeast"/>
        <w:contextualSpacing/>
        <w:jc w:val="both"/>
        <w:rPr>
          <w:sz w:val="18"/>
          <w:szCs w:val="18"/>
        </w:rPr>
      </w:pPr>
      <w:r>
        <w:rPr>
          <w:sz w:val="18"/>
          <w:szCs w:val="18"/>
        </w:rPr>
        <w:t xml:space="preserve">LibAMG </w:t>
      </w:r>
      <w:r w:rsidR="006D10F0">
        <w:rPr>
          <w:sz w:val="18"/>
          <w:szCs w:val="18"/>
        </w:rPr>
        <w:t xml:space="preserve">code porting to </w:t>
      </w:r>
      <w:r w:rsidR="00D27800" w:rsidRPr="00682663">
        <w:rPr>
          <w:sz w:val="18"/>
          <w:szCs w:val="18"/>
        </w:rPr>
        <w:t>ARM platform</w:t>
      </w:r>
    </w:p>
    <w:p w14:paraId="52DB341C" w14:textId="77777777" w:rsidR="00BF1E6C" w:rsidRDefault="00BF1E6C">
      <w:pPr>
        <w:pStyle w:val="BodyText"/>
        <w:spacing w:before="64"/>
      </w:pPr>
    </w:p>
    <w:p w14:paraId="3E6AEDC3" w14:textId="77777777" w:rsidR="00BF1E6C" w:rsidRPr="002169F2" w:rsidRDefault="00B51D34">
      <w:pPr>
        <w:pStyle w:val="Heading1"/>
        <w:numPr>
          <w:ilvl w:val="0"/>
          <w:numId w:val="1"/>
        </w:numPr>
        <w:tabs>
          <w:tab w:val="left" w:pos="459"/>
        </w:tabs>
        <w:ind w:left="459" w:hanging="359"/>
      </w:pPr>
      <w:r>
        <w:t>Project</w:t>
      </w:r>
      <w:r>
        <w:rPr>
          <w:spacing w:val="-6"/>
        </w:rPr>
        <w:t xml:space="preserve"> </w:t>
      </w:r>
      <w:r>
        <w:rPr>
          <w:spacing w:val="-2"/>
        </w:rPr>
        <w:t>Deliverables</w:t>
      </w:r>
    </w:p>
    <w:tbl>
      <w:tblPr>
        <w:tblStyle w:val="TableGrid"/>
        <w:tblW w:w="80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85" w:type="dxa"/>
        </w:tblCellMar>
        <w:tblLook w:val="04A0" w:firstRow="1" w:lastRow="0" w:firstColumn="1" w:lastColumn="0" w:noHBand="0" w:noVBand="1"/>
      </w:tblPr>
      <w:tblGrid>
        <w:gridCol w:w="1962"/>
        <w:gridCol w:w="4111"/>
        <w:gridCol w:w="2009"/>
      </w:tblGrid>
      <w:tr w:rsidR="002169F2" w:rsidRPr="00E91E1D" w14:paraId="1E1B2F59" w14:textId="77777777" w:rsidTr="002169F2">
        <w:trPr>
          <w:trHeight w:val="284"/>
          <w:tblHeader/>
        </w:trPr>
        <w:tc>
          <w:tcPr>
            <w:tcW w:w="1962" w:type="dxa"/>
            <w:tcBorders>
              <w:bottom w:val="single" w:sz="12" w:space="0" w:color="4F81BD" w:themeColor="accent1"/>
            </w:tcBorders>
            <w:vAlign w:val="bottom"/>
          </w:tcPr>
          <w:p w14:paraId="558B0020" w14:textId="77777777" w:rsidR="002169F2" w:rsidRPr="002169F2" w:rsidRDefault="002169F2" w:rsidP="002169F2">
            <w:pPr>
              <w:pStyle w:val="TableParagraph"/>
              <w:spacing w:before="27"/>
              <w:ind w:left="115"/>
              <w:rPr>
                <w:b/>
                <w:spacing w:val="-2"/>
                <w:sz w:val="18"/>
                <w:szCs w:val="22"/>
                <w:lang w:val="en-US"/>
              </w:rPr>
            </w:pPr>
            <w:r w:rsidRPr="002169F2">
              <w:rPr>
                <w:b/>
                <w:spacing w:val="-2"/>
                <w:sz w:val="18"/>
                <w:szCs w:val="22"/>
                <w:lang w:val="en-US"/>
              </w:rPr>
              <w:t>Deliverable</w:t>
            </w:r>
          </w:p>
        </w:tc>
        <w:tc>
          <w:tcPr>
            <w:tcW w:w="4111" w:type="dxa"/>
            <w:tcBorders>
              <w:bottom w:val="single" w:sz="12" w:space="0" w:color="4F81BD" w:themeColor="accent1"/>
            </w:tcBorders>
            <w:vAlign w:val="bottom"/>
          </w:tcPr>
          <w:p w14:paraId="5090B533" w14:textId="77777777" w:rsidR="002169F2" w:rsidRPr="002169F2" w:rsidRDefault="002169F2" w:rsidP="00683876">
            <w:pPr>
              <w:pStyle w:val="TableParagraph"/>
              <w:spacing w:before="27"/>
              <w:rPr>
                <w:b/>
                <w:spacing w:val="-2"/>
                <w:sz w:val="18"/>
                <w:szCs w:val="22"/>
                <w:lang w:val="en-US"/>
              </w:rPr>
            </w:pPr>
            <w:r w:rsidRPr="002169F2">
              <w:rPr>
                <w:b/>
                <w:spacing w:val="-2"/>
                <w:sz w:val="18"/>
                <w:szCs w:val="22"/>
                <w:lang w:val="en-US"/>
              </w:rPr>
              <w:t>Description</w:t>
            </w:r>
          </w:p>
        </w:tc>
        <w:tc>
          <w:tcPr>
            <w:tcW w:w="2009" w:type="dxa"/>
            <w:tcBorders>
              <w:bottom w:val="single" w:sz="12" w:space="0" w:color="4F81BD" w:themeColor="accent1"/>
            </w:tcBorders>
            <w:vAlign w:val="bottom"/>
          </w:tcPr>
          <w:p w14:paraId="5A843CBE" w14:textId="77777777" w:rsidR="002169F2" w:rsidRPr="002169F2" w:rsidRDefault="002169F2" w:rsidP="002169F2">
            <w:pPr>
              <w:pStyle w:val="TableParagraph"/>
              <w:spacing w:before="27"/>
              <w:ind w:left="115"/>
              <w:rPr>
                <w:b/>
                <w:spacing w:val="-2"/>
                <w:sz w:val="18"/>
                <w:szCs w:val="22"/>
                <w:lang w:val="en-US"/>
              </w:rPr>
            </w:pPr>
            <w:r w:rsidRPr="002169F2">
              <w:rPr>
                <w:b/>
                <w:spacing w:val="-2"/>
                <w:sz w:val="18"/>
                <w:szCs w:val="22"/>
                <w:lang w:val="en-US"/>
              </w:rPr>
              <w:t>Format</w:t>
            </w:r>
          </w:p>
        </w:tc>
      </w:tr>
      <w:tr w:rsidR="00D27800" w:rsidRPr="00E91E1D" w14:paraId="523C814D" w14:textId="77777777" w:rsidTr="002169F2">
        <w:trPr>
          <w:trHeight w:val="284"/>
        </w:trPr>
        <w:tc>
          <w:tcPr>
            <w:tcW w:w="1962" w:type="dxa"/>
            <w:tcBorders>
              <w:top w:val="single" w:sz="12" w:space="0" w:color="4F81BD" w:themeColor="accent1"/>
              <w:bottom w:val="single" w:sz="4" w:space="0" w:color="4F81BD" w:themeColor="accent1"/>
            </w:tcBorders>
          </w:tcPr>
          <w:p w14:paraId="13F43982" w14:textId="3CEE81F5" w:rsidR="00D27800" w:rsidRPr="00682663" w:rsidRDefault="00D27800" w:rsidP="00D27800">
            <w:pPr>
              <w:pStyle w:val="TableParagraph"/>
              <w:spacing w:before="84"/>
              <w:ind w:left="115" w:right="309"/>
              <w:rPr>
                <w:sz w:val="18"/>
                <w:szCs w:val="18"/>
                <w:lang w:val="en-US"/>
              </w:rPr>
            </w:pPr>
            <w:r w:rsidRPr="00682663">
              <w:rPr>
                <w:sz w:val="18"/>
                <w:szCs w:val="18"/>
                <w:lang w:val="en-US"/>
              </w:rPr>
              <w:t>Project Initiation Document</w:t>
            </w:r>
          </w:p>
        </w:tc>
        <w:tc>
          <w:tcPr>
            <w:tcW w:w="4111" w:type="dxa"/>
            <w:tcBorders>
              <w:top w:val="single" w:sz="12" w:space="0" w:color="4F81BD" w:themeColor="accent1"/>
              <w:bottom w:val="single" w:sz="4" w:space="0" w:color="4F81BD" w:themeColor="accent1"/>
            </w:tcBorders>
          </w:tcPr>
          <w:p w14:paraId="1B4EF158" w14:textId="66BFB6E2" w:rsidR="00D27800" w:rsidRPr="00682663" w:rsidRDefault="00D27800" w:rsidP="00683876">
            <w:pPr>
              <w:pStyle w:val="TableParagraph"/>
              <w:spacing w:before="84"/>
              <w:ind w:right="309"/>
              <w:rPr>
                <w:sz w:val="18"/>
                <w:szCs w:val="18"/>
                <w:lang w:val="en-US"/>
              </w:rPr>
            </w:pPr>
            <w:r w:rsidRPr="00682663">
              <w:rPr>
                <w:sz w:val="18"/>
                <w:szCs w:val="18"/>
                <w:lang w:val="en-US"/>
              </w:rPr>
              <w:t>Scope, success criteria and governance</w:t>
            </w:r>
            <w:r w:rsidR="00334B04">
              <w:rPr>
                <w:sz w:val="18"/>
                <w:szCs w:val="18"/>
                <w:lang w:val="en-US"/>
              </w:rPr>
              <w:t xml:space="preserve"> </w:t>
            </w:r>
            <w:r w:rsidRPr="00682663">
              <w:rPr>
                <w:sz w:val="18"/>
                <w:szCs w:val="18"/>
                <w:lang w:val="en-US"/>
              </w:rPr>
              <w:t>outline.</w:t>
            </w:r>
          </w:p>
        </w:tc>
        <w:tc>
          <w:tcPr>
            <w:tcW w:w="2009" w:type="dxa"/>
            <w:tcBorders>
              <w:top w:val="single" w:sz="12" w:space="0" w:color="4F81BD" w:themeColor="accent1"/>
              <w:bottom w:val="single" w:sz="4" w:space="0" w:color="4F81BD" w:themeColor="accent1"/>
            </w:tcBorders>
          </w:tcPr>
          <w:p w14:paraId="3E8D6A87" w14:textId="5A8CE66F" w:rsidR="00D27800" w:rsidRPr="00682663" w:rsidRDefault="00D27800" w:rsidP="00D27800">
            <w:pPr>
              <w:pStyle w:val="TableParagraph"/>
              <w:spacing w:before="84"/>
              <w:ind w:left="115" w:right="309"/>
              <w:rPr>
                <w:sz w:val="18"/>
                <w:szCs w:val="18"/>
                <w:lang w:val="en-US"/>
              </w:rPr>
            </w:pPr>
            <w:r w:rsidRPr="00682663">
              <w:rPr>
                <w:sz w:val="18"/>
                <w:szCs w:val="18"/>
                <w:lang w:val="en-US"/>
              </w:rPr>
              <w:t>Document</w:t>
            </w:r>
          </w:p>
        </w:tc>
      </w:tr>
      <w:tr w:rsidR="00D27800" w:rsidRPr="00E91E1D" w14:paraId="60CB78A6" w14:textId="77777777" w:rsidTr="002169F2">
        <w:trPr>
          <w:trHeight w:val="284"/>
        </w:trPr>
        <w:tc>
          <w:tcPr>
            <w:tcW w:w="1962" w:type="dxa"/>
            <w:tcBorders>
              <w:top w:val="single" w:sz="4" w:space="0" w:color="4F81BD" w:themeColor="accent1"/>
              <w:bottom w:val="single" w:sz="4" w:space="0" w:color="4F81BD" w:themeColor="accent1"/>
            </w:tcBorders>
          </w:tcPr>
          <w:p w14:paraId="2946A57D" w14:textId="0E0A1A26" w:rsidR="00D27800" w:rsidRPr="00682663" w:rsidRDefault="00D27800" w:rsidP="00D27800">
            <w:pPr>
              <w:pStyle w:val="TableParagraph"/>
              <w:spacing w:before="84"/>
              <w:ind w:left="115" w:right="309"/>
              <w:rPr>
                <w:sz w:val="18"/>
                <w:szCs w:val="18"/>
              </w:rPr>
            </w:pPr>
            <w:r w:rsidRPr="00682663">
              <w:rPr>
                <w:sz w:val="18"/>
                <w:szCs w:val="18"/>
                <w:lang w:val="en-US"/>
              </w:rPr>
              <w:t>Testing System Improvements</w:t>
            </w:r>
          </w:p>
        </w:tc>
        <w:tc>
          <w:tcPr>
            <w:tcW w:w="4111" w:type="dxa"/>
            <w:tcBorders>
              <w:top w:val="single" w:sz="4" w:space="0" w:color="4F81BD" w:themeColor="accent1"/>
              <w:bottom w:val="single" w:sz="4" w:space="0" w:color="4F81BD" w:themeColor="accent1"/>
            </w:tcBorders>
          </w:tcPr>
          <w:p w14:paraId="16477B9D" w14:textId="0CF8D5ED" w:rsidR="00D27800" w:rsidRPr="00682663" w:rsidRDefault="00D27800" w:rsidP="00334B04">
            <w:pPr>
              <w:pStyle w:val="TableParagraph"/>
              <w:spacing w:before="84"/>
              <w:ind w:right="309"/>
              <w:rPr>
                <w:sz w:val="18"/>
                <w:szCs w:val="18"/>
              </w:rPr>
            </w:pPr>
            <w:r w:rsidRPr="00682663">
              <w:rPr>
                <w:sz w:val="18"/>
                <w:szCs w:val="18"/>
                <w:lang w:val="en-US"/>
              </w:rPr>
              <w:t>Cloud-based bulk tests, unit tests across builds, sampled regression tests.</w:t>
            </w:r>
          </w:p>
        </w:tc>
        <w:tc>
          <w:tcPr>
            <w:tcW w:w="2009" w:type="dxa"/>
            <w:tcBorders>
              <w:top w:val="single" w:sz="4" w:space="0" w:color="4F81BD" w:themeColor="accent1"/>
              <w:bottom w:val="single" w:sz="4" w:space="0" w:color="4F81BD" w:themeColor="accent1"/>
            </w:tcBorders>
          </w:tcPr>
          <w:p w14:paraId="4F5DE949" w14:textId="74CCE16C" w:rsidR="00D27800" w:rsidRPr="00682663" w:rsidRDefault="00D27800" w:rsidP="00D27800">
            <w:pPr>
              <w:pStyle w:val="TableParagraph"/>
              <w:spacing w:before="84"/>
              <w:ind w:left="115" w:right="309"/>
              <w:rPr>
                <w:sz w:val="18"/>
                <w:szCs w:val="18"/>
              </w:rPr>
            </w:pPr>
            <w:r w:rsidRPr="00682663">
              <w:rPr>
                <w:sz w:val="18"/>
                <w:szCs w:val="18"/>
                <w:lang w:val="en-US"/>
              </w:rPr>
              <w:t>Code</w:t>
            </w:r>
          </w:p>
        </w:tc>
      </w:tr>
      <w:tr w:rsidR="00D27800" w:rsidRPr="00E91E1D" w14:paraId="2CD100CF" w14:textId="77777777" w:rsidTr="002169F2">
        <w:trPr>
          <w:trHeight w:val="284"/>
        </w:trPr>
        <w:tc>
          <w:tcPr>
            <w:tcW w:w="1962" w:type="dxa"/>
            <w:tcBorders>
              <w:top w:val="single" w:sz="4" w:space="0" w:color="4F81BD" w:themeColor="accent1"/>
              <w:bottom w:val="single" w:sz="4" w:space="0" w:color="4F81BD" w:themeColor="accent1"/>
            </w:tcBorders>
          </w:tcPr>
          <w:p w14:paraId="76395304" w14:textId="1F9CF728" w:rsidR="00D27800" w:rsidRPr="00682663" w:rsidRDefault="00D27800" w:rsidP="00D27800">
            <w:pPr>
              <w:pStyle w:val="TableParagraph"/>
              <w:spacing w:before="84"/>
              <w:ind w:left="115" w:right="309"/>
              <w:rPr>
                <w:sz w:val="18"/>
                <w:szCs w:val="18"/>
                <w:lang w:val="en-US"/>
              </w:rPr>
            </w:pPr>
            <w:r w:rsidRPr="00682663">
              <w:rPr>
                <w:sz w:val="18"/>
                <w:szCs w:val="18"/>
                <w:lang w:val="en-US"/>
              </w:rPr>
              <w:t xml:space="preserve">SIMD refactoring </w:t>
            </w:r>
          </w:p>
        </w:tc>
        <w:tc>
          <w:tcPr>
            <w:tcW w:w="4111" w:type="dxa"/>
            <w:tcBorders>
              <w:top w:val="single" w:sz="4" w:space="0" w:color="4F81BD" w:themeColor="accent1"/>
              <w:bottom w:val="single" w:sz="4" w:space="0" w:color="4F81BD" w:themeColor="accent1"/>
            </w:tcBorders>
          </w:tcPr>
          <w:p w14:paraId="1032BDD0" w14:textId="39FB7C6D" w:rsidR="00D27800" w:rsidRPr="00682663" w:rsidRDefault="00D27800" w:rsidP="00334B04">
            <w:pPr>
              <w:pStyle w:val="TableParagraph"/>
              <w:spacing w:before="84"/>
              <w:ind w:right="309"/>
              <w:rPr>
                <w:sz w:val="18"/>
                <w:szCs w:val="18"/>
                <w:lang w:val="en-US"/>
              </w:rPr>
            </w:pPr>
            <w:r w:rsidRPr="00682663">
              <w:rPr>
                <w:sz w:val="18"/>
                <w:szCs w:val="18"/>
                <w:lang w:val="en-US"/>
              </w:rPr>
              <w:t>Computation vectorization, memory allocation optimization, instruction set optimization.</w:t>
            </w:r>
          </w:p>
        </w:tc>
        <w:tc>
          <w:tcPr>
            <w:tcW w:w="2009" w:type="dxa"/>
            <w:tcBorders>
              <w:top w:val="single" w:sz="4" w:space="0" w:color="4F81BD" w:themeColor="accent1"/>
              <w:bottom w:val="single" w:sz="4" w:space="0" w:color="4F81BD" w:themeColor="accent1"/>
            </w:tcBorders>
          </w:tcPr>
          <w:p w14:paraId="05A883B2" w14:textId="7EB7C919" w:rsidR="00D27800" w:rsidRPr="00682663" w:rsidRDefault="00D27800" w:rsidP="00D27800">
            <w:pPr>
              <w:pStyle w:val="TableParagraph"/>
              <w:spacing w:before="84"/>
              <w:ind w:left="115" w:right="309"/>
              <w:rPr>
                <w:sz w:val="18"/>
                <w:szCs w:val="18"/>
                <w:lang w:val="en-US"/>
              </w:rPr>
            </w:pPr>
            <w:r w:rsidRPr="00682663">
              <w:rPr>
                <w:sz w:val="18"/>
                <w:szCs w:val="18"/>
                <w:lang w:val="en-US"/>
              </w:rPr>
              <w:t>Code</w:t>
            </w:r>
          </w:p>
        </w:tc>
      </w:tr>
      <w:tr w:rsidR="00D27800" w:rsidRPr="00E91E1D" w14:paraId="77EA15C3" w14:textId="77777777" w:rsidTr="002169F2">
        <w:trPr>
          <w:trHeight w:val="284"/>
        </w:trPr>
        <w:tc>
          <w:tcPr>
            <w:tcW w:w="1962" w:type="dxa"/>
            <w:tcBorders>
              <w:top w:val="single" w:sz="4" w:space="0" w:color="4F81BD" w:themeColor="accent1"/>
              <w:bottom w:val="single" w:sz="4" w:space="0" w:color="4F81BD" w:themeColor="accent1"/>
            </w:tcBorders>
          </w:tcPr>
          <w:p w14:paraId="6918C111" w14:textId="0FEB8545" w:rsidR="00D27800" w:rsidRPr="00682663" w:rsidRDefault="00D27800" w:rsidP="00D27800">
            <w:pPr>
              <w:pStyle w:val="TableParagraph"/>
              <w:spacing w:before="84"/>
              <w:ind w:left="115" w:right="309"/>
              <w:rPr>
                <w:sz w:val="18"/>
                <w:szCs w:val="18"/>
                <w:lang w:val="en-US"/>
              </w:rPr>
            </w:pPr>
            <w:r w:rsidRPr="00682663">
              <w:rPr>
                <w:sz w:val="18"/>
                <w:szCs w:val="18"/>
                <w:lang w:val="en-US"/>
              </w:rPr>
              <w:t>ARM target building process</w:t>
            </w:r>
          </w:p>
        </w:tc>
        <w:tc>
          <w:tcPr>
            <w:tcW w:w="4111" w:type="dxa"/>
            <w:tcBorders>
              <w:top w:val="single" w:sz="4" w:space="0" w:color="4F81BD" w:themeColor="accent1"/>
              <w:bottom w:val="single" w:sz="4" w:space="0" w:color="4F81BD" w:themeColor="accent1"/>
            </w:tcBorders>
          </w:tcPr>
          <w:p w14:paraId="75B38808" w14:textId="7DBC0B43" w:rsidR="00D27800" w:rsidRPr="00682663" w:rsidRDefault="00D27800" w:rsidP="00334B04">
            <w:pPr>
              <w:pStyle w:val="TableParagraph"/>
              <w:spacing w:before="84"/>
              <w:ind w:right="309"/>
              <w:rPr>
                <w:sz w:val="18"/>
                <w:szCs w:val="18"/>
                <w:lang w:val="en-US"/>
              </w:rPr>
            </w:pPr>
            <w:r w:rsidRPr="00682663">
              <w:rPr>
                <w:sz w:val="18"/>
                <w:szCs w:val="18"/>
                <w:lang w:val="en-US"/>
              </w:rPr>
              <w:t>Creates compile and deploy process of LibAMG on ARM platform, output reconciled with x86 results.</w:t>
            </w:r>
          </w:p>
        </w:tc>
        <w:tc>
          <w:tcPr>
            <w:tcW w:w="2009" w:type="dxa"/>
            <w:tcBorders>
              <w:top w:val="single" w:sz="4" w:space="0" w:color="4F81BD" w:themeColor="accent1"/>
              <w:bottom w:val="single" w:sz="4" w:space="0" w:color="4F81BD" w:themeColor="accent1"/>
            </w:tcBorders>
          </w:tcPr>
          <w:p w14:paraId="03769977" w14:textId="20CE1F17" w:rsidR="00D27800" w:rsidRPr="00682663" w:rsidRDefault="00D27800" w:rsidP="00D27800">
            <w:pPr>
              <w:pStyle w:val="TableParagraph"/>
              <w:spacing w:before="84"/>
              <w:ind w:left="115" w:right="309"/>
              <w:rPr>
                <w:sz w:val="18"/>
                <w:szCs w:val="18"/>
                <w:lang w:val="en-US"/>
              </w:rPr>
            </w:pPr>
            <w:r w:rsidRPr="00682663">
              <w:rPr>
                <w:sz w:val="18"/>
                <w:szCs w:val="18"/>
                <w:lang w:val="en-US"/>
              </w:rPr>
              <w:t>Code</w:t>
            </w:r>
          </w:p>
        </w:tc>
      </w:tr>
      <w:tr w:rsidR="00D27800" w:rsidRPr="00E91E1D" w14:paraId="47F67677" w14:textId="77777777" w:rsidTr="002169F2">
        <w:trPr>
          <w:trHeight w:val="284"/>
        </w:trPr>
        <w:tc>
          <w:tcPr>
            <w:tcW w:w="1962" w:type="dxa"/>
            <w:tcBorders>
              <w:top w:val="single" w:sz="4" w:space="0" w:color="4F81BD" w:themeColor="accent1"/>
              <w:bottom w:val="single" w:sz="4" w:space="0" w:color="4F81BD" w:themeColor="accent1"/>
            </w:tcBorders>
          </w:tcPr>
          <w:p w14:paraId="5DD62A11" w14:textId="797B9C24" w:rsidR="00D27800" w:rsidRPr="00682663" w:rsidRDefault="00D27800" w:rsidP="00D27800">
            <w:pPr>
              <w:pStyle w:val="TableParagraph"/>
              <w:spacing w:before="84"/>
              <w:ind w:left="115" w:right="309"/>
              <w:rPr>
                <w:sz w:val="18"/>
                <w:szCs w:val="18"/>
              </w:rPr>
            </w:pPr>
            <w:r w:rsidRPr="00682663">
              <w:rPr>
                <w:sz w:val="18"/>
                <w:szCs w:val="18"/>
                <w:lang w:val="en-US"/>
              </w:rPr>
              <w:t>Build System Upgrade</w:t>
            </w:r>
          </w:p>
        </w:tc>
        <w:tc>
          <w:tcPr>
            <w:tcW w:w="4111" w:type="dxa"/>
            <w:tcBorders>
              <w:top w:val="single" w:sz="4" w:space="0" w:color="4F81BD" w:themeColor="accent1"/>
              <w:bottom w:val="single" w:sz="4" w:space="0" w:color="4F81BD" w:themeColor="accent1"/>
            </w:tcBorders>
          </w:tcPr>
          <w:p w14:paraId="7C18C5E8" w14:textId="2E7ABA72" w:rsidR="00D27800" w:rsidRPr="00682663" w:rsidRDefault="00682663" w:rsidP="00334B04">
            <w:pPr>
              <w:pStyle w:val="TableParagraph"/>
              <w:spacing w:before="84"/>
              <w:ind w:right="309"/>
              <w:rPr>
                <w:sz w:val="18"/>
                <w:szCs w:val="18"/>
              </w:rPr>
            </w:pPr>
            <w:r w:rsidRPr="00682663">
              <w:rPr>
                <w:sz w:val="18"/>
                <w:szCs w:val="18"/>
                <w:lang w:val="en-US"/>
              </w:rPr>
              <w:t xml:space="preserve">Migrate build system to </w:t>
            </w:r>
            <w:proofErr w:type="spellStart"/>
            <w:r w:rsidR="00BE2DFA" w:rsidRPr="00682663">
              <w:rPr>
                <w:sz w:val="18"/>
                <w:szCs w:val="18"/>
                <w:lang w:val="en-US"/>
              </w:rPr>
              <w:t>Bazel</w:t>
            </w:r>
            <w:proofErr w:type="spellEnd"/>
            <w:r w:rsidR="00BE2DFA" w:rsidRPr="00682663">
              <w:rPr>
                <w:sz w:val="18"/>
                <w:szCs w:val="18"/>
                <w:lang w:val="en-US"/>
              </w:rPr>
              <w:t xml:space="preserve"> and</w:t>
            </w:r>
            <w:r w:rsidRPr="00682663">
              <w:rPr>
                <w:sz w:val="18"/>
                <w:szCs w:val="18"/>
                <w:lang w:val="en-US"/>
              </w:rPr>
              <w:t xml:space="preserve"> implement cloud-based scripts.</w:t>
            </w:r>
          </w:p>
        </w:tc>
        <w:tc>
          <w:tcPr>
            <w:tcW w:w="2009" w:type="dxa"/>
            <w:tcBorders>
              <w:top w:val="single" w:sz="4" w:space="0" w:color="4F81BD" w:themeColor="accent1"/>
              <w:bottom w:val="single" w:sz="4" w:space="0" w:color="4F81BD" w:themeColor="accent1"/>
            </w:tcBorders>
          </w:tcPr>
          <w:p w14:paraId="5D6D5F86" w14:textId="089A4C60" w:rsidR="00D27800" w:rsidRPr="00682663" w:rsidRDefault="00D27800" w:rsidP="00D27800">
            <w:pPr>
              <w:pStyle w:val="TableParagraph"/>
              <w:spacing w:before="84"/>
              <w:ind w:left="115" w:right="309"/>
              <w:rPr>
                <w:sz w:val="18"/>
                <w:szCs w:val="18"/>
              </w:rPr>
            </w:pPr>
            <w:r w:rsidRPr="00682663">
              <w:rPr>
                <w:sz w:val="18"/>
                <w:szCs w:val="18"/>
                <w:lang w:val="en-US"/>
              </w:rPr>
              <w:t>Code</w:t>
            </w:r>
          </w:p>
        </w:tc>
      </w:tr>
      <w:tr w:rsidR="00D27800" w:rsidRPr="00E91E1D" w14:paraId="7C5C3A4A" w14:textId="77777777" w:rsidTr="002169F2">
        <w:trPr>
          <w:trHeight w:val="284"/>
        </w:trPr>
        <w:tc>
          <w:tcPr>
            <w:tcW w:w="1962" w:type="dxa"/>
            <w:tcBorders>
              <w:top w:val="single" w:sz="4" w:space="0" w:color="4F81BD" w:themeColor="accent1"/>
              <w:bottom w:val="single" w:sz="4" w:space="0" w:color="4F81BD" w:themeColor="accent1"/>
            </w:tcBorders>
          </w:tcPr>
          <w:p w14:paraId="28CB05A3" w14:textId="2270B520" w:rsidR="00D27800" w:rsidRPr="00682663" w:rsidRDefault="00D27800" w:rsidP="00D27800">
            <w:pPr>
              <w:pStyle w:val="TableParagraph"/>
              <w:spacing w:before="84"/>
              <w:ind w:left="115" w:right="309"/>
              <w:rPr>
                <w:sz w:val="18"/>
                <w:szCs w:val="18"/>
              </w:rPr>
            </w:pPr>
            <w:r w:rsidRPr="00682663">
              <w:rPr>
                <w:sz w:val="18"/>
                <w:szCs w:val="18"/>
                <w:lang w:val="en-US"/>
              </w:rPr>
              <w:t>Model Documentation Updates</w:t>
            </w:r>
          </w:p>
        </w:tc>
        <w:tc>
          <w:tcPr>
            <w:tcW w:w="4111" w:type="dxa"/>
            <w:tcBorders>
              <w:top w:val="single" w:sz="4" w:space="0" w:color="4F81BD" w:themeColor="accent1"/>
              <w:bottom w:val="single" w:sz="4" w:space="0" w:color="4F81BD" w:themeColor="accent1"/>
            </w:tcBorders>
          </w:tcPr>
          <w:p w14:paraId="0FA40493" w14:textId="58E15395" w:rsidR="00D27800" w:rsidRPr="00682663" w:rsidRDefault="00D27800" w:rsidP="00334B04">
            <w:pPr>
              <w:pStyle w:val="TableParagraph"/>
              <w:spacing w:before="84"/>
              <w:ind w:right="309"/>
              <w:rPr>
                <w:sz w:val="18"/>
                <w:szCs w:val="18"/>
              </w:rPr>
            </w:pPr>
            <w:r w:rsidRPr="00682663">
              <w:rPr>
                <w:sz w:val="18"/>
                <w:szCs w:val="18"/>
                <w:lang w:val="en-US"/>
              </w:rPr>
              <w:t>Updates to existing model documentation to reflect new features and algorithms.</w:t>
            </w:r>
          </w:p>
        </w:tc>
        <w:tc>
          <w:tcPr>
            <w:tcW w:w="2009" w:type="dxa"/>
            <w:tcBorders>
              <w:top w:val="single" w:sz="4" w:space="0" w:color="4F81BD" w:themeColor="accent1"/>
              <w:bottom w:val="single" w:sz="4" w:space="0" w:color="4F81BD" w:themeColor="accent1"/>
            </w:tcBorders>
          </w:tcPr>
          <w:p w14:paraId="22504462" w14:textId="5750557E" w:rsidR="00D27800" w:rsidRPr="00682663" w:rsidRDefault="00D27800" w:rsidP="00D27800">
            <w:pPr>
              <w:pStyle w:val="TableParagraph"/>
              <w:spacing w:before="84"/>
              <w:ind w:left="115" w:right="309"/>
              <w:rPr>
                <w:sz w:val="18"/>
                <w:szCs w:val="18"/>
              </w:rPr>
            </w:pPr>
            <w:r w:rsidRPr="00682663">
              <w:rPr>
                <w:sz w:val="18"/>
                <w:szCs w:val="18"/>
                <w:lang w:val="en-US"/>
              </w:rPr>
              <w:t>Document</w:t>
            </w:r>
          </w:p>
        </w:tc>
      </w:tr>
    </w:tbl>
    <w:p w14:paraId="0433E2A8" w14:textId="77777777" w:rsidR="002169F2" w:rsidRDefault="002169F2" w:rsidP="002169F2">
      <w:pPr>
        <w:pStyle w:val="Heading1"/>
        <w:tabs>
          <w:tab w:val="left" w:pos="459"/>
        </w:tabs>
      </w:pPr>
    </w:p>
    <w:p w14:paraId="77836807" w14:textId="77777777" w:rsidR="00F90FA2" w:rsidRDefault="00F90FA2">
      <w:pPr>
        <w:pStyle w:val="BodyText"/>
        <w:spacing w:before="49"/>
        <w:rPr>
          <w:b/>
          <w:sz w:val="20"/>
        </w:rPr>
      </w:pPr>
    </w:p>
    <w:p w14:paraId="245AC51C" w14:textId="77777777" w:rsidR="00BF1E6C" w:rsidRDefault="00B51D34">
      <w:pPr>
        <w:pStyle w:val="ListParagraph"/>
        <w:numPr>
          <w:ilvl w:val="0"/>
          <w:numId w:val="1"/>
        </w:numPr>
        <w:tabs>
          <w:tab w:val="left" w:pos="459"/>
        </w:tabs>
        <w:spacing w:before="80"/>
        <w:ind w:left="459" w:hanging="359"/>
        <w:rPr>
          <w:b/>
          <w:sz w:val="18"/>
        </w:rPr>
      </w:pPr>
      <w:r>
        <w:rPr>
          <w:b/>
          <w:sz w:val="18"/>
          <w:u w:val="single"/>
        </w:rPr>
        <w:t>Project</w:t>
      </w:r>
      <w:r>
        <w:rPr>
          <w:b/>
          <w:spacing w:val="-3"/>
          <w:sz w:val="18"/>
          <w:u w:val="single"/>
        </w:rPr>
        <w:t xml:space="preserve"> </w:t>
      </w:r>
      <w:r>
        <w:rPr>
          <w:b/>
          <w:sz w:val="18"/>
          <w:u w:val="single"/>
        </w:rPr>
        <w:t>Dates,</w:t>
      </w:r>
      <w:r>
        <w:rPr>
          <w:b/>
          <w:spacing w:val="-2"/>
          <w:sz w:val="18"/>
          <w:u w:val="single"/>
        </w:rPr>
        <w:t xml:space="preserve"> </w:t>
      </w:r>
      <w:r>
        <w:rPr>
          <w:b/>
          <w:sz w:val="18"/>
          <w:u w:val="single"/>
        </w:rPr>
        <w:t>Consulting</w:t>
      </w:r>
      <w:r>
        <w:rPr>
          <w:b/>
          <w:spacing w:val="-2"/>
          <w:sz w:val="18"/>
          <w:u w:val="single"/>
        </w:rPr>
        <w:t xml:space="preserve"> </w:t>
      </w:r>
      <w:r>
        <w:rPr>
          <w:b/>
          <w:sz w:val="18"/>
          <w:u w:val="single"/>
        </w:rPr>
        <w:t>Fees</w:t>
      </w:r>
      <w:r>
        <w:rPr>
          <w:b/>
          <w:spacing w:val="-2"/>
          <w:sz w:val="18"/>
          <w:u w:val="single"/>
        </w:rPr>
        <w:t xml:space="preserve"> </w:t>
      </w:r>
      <w:r>
        <w:rPr>
          <w:b/>
          <w:sz w:val="18"/>
          <w:u w:val="single"/>
        </w:rPr>
        <w:t>and</w:t>
      </w:r>
      <w:r>
        <w:rPr>
          <w:b/>
          <w:spacing w:val="-2"/>
          <w:sz w:val="18"/>
          <w:u w:val="single"/>
        </w:rPr>
        <w:t xml:space="preserve"> </w:t>
      </w:r>
      <w:r>
        <w:rPr>
          <w:b/>
          <w:sz w:val="18"/>
          <w:u w:val="single"/>
        </w:rPr>
        <w:t>Payment</w:t>
      </w:r>
      <w:r>
        <w:rPr>
          <w:b/>
          <w:spacing w:val="-2"/>
          <w:sz w:val="18"/>
          <w:u w:val="single"/>
        </w:rPr>
        <w:t xml:space="preserve"> Schedule</w:t>
      </w:r>
    </w:p>
    <w:p w14:paraId="49488D0D" w14:textId="44335A0D" w:rsidR="00BF1E6C" w:rsidRDefault="00B51D34">
      <w:pPr>
        <w:pStyle w:val="BodyText"/>
        <w:spacing w:before="147"/>
        <w:ind w:left="100"/>
        <w:jc w:val="both"/>
        <w:rPr>
          <w:spacing w:val="-4"/>
        </w:rPr>
      </w:pPr>
      <w:r w:rsidRPr="00682663">
        <w:t>The</w:t>
      </w:r>
      <w:r w:rsidRPr="00682663">
        <w:rPr>
          <w:spacing w:val="-6"/>
        </w:rPr>
        <w:t xml:space="preserve"> </w:t>
      </w:r>
      <w:r w:rsidRPr="00682663">
        <w:t>project</w:t>
      </w:r>
      <w:r w:rsidRPr="00682663">
        <w:rPr>
          <w:spacing w:val="-3"/>
        </w:rPr>
        <w:t xml:space="preserve"> </w:t>
      </w:r>
      <w:r w:rsidRPr="00682663">
        <w:t>shall</w:t>
      </w:r>
      <w:r w:rsidRPr="00682663">
        <w:rPr>
          <w:spacing w:val="-4"/>
        </w:rPr>
        <w:t xml:space="preserve"> </w:t>
      </w:r>
      <w:r w:rsidRPr="00682663">
        <w:t>commence</w:t>
      </w:r>
      <w:r w:rsidRPr="00682663">
        <w:rPr>
          <w:spacing w:val="-2"/>
        </w:rPr>
        <w:t xml:space="preserve"> </w:t>
      </w:r>
      <w:r w:rsidRPr="00682663">
        <w:t>on</w:t>
      </w:r>
      <w:r w:rsidRPr="00682663">
        <w:rPr>
          <w:spacing w:val="-4"/>
        </w:rPr>
        <w:t xml:space="preserve"> </w:t>
      </w:r>
      <w:r w:rsidR="00D27800" w:rsidRPr="00682663">
        <w:t>10</w:t>
      </w:r>
      <w:r w:rsidR="002A6116" w:rsidRPr="00682663">
        <w:rPr>
          <w:vertAlign w:val="superscript"/>
        </w:rPr>
        <w:t>th</w:t>
      </w:r>
      <w:r w:rsidR="002A6116" w:rsidRPr="00682663">
        <w:t xml:space="preserve"> </w:t>
      </w:r>
      <w:r w:rsidR="00D27800" w:rsidRPr="00682663">
        <w:t xml:space="preserve">March </w:t>
      </w:r>
      <w:r w:rsidRPr="00682663">
        <w:t>202</w:t>
      </w:r>
      <w:r w:rsidR="00D27800" w:rsidRPr="00682663">
        <w:t>5</w:t>
      </w:r>
      <w:r w:rsidRPr="00682663">
        <w:rPr>
          <w:spacing w:val="-4"/>
        </w:rPr>
        <w:t xml:space="preserve"> </w:t>
      </w:r>
      <w:r w:rsidRPr="00682663">
        <w:t>and</w:t>
      </w:r>
      <w:r w:rsidRPr="00682663">
        <w:rPr>
          <w:spacing w:val="-4"/>
        </w:rPr>
        <w:t xml:space="preserve"> </w:t>
      </w:r>
      <w:r w:rsidRPr="00682663">
        <w:t>will</w:t>
      </w:r>
      <w:r w:rsidRPr="00682663">
        <w:rPr>
          <w:spacing w:val="-3"/>
        </w:rPr>
        <w:t xml:space="preserve"> </w:t>
      </w:r>
      <w:r w:rsidRPr="00682663">
        <w:t>finish</w:t>
      </w:r>
      <w:r w:rsidRPr="00682663">
        <w:rPr>
          <w:spacing w:val="-3"/>
        </w:rPr>
        <w:t xml:space="preserve"> </w:t>
      </w:r>
      <w:r w:rsidRPr="00682663">
        <w:t>on</w:t>
      </w:r>
      <w:r w:rsidRPr="00682663">
        <w:rPr>
          <w:spacing w:val="-3"/>
        </w:rPr>
        <w:t xml:space="preserve"> </w:t>
      </w:r>
      <w:r w:rsidR="00751C05" w:rsidRPr="00682663">
        <w:rPr>
          <w:spacing w:val="-3"/>
        </w:rPr>
        <w:t>31</w:t>
      </w:r>
      <w:r w:rsidR="00751C05" w:rsidRPr="00682663">
        <w:rPr>
          <w:spacing w:val="-3"/>
          <w:vertAlign w:val="superscript"/>
        </w:rPr>
        <w:t>st</w:t>
      </w:r>
      <w:r w:rsidR="0059634F" w:rsidRPr="00682663">
        <w:rPr>
          <w:spacing w:val="-3"/>
        </w:rPr>
        <w:t xml:space="preserve"> </w:t>
      </w:r>
      <w:r w:rsidR="00D27800" w:rsidRPr="00682663">
        <w:t>March</w:t>
      </w:r>
      <w:r w:rsidR="0059634F" w:rsidRPr="00682663">
        <w:t xml:space="preserve"> 202</w:t>
      </w:r>
      <w:r w:rsidR="00D27800" w:rsidRPr="00682663">
        <w:t>6</w:t>
      </w:r>
      <w:r w:rsidR="003C750A" w:rsidRPr="00682663">
        <w:rPr>
          <w:spacing w:val="-4"/>
        </w:rPr>
        <w:t xml:space="preserve">, or </w:t>
      </w:r>
      <w:r w:rsidR="003C750A">
        <w:rPr>
          <w:spacing w:val="-4"/>
        </w:rPr>
        <w:t xml:space="preserve">as soon as possible thereafter. </w:t>
      </w:r>
    </w:p>
    <w:p w14:paraId="7F58094E" w14:textId="795D5483" w:rsidR="00BF1E6C" w:rsidRDefault="00B51D34">
      <w:pPr>
        <w:pStyle w:val="BodyText"/>
        <w:spacing w:before="119"/>
        <w:ind w:left="100" w:right="198"/>
        <w:jc w:val="both"/>
      </w:pPr>
      <w:r>
        <w:t>This</w:t>
      </w:r>
      <w:r>
        <w:rPr>
          <w:spacing w:val="-3"/>
        </w:rPr>
        <w:t xml:space="preserve"> </w:t>
      </w:r>
      <w:r>
        <w:t>is</w:t>
      </w:r>
      <w:r>
        <w:rPr>
          <w:spacing w:val="-3"/>
        </w:rPr>
        <w:t xml:space="preserve"> </w:t>
      </w:r>
      <w:r>
        <w:t>a</w:t>
      </w:r>
      <w:r>
        <w:rPr>
          <w:spacing w:val="-3"/>
        </w:rPr>
        <w:t xml:space="preserve"> </w:t>
      </w:r>
      <w:r>
        <w:t>“time</w:t>
      </w:r>
      <w:r>
        <w:rPr>
          <w:spacing w:val="-5"/>
        </w:rPr>
        <w:t xml:space="preserve"> </w:t>
      </w:r>
      <w:r>
        <w:t>and</w:t>
      </w:r>
      <w:r>
        <w:rPr>
          <w:spacing w:val="-3"/>
        </w:rPr>
        <w:t xml:space="preserve"> </w:t>
      </w:r>
      <w:r>
        <w:t>materials”</w:t>
      </w:r>
      <w:r>
        <w:rPr>
          <w:spacing w:val="-2"/>
        </w:rPr>
        <w:t xml:space="preserve"> </w:t>
      </w:r>
      <w:r>
        <w:t>engagement.</w:t>
      </w:r>
      <w:r>
        <w:rPr>
          <w:spacing w:val="-3"/>
        </w:rPr>
        <w:t xml:space="preserve"> </w:t>
      </w:r>
      <w:r>
        <w:t>The</w:t>
      </w:r>
      <w:r>
        <w:rPr>
          <w:spacing w:val="-4"/>
        </w:rPr>
        <w:t xml:space="preserve"> </w:t>
      </w:r>
      <w:r>
        <w:t>cons</w:t>
      </w:r>
      <w:r w:rsidR="00751C05">
        <w:t>u</w:t>
      </w:r>
      <w:r>
        <w:t>ltant</w:t>
      </w:r>
      <w:r>
        <w:rPr>
          <w:spacing w:val="-3"/>
        </w:rPr>
        <w:t xml:space="preserve"> </w:t>
      </w:r>
      <w:r>
        <w:t>will</w:t>
      </w:r>
      <w:r>
        <w:rPr>
          <w:spacing w:val="-4"/>
        </w:rPr>
        <w:t xml:space="preserve"> </w:t>
      </w:r>
      <w:r>
        <w:t>perform</w:t>
      </w:r>
      <w:r>
        <w:rPr>
          <w:spacing w:val="-3"/>
        </w:rPr>
        <w:t xml:space="preserve"> </w:t>
      </w:r>
      <w:r>
        <w:t>and</w:t>
      </w:r>
      <w:r>
        <w:rPr>
          <w:spacing w:val="-3"/>
        </w:rPr>
        <w:t xml:space="preserve"> </w:t>
      </w:r>
      <w:r>
        <w:t>complete</w:t>
      </w:r>
      <w:r>
        <w:rPr>
          <w:spacing w:val="-4"/>
        </w:rPr>
        <w:t xml:space="preserve"> </w:t>
      </w:r>
      <w:r>
        <w:t>through</w:t>
      </w:r>
      <w:r>
        <w:rPr>
          <w:spacing w:val="-3"/>
        </w:rPr>
        <w:t xml:space="preserve"> </w:t>
      </w:r>
      <w:r>
        <w:t>Acceptance</w:t>
      </w:r>
      <w:r>
        <w:rPr>
          <w:spacing w:val="-3"/>
        </w:rPr>
        <w:t xml:space="preserve"> </w:t>
      </w:r>
      <w:r>
        <w:t>all</w:t>
      </w:r>
      <w:r>
        <w:rPr>
          <w:spacing w:val="-4"/>
        </w:rPr>
        <w:t xml:space="preserve"> </w:t>
      </w:r>
      <w:r>
        <w:t>Services and</w:t>
      </w:r>
      <w:r>
        <w:rPr>
          <w:spacing w:val="-6"/>
        </w:rPr>
        <w:t xml:space="preserve"> </w:t>
      </w:r>
      <w:r>
        <w:t>Deliverables</w:t>
      </w:r>
      <w:r>
        <w:rPr>
          <w:spacing w:val="-6"/>
        </w:rPr>
        <w:t xml:space="preserve"> </w:t>
      </w:r>
      <w:r>
        <w:t>under</w:t>
      </w:r>
      <w:r>
        <w:rPr>
          <w:spacing w:val="-6"/>
        </w:rPr>
        <w:t xml:space="preserve"> </w:t>
      </w:r>
      <w:r>
        <w:t>this</w:t>
      </w:r>
      <w:r>
        <w:rPr>
          <w:spacing w:val="-6"/>
        </w:rPr>
        <w:t xml:space="preserve"> </w:t>
      </w:r>
      <w:r>
        <w:t>Task</w:t>
      </w:r>
      <w:r>
        <w:rPr>
          <w:spacing w:val="-6"/>
        </w:rPr>
        <w:t xml:space="preserve"> </w:t>
      </w:r>
      <w:r>
        <w:t>Order</w:t>
      </w:r>
      <w:r>
        <w:rPr>
          <w:spacing w:val="-6"/>
        </w:rPr>
        <w:t xml:space="preserve"> </w:t>
      </w:r>
      <w:r>
        <w:t>for</w:t>
      </w:r>
      <w:r>
        <w:rPr>
          <w:spacing w:val="-6"/>
        </w:rPr>
        <w:t xml:space="preserve"> </w:t>
      </w:r>
      <w:r>
        <w:t>no</w:t>
      </w:r>
      <w:r>
        <w:rPr>
          <w:spacing w:val="-7"/>
        </w:rPr>
        <w:t xml:space="preserve"> </w:t>
      </w:r>
      <w:r>
        <w:t>more</w:t>
      </w:r>
      <w:r>
        <w:rPr>
          <w:spacing w:val="-7"/>
        </w:rPr>
        <w:t xml:space="preserve"> </w:t>
      </w:r>
      <w:r>
        <w:t>than</w:t>
      </w:r>
      <w:r>
        <w:rPr>
          <w:spacing w:val="-6"/>
        </w:rPr>
        <w:t xml:space="preserve"> </w:t>
      </w:r>
      <w:r>
        <w:t>the</w:t>
      </w:r>
      <w:r>
        <w:rPr>
          <w:spacing w:val="-6"/>
        </w:rPr>
        <w:t xml:space="preserve"> </w:t>
      </w:r>
      <w:r>
        <w:t>Maximum</w:t>
      </w:r>
      <w:r>
        <w:rPr>
          <w:spacing w:val="-6"/>
        </w:rPr>
        <w:t xml:space="preserve"> </w:t>
      </w:r>
      <w:r>
        <w:t>Fee,</w:t>
      </w:r>
      <w:r>
        <w:rPr>
          <w:spacing w:val="-6"/>
        </w:rPr>
        <w:t xml:space="preserve"> </w:t>
      </w:r>
      <w:r>
        <w:t>regardless</w:t>
      </w:r>
      <w:r>
        <w:rPr>
          <w:spacing w:val="-6"/>
        </w:rPr>
        <w:t xml:space="preserve"> </w:t>
      </w:r>
      <w:r>
        <w:t>of</w:t>
      </w:r>
      <w:r>
        <w:rPr>
          <w:spacing w:val="-5"/>
        </w:rPr>
        <w:t xml:space="preserve"> </w:t>
      </w:r>
      <w:r>
        <w:t>whether</w:t>
      </w:r>
      <w:r>
        <w:rPr>
          <w:spacing w:val="-6"/>
        </w:rPr>
        <w:t xml:space="preserve"> </w:t>
      </w:r>
      <w:r>
        <w:t>the</w:t>
      </w:r>
      <w:r>
        <w:rPr>
          <w:spacing w:val="-6"/>
        </w:rPr>
        <w:t xml:space="preserve"> </w:t>
      </w:r>
      <w:r>
        <w:t>work</w:t>
      </w:r>
      <w:r>
        <w:rPr>
          <w:spacing w:val="-6"/>
        </w:rPr>
        <w:t xml:space="preserve"> </w:t>
      </w:r>
      <w:r>
        <w:t>performed by</w:t>
      </w:r>
      <w:r>
        <w:rPr>
          <w:spacing w:val="-8"/>
        </w:rPr>
        <w:t xml:space="preserve"> </w:t>
      </w:r>
      <w:r>
        <w:t>the</w:t>
      </w:r>
      <w:r>
        <w:rPr>
          <w:spacing w:val="-8"/>
        </w:rPr>
        <w:t xml:space="preserve"> </w:t>
      </w:r>
      <w:r>
        <w:t>Consultant’s</w:t>
      </w:r>
      <w:r>
        <w:rPr>
          <w:spacing w:val="-8"/>
        </w:rPr>
        <w:t xml:space="preserve"> </w:t>
      </w:r>
      <w:r>
        <w:t>personnel</w:t>
      </w:r>
      <w:r>
        <w:rPr>
          <w:spacing w:val="-8"/>
        </w:rPr>
        <w:t xml:space="preserve"> </w:t>
      </w:r>
      <w:r>
        <w:t>at</w:t>
      </w:r>
      <w:r>
        <w:rPr>
          <w:spacing w:val="-9"/>
        </w:rPr>
        <w:t xml:space="preserve"> </w:t>
      </w:r>
      <w:r>
        <w:t>the</w:t>
      </w:r>
      <w:r>
        <w:rPr>
          <w:spacing w:val="-9"/>
        </w:rPr>
        <w:t xml:space="preserve"> </w:t>
      </w:r>
      <w:r>
        <w:t>applicable</w:t>
      </w:r>
      <w:r>
        <w:rPr>
          <w:spacing w:val="-9"/>
        </w:rPr>
        <w:t xml:space="preserve"> </w:t>
      </w:r>
      <w:r>
        <w:t>rates</w:t>
      </w:r>
      <w:r>
        <w:rPr>
          <w:spacing w:val="-8"/>
        </w:rPr>
        <w:t xml:space="preserve"> </w:t>
      </w:r>
      <w:r>
        <w:t>meets</w:t>
      </w:r>
      <w:r>
        <w:rPr>
          <w:spacing w:val="-9"/>
        </w:rPr>
        <w:t xml:space="preserve"> </w:t>
      </w:r>
      <w:r>
        <w:t>or</w:t>
      </w:r>
      <w:r>
        <w:rPr>
          <w:spacing w:val="-8"/>
        </w:rPr>
        <w:t xml:space="preserve"> </w:t>
      </w:r>
      <w:r>
        <w:t>exceeds</w:t>
      </w:r>
      <w:r>
        <w:rPr>
          <w:spacing w:val="-8"/>
        </w:rPr>
        <w:t xml:space="preserve"> </w:t>
      </w:r>
      <w:r>
        <w:t>the</w:t>
      </w:r>
      <w:r>
        <w:rPr>
          <w:spacing w:val="-9"/>
        </w:rPr>
        <w:t xml:space="preserve"> </w:t>
      </w:r>
      <w:r>
        <w:t>Maximum</w:t>
      </w:r>
      <w:r>
        <w:rPr>
          <w:spacing w:val="-8"/>
        </w:rPr>
        <w:t xml:space="preserve"> </w:t>
      </w:r>
      <w:r>
        <w:t>Fee</w:t>
      </w:r>
      <w:r>
        <w:rPr>
          <w:spacing w:val="-9"/>
        </w:rPr>
        <w:t xml:space="preserve"> </w:t>
      </w:r>
      <w:r>
        <w:t>amount</w:t>
      </w:r>
      <w:r>
        <w:rPr>
          <w:spacing w:val="-8"/>
        </w:rPr>
        <w:t xml:space="preserve"> </w:t>
      </w:r>
      <w:r>
        <w:t>set</w:t>
      </w:r>
      <w:r>
        <w:rPr>
          <w:spacing w:val="-8"/>
        </w:rPr>
        <w:t xml:space="preserve"> </w:t>
      </w:r>
      <w:r>
        <w:t>forth</w:t>
      </w:r>
      <w:r>
        <w:rPr>
          <w:spacing w:val="-8"/>
        </w:rPr>
        <w:t xml:space="preserve"> </w:t>
      </w:r>
      <w:r>
        <w:t>herein.</w:t>
      </w:r>
      <w:r>
        <w:rPr>
          <w:spacing w:val="-8"/>
        </w:rPr>
        <w:t xml:space="preserve"> </w:t>
      </w:r>
      <w:r>
        <w:t xml:space="preserve">Any </w:t>
      </w:r>
      <w:r>
        <w:lastRenderedPageBreak/>
        <w:t>changes to the scope or fees set forth in this Task Order shall be set forth in writing in the form of an addendum/amendment to this Task order.</w:t>
      </w:r>
    </w:p>
    <w:p w14:paraId="6F69F084" w14:textId="77777777" w:rsidR="00BF1E6C" w:rsidRDefault="00BF1E6C">
      <w:pPr>
        <w:pStyle w:val="BodyText"/>
        <w:spacing w:before="10"/>
        <w:rPr>
          <w:sz w:val="9"/>
        </w:rPr>
      </w:pPr>
    </w:p>
    <w:p w14:paraId="778AEE75" w14:textId="77777777" w:rsidR="00BF1E6C" w:rsidRDefault="00BF1E6C">
      <w:pPr>
        <w:pStyle w:val="BodyText"/>
        <w:spacing w:before="131"/>
      </w:pP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98"/>
        <w:gridCol w:w="2376"/>
        <w:gridCol w:w="1764"/>
        <w:gridCol w:w="1694"/>
        <w:gridCol w:w="1691"/>
      </w:tblGrid>
      <w:tr w:rsidR="00017E9C" w14:paraId="529F88F3" w14:textId="77777777" w:rsidTr="00D74744">
        <w:trPr>
          <w:trHeight w:val="875"/>
        </w:trPr>
        <w:tc>
          <w:tcPr>
            <w:tcW w:w="1898" w:type="dxa"/>
            <w:tcBorders>
              <w:top w:val="nil"/>
              <w:left w:val="nil"/>
              <w:right w:val="nil"/>
            </w:tcBorders>
            <w:shd w:val="clear" w:color="auto" w:fill="000000"/>
          </w:tcPr>
          <w:p w14:paraId="4A4B2148" w14:textId="77777777" w:rsidR="00017E9C" w:rsidRDefault="00017E9C" w:rsidP="00D74744">
            <w:pPr>
              <w:pStyle w:val="TableParagraph"/>
              <w:spacing w:before="30"/>
              <w:ind w:left="80"/>
              <w:rPr>
                <w:b/>
                <w:sz w:val="16"/>
              </w:rPr>
            </w:pPr>
            <w:r>
              <w:rPr>
                <w:b/>
                <w:color w:val="FFFFFF"/>
                <w:sz w:val="16"/>
              </w:rPr>
              <w:t>Position</w:t>
            </w:r>
            <w:r>
              <w:rPr>
                <w:b/>
                <w:color w:val="FFFFFF"/>
                <w:spacing w:val="-6"/>
                <w:sz w:val="16"/>
              </w:rPr>
              <w:t xml:space="preserve"> </w:t>
            </w:r>
            <w:r>
              <w:rPr>
                <w:b/>
                <w:color w:val="FFFFFF"/>
                <w:sz w:val="16"/>
              </w:rPr>
              <w:t>(per</w:t>
            </w:r>
            <w:r>
              <w:rPr>
                <w:b/>
                <w:color w:val="FFFFFF"/>
                <w:spacing w:val="-5"/>
                <w:sz w:val="16"/>
              </w:rPr>
              <w:t xml:space="preserve"> </w:t>
            </w:r>
            <w:r>
              <w:rPr>
                <w:b/>
                <w:color w:val="FFFFFF"/>
                <w:sz w:val="16"/>
              </w:rPr>
              <w:t>rate</w:t>
            </w:r>
            <w:r>
              <w:rPr>
                <w:b/>
                <w:color w:val="FFFFFF"/>
                <w:spacing w:val="-6"/>
                <w:sz w:val="16"/>
              </w:rPr>
              <w:t xml:space="preserve"> </w:t>
            </w:r>
            <w:r>
              <w:rPr>
                <w:b/>
                <w:color w:val="FFFFFF"/>
                <w:spacing w:val="-2"/>
                <w:sz w:val="16"/>
              </w:rPr>
              <w:t>card)</w:t>
            </w:r>
          </w:p>
        </w:tc>
        <w:tc>
          <w:tcPr>
            <w:tcW w:w="2376" w:type="dxa"/>
            <w:tcBorders>
              <w:top w:val="nil"/>
              <w:left w:val="nil"/>
              <w:right w:val="nil"/>
            </w:tcBorders>
            <w:shd w:val="clear" w:color="auto" w:fill="000000"/>
          </w:tcPr>
          <w:p w14:paraId="3F48B4B4" w14:textId="77777777" w:rsidR="00017E9C" w:rsidRDefault="00017E9C" w:rsidP="00D74744">
            <w:pPr>
              <w:pStyle w:val="TableParagraph"/>
              <w:spacing w:before="30"/>
              <w:ind w:left="537"/>
              <w:rPr>
                <w:b/>
                <w:sz w:val="16"/>
              </w:rPr>
            </w:pPr>
            <w:r>
              <w:rPr>
                <w:b/>
                <w:color w:val="FFFFFF"/>
                <w:sz w:val="16"/>
              </w:rPr>
              <w:t>Consultant</w:t>
            </w:r>
            <w:r>
              <w:rPr>
                <w:b/>
                <w:color w:val="FFFFFF"/>
                <w:spacing w:val="-9"/>
                <w:sz w:val="16"/>
              </w:rPr>
              <w:t xml:space="preserve"> </w:t>
            </w:r>
            <w:r>
              <w:rPr>
                <w:b/>
                <w:color w:val="FFFFFF"/>
                <w:spacing w:val="-4"/>
                <w:sz w:val="16"/>
              </w:rPr>
              <w:t>Name</w:t>
            </w:r>
          </w:p>
        </w:tc>
        <w:tc>
          <w:tcPr>
            <w:tcW w:w="1764" w:type="dxa"/>
            <w:tcBorders>
              <w:top w:val="nil"/>
              <w:left w:val="nil"/>
              <w:right w:val="nil"/>
            </w:tcBorders>
            <w:shd w:val="clear" w:color="auto" w:fill="000000"/>
          </w:tcPr>
          <w:p w14:paraId="634931C2" w14:textId="77777777" w:rsidR="00017E9C" w:rsidRDefault="00017E9C" w:rsidP="00D74744">
            <w:pPr>
              <w:pStyle w:val="TableParagraph"/>
              <w:spacing w:before="30"/>
              <w:ind w:left="203" w:right="189" w:firstLine="330"/>
              <w:rPr>
                <w:b/>
                <w:sz w:val="16"/>
              </w:rPr>
            </w:pPr>
            <w:r>
              <w:rPr>
                <w:b/>
                <w:color w:val="FFFFFF"/>
                <w:sz w:val="16"/>
              </w:rPr>
              <w:t>Total # of Professional</w:t>
            </w:r>
            <w:r>
              <w:rPr>
                <w:b/>
                <w:color w:val="FFFFFF"/>
                <w:spacing w:val="-12"/>
                <w:sz w:val="16"/>
              </w:rPr>
              <w:t xml:space="preserve"> </w:t>
            </w:r>
            <w:r>
              <w:rPr>
                <w:b/>
                <w:color w:val="FFFFFF"/>
                <w:sz w:val="16"/>
              </w:rPr>
              <w:t>days</w:t>
            </w:r>
          </w:p>
        </w:tc>
        <w:tc>
          <w:tcPr>
            <w:tcW w:w="1694" w:type="dxa"/>
            <w:tcBorders>
              <w:top w:val="nil"/>
              <w:left w:val="nil"/>
              <w:right w:val="nil"/>
            </w:tcBorders>
            <w:shd w:val="clear" w:color="auto" w:fill="000000"/>
          </w:tcPr>
          <w:p w14:paraId="0A06CD8D" w14:textId="77777777" w:rsidR="00017E9C" w:rsidRDefault="00017E9C" w:rsidP="00D74744">
            <w:pPr>
              <w:pStyle w:val="TableParagraph"/>
              <w:spacing w:before="30"/>
              <w:ind w:left="476" w:right="194" w:hanging="268"/>
              <w:rPr>
                <w:b/>
                <w:sz w:val="16"/>
              </w:rPr>
            </w:pPr>
            <w:r>
              <w:rPr>
                <w:b/>
                <w:color w:val="FFFFFF"/>
                <w:sz w:val="16"/>
              </w:rPr>
              <w:t>Daily</w:t>
            </w:r>
            <w:r>
              <w:rPr>
                <w:b/>
                <w:color w:val="FFFFFF"/>
                <w:spacing w:val="-12"/>
                <w:sz w:val="16"/>
              </w:rPr>
              <w:t xml:space="preserve"> </w:t>
            </w:r>
            <w:r>
              <w:rPr>
                <w:b/>
                <w:color w:val="FFFFFF"/>
                <w:sz w:val="16"/>
              </w:rPr>
              <w:t>Rate</w:t>
            </w:r>
            <w:r>
              <w:rPr>
                <w:b/>
                <w:color w:val="FFFFFF"/>
                <w:spacing w:val="-11"/>
                <w:sz w:val="16"/>
              </w:rPr>
              <w:t xml:space="preserve"> </w:t>
            </w:r>
            <w:r>
              <w:rPr>
                <w:b/>
                <w:color w:val="FFFFFF"/>
                <w:sz w:val="16"/>
              </w:rPr>
              <w:t>as</w:t>
            </w:r>
            <w:r>
              <w:rPr>
                <w:b/>
                <w:color w:val="FFFFFF"/>
                <w:spacing w:val="-11"/>
                <w:sz w:val="16"/>
              </w:rPr>
              <w:t xml:space="preserve"> </w:t>
            </w:r>
            <w:r>
              <w:rPr>
                <w:b/>
                <w:color w:val="FFFFFF"/>
                <w:sz w:val="16"/>
              </w:rPr>
              <w:t>per Rate Card</w:t>
            </w:r>
          </w:p>
        </w:tc>
        <w:tc>
          <w:tcPr>
            <w:tcW w:w="1691" w:type="dxa"/>
            <w:tcBorders>
              <w:top w:val="nil"/>
              <w:left w:val="nil"/>
              <w:right w:val="nil"/>
            </w:tcBorders>
            <w:shd w:val="clear" w:color="auto" w:fill="000000"/>
          </w:tcPr>
          <w:p w14:paraId="4208472E" w14:textId="77777777" w:rsidR="00017E9C" w:rsidRDefault="00017E9C" w:rsidP="00D74744">
            <w:pPr>
              <w:pStyle w:val="TableParagraph"/>
              <w:spacing w:before="30"/>
              <w:ind w:left="515" w:right="197" w:hanging="303"/>
              <w:rPr>
                <w:b/>
                <w:sz w:val="16"/>
              </w:rPr>
            </w:pPr>
            <w:r>
              <w:rPr>
                <w:b/>
                <w:color w:val="FFFFFF"/>
                <w:sz w:val="16"/>
              </w:rPr>
              <w:t>Total</w:t>
            </w:r>
            <w:r>
              <w:rPr>
                <w:b/>
                <w:color w:val="FFFFFF"/>
                <w:spacing w:val="-12"/>
                <w:sz w:val="16"/>
              </w:rPr>
              <w:t xml:space="preserve"> </w:t>
            </w:r>
            <w:r>
              <w:rPr>
                <w:b/>
                <w:color w:val="FFFFFF"/>
                <w:sz w:val="16"/>
              </w:rPr>
              <w:t>Cost</w:t>
            </w:r>
            <w:r>
              <w:rPr>
                <w:b/>
                <w:color w:val="FFFFFF"/>
                <w:spacing w:val="-11"/>
                <w:sz w:val="16"/>
              </w:rPr>
              <w:t xml:space="preserve"> </w:t>
            </w:r>
            <w:r>
              <w:rPr>
                <w:b/>
                <w:color w:val="FFFFFF"/>
                <w:sz w:val="16"/>
              </w:rPr>
              <w:t>($) excl VAT</w:t>
            </w:r>
          </w:p>
        </w:tc>
      </w:tr>
      <w:tr w:rsidR="00751C05" w14:paraId="4DC1FB7A" w14:textId="77777777" w:rsidTr="00D74744">
        <w:trPr>
          <w:trHeight w:val="295"/>
        </w:trPr>
        <w:tc>
          <w:tcPr>
            <w:tcW w:w="1898" w:type="dxa"/>
          </w:tcPr>
          <w:p w14:paraId="4D55B8EE" w14:textId="73C1D74D" w:rsidR="00751C05" w:rsidRPr="00751C05" w:rsidRDefault="00751C05" w:rsidP="00751C05">
            <w:pPr>
              <w:pStyle w:val="TableParagraph"/>
              <w:spacing w:line="176" w:lineRule="exact"/>
              <w:ind w:left="29"/>
              <w:rPr>
                <w:sz w:val="16"/>
              </w:rPr>
            </w:pPr>
            <w:r w:rsidRPr="00751C05">
              <w:rPr>
                <w:sz w:val="16"/>
              </w:rPr>
              <w:t xml:space="preserve">Senior Quantitative </w:t>
            </w:r>
            <w:r w:rsidR="009C5DC8">
              <w:rPr>
                <w:sz w:val="16"/>
              </w:rPr>
              <w:t>Developer</w:t>
            </w:r>
            <w:r w:rsidRPr="00751C05">
              <w:rPr>
                <w:sz w:val="16"/>
              </w:rPr>
              <w:t xml:space="preserve"> (UK)</w:t>
            </w:r>
          </w:p>
        </w:tc>
        <w:tc>
          <w:tcPr>
            <w:tcW w:w="2376" w:type="dxa"/>
          </w:tcPr>
          <w:p w14:paraId="5287EC65" w14:textId="77777777" w:rsidR="00751C05" w:rsidRPr="00751C05" w:rsidRDefault="00751C05" w:rsidP="00751C05">
            <w:pPr>
              <w:pStyle w:val="TableParagraph"/>
              <w:spacing w:line="176" w:lineRule="exact"/>
              <w:ind w:left="29"/>
              <w:rPr>
                <w:sz w:val="16"/>
              </w:rPr>
            </w:pPr>
            <w:r w:rsidRPr="00751C05">
              <w:rPr>
                <w:sz w:val="16"/>
              </w:rPr>
              <w:t xml:space="preserve">Martin Kristensen / </w:t>
            </w:r>
          </w:p>
          <w:p w14:paraId="779591BB" w14:textId="569BACFE" w:rsidR="00751C05" w:rsidRPr="00751C05" w:rsidRDefault="00B0337B" w:rsidP="00751C05">
            <w:pPr>
              <w:pStyle w:val="TableParagraph"/>
              <w:spacing w:line="176" w:lineRule="exact"/>
              <w:ind w:left="29"/>
              <w:rPr>
                <w:sz w:val="16"/>
              </w:rPr>
            </w:pPr>
            <w:r w:rsidRPr="00751C05">
              <w:rPr>
                <w:sz w:val="16"/>
              </w:rPr>
              <w:t>Chris Sawyer</w:t>
            </w:r>
          </w:p>
        </w:tc>
        <w:tc>
          <w:tcPr>
            <w:tcW w:w="1764" w:type="dxa"/>
          </w:tcPr>
          <w:p w14:paraId="40049ADC" w14:textId="52B88C7F" w:rsidR="00751C05" w:rsidRPr="00334B04" w:rsidRDefault="00DB71AC" w:rsidP="00751C05">
            <w:pPr>
              <w:pStyle w:val="TableParagraph"/>
              <w:spacing w:line="176" w:lineRule="exact"/>
              <w:ind w:right="13"/>
              <w:jc w:val="right"/>
              <w:rPr>
                <w:sz w:val="16"/>
              </w:rPr>
            </w:pPr>
            <w:r>
              <w:rPr>
                <w:spacing w:val="-5"/>
                <w:sz w:val="16"/>
              </w:rPr>
              <w:t>480</w:t>
            </w:r>
          </w:p>
        </w:tc>
        <w:tc>
          <w:tcPr>
            <w:tcW w:w="1694" w:type="dxa"/>
          </w:tcPr>
          <w:p w14:paraId="0BB5C15E" w14:textId="269E804C" w:rsidR="00751C05" w:rsidRPr="00334B04" w:rsidRDefault="00751C05" w:rsidP="00751C05">
            <w:pPr>
              <w:pStyle w:val="TableParagraph"/>
              <w:spacing w:line="176" w:lineRule="exact"/>
              <w:ind w:right="14"/>
              <w:jc w:val="right"/>
              <w:rPr>
                <w:sz w:val="16"/>
              </w:rPr>
            </w:pPr>
            <w:r w:rsidRPr="00334B04">
              <w:rPr>
                <w:spacing w:val="-2"/>
                <w:sz w:val="16"/>
              </w:rPr>
              <w:t>$1,690</w:t>
            </w:r>
          </w:p>
        </w:tc>
        <w:tc>
          <w:tcPr>
            <w:tcW w:w="1691" w:type="dxa"/>
          </w:tcPr>
          <w:p w14:paraId="56C7E5A6" w14:textId="135C200E" w:rsidR="00751C05" w:rsidRPr="00334B04" w:rsidRDefault="00751C05" w:rsidP="00751C05">
            <w:pPr>
              <w:pStyle w:val="TableParagraph"/>
              <w:spacing w:line="176" w:lineRule="exact"/>
              <w:ind w:right="14"/>
              <w:jc w:val="right"/>
              <w:rPr>
                <w:sz w:val="16"/>
              </w:rPr>
            </w:pPr>
            <w:r w:rsidRPr="00334B04">
              <w:rPr>
                <w:sz w:val="16"/>
              </w:rPr>
              <w:t>$811.200</w:t>
            </w:r>
          </w:p>
        </w:tc>
      </w:tr>
      <w:tr w:rsidR="00751C05" w14:paraId="48B5B088" w14:textId="77777777" w:rsidTr="00D74744">
        <w:trPr>
          <w:trHeight w:val="295"/>
        </w:trPr>
        <w:tc>
          <w:tcPr>
            <w:tcW w:w="1898" w:type="dxa"/>
          </w:tcPr>
          <w:p w14:paraId="25D95FEC" w14:textId="606D40CA" w:rsidR="00751C05" w:rsidRPr="00751C05" w:rsidRDefault="00751C05" w:rsidP="00751C05">
            <w:pPr>
              <w:pStyle w:val="TableParagraph"/>
              <w:spacing w:line="176" w:lineRule="exact"/>
              <w:ind w:left="29"/>
              <w:rPr>
                <w:sz w:val="16"/>
              </w:rPr>
            </w:pPr>
            <w:r w:rsidRPr="00751C05">
              <w:rPr>
                <w:sz w:val="16"/>
              </w:rPr>
              <w:t xml:space="preserve">Senior Quantitative </w:t>
            </w:r>
            <w:r w:rsidR="00485D7E">
              <w:rPr>
                <w:sz w:val="16"/>
              </w:rPr>
              <w:t>Developer</w:t>
            </w:r>
            <w:r w:rsidRPr="00751C05">
              <w:rPr>
                <w:sz w:val="16"/>
              </w:rPr>
              <w:t xml:space="preserve"> (US)</w:t>
            </w:r>
          </w:p>
        </w:tc>
        <w:tc>
          <w:tcPr>
            <w:tcW w:w="2376" w:type="dxa"/>
          </w:tcPr>
          <w:p w14:paraId="1F41AA17" w14:textId="2547C2C4" w:rsidR="00751C05" w:rsidRPr="00751C05" w:rsidRDefault="00751C05" w:rsidP="00751C05">
            <w:pPr>
              <w:pStyle w:val="TableParagraph"/>
              <w:spacing w:line="176" w:lineRule="exact"/>
              <w:ind w:left="29"/>
              <w:rPr>
                <w:sz w:val="16"/>
              </w:rPr>
            </w:pPr>
            <w:r w:rsidRPr="00751C05">
              <w:rPr>
                <w:sz w:val="16"/>
              </w:rPr>
              <w:t xml:space="preserve">Alan Cao </w:t>
            </w:r>
            <w:r w:rsidR="00192D88">
              <w:rPr>
                <w:sz w:val="16"/>
              </w:rPr>
              <w:t xml:space="preserve">/ </w:t>
            </w:r>
            <w:r w:rsidR="00D73FF7">
              <w:rPr>
                <w:sz w:val="16"/>
              </w:rPr>
              <w:t>Rishi Bhatt</w:t>
            </w:r>
          </w:p>
        </w:tc>
        <w:tc>
          <w:tcPr>
            <w:tcW w:w="1764" w:type="dxa"/>
          </w:tcPr>
          <w:p w14:paraId="35270787" w14:textId="42D4E6EA" w:rsidR="00751C05" w:rsidRPr="00334B04" w:rsidRDefault="00751C05" w:rsidP="00751C05">
            <w:pPr>
              <w:pStyle w:val="TableParagraph"/>
              <w:spacing w:line="176" w:lineRule="exact"/>
              <w:ind w:right="13"/>
              <w:jc w:val="right"/>
              <w:rPr>
                <w:spacing w:val="-5"/>
                <w:sz w:val="16"/>
              </w:rPr>
            </w:pPr>
            <w:r w:rsidRPr="00334B04">
              <w:rPr>
                <w:spacing w:val="-5"/>
                <w:sz w:val="16"/>
              </w:rPr>
              <w:t>480</w:t>
            </w:r>
          </w:p>
        </w:tc>
        <w:tc>
          <w:tcPr>
            <w:tcW w:w="1694" w:type="dxa"/>
          </w:tcPr>
          <w:p w14:paraId="35589159" w14:textId="77777777" w:rsidR="00751C05" w:rsidRPr="00334B04" w:rsidRDefault="00751C05" w:rsidP="00751C05">
            <w:pPr>
              <w:pStyle w:val="TableParagraph"/>
              <w:spacing w:line="176" w:lineRule="exact"/>
              <w:ind w:right="14"/>
              <w:jc w:val="right"/>
              <w:rPr>
                <w:spacing w:val="-2"/>
                <w:sz w:val="16"/>
              </w:rPr>
            </w:pPr>
            <w:r w:rsidRPr="00334B04">
              <w:rPr>
                <w:spacing w:val="-2"/>
                <w:sz w:val="16"/>
              </w:rPr>
              <w:t>$1,450</w:t>
            </w:r>
          </w:p>
        </w:tc>
        <w:tc>
          <w:tcPr>
            <w:tcW w:w="1691" w:type="dxa"/>
          </w:tcPr>
          <w:p w14:paraId="21CCCBDD" w14:textId="65A7322B" w:rsidR="00751C05" w:rsidRPr="00334B04" w:rsidRDefault="00751C05" w:rsidP="00751C05">
            <w:pPr>
              <w:pStyle w:val="TableParagraph"/>
              <w:spacing w:line="176" w:lineRule="exact"/>
              <w:ind w:right="14"/>
              <w:jc w:val="right"/>
              <w:rPr>
                <w:sz w:val="16"/>
              </w:rPr>
            </w:pPr>
            <w:r w:rsidRPr="00334B04">
              <w:rPr>
                <w:sz w:val="16"/>
              </w:rPr>
              <w:t>$</w:t>
            </w:r>
            <w:r w:rsidR="00054795" w:rsidRPr="00334B04">
              <w:rPr>
                <w:sz w:val="16"/>
              </w:rPr>
              <w:t>696,000</w:t>
            </w:r>
          </w:p>
        </w:tc>
      </w:tr>
      <w:tr w:rsidR="00751C05" w14:paraId="306C96DF" w14:textId="77777777" w:rsidTr="00D74744">
        <w:trPr>
          <w:trHeight w:val="304"/>
        </w:trPr>
        <w:tc>
          <w:tcPr>
            <w:tcW w:w="1898" w:type="dxa"/>
          </w:tcPr>
          <w:p w14:paraId="7D4223AD" w14:textId="388C61BB" w:rsidR="00751C05" w:rsidRPr="00751C05" w:rsidRDefault="00751C05" w:rsidP="00751C05">
            <w:pPr>
              <w:pStyle w:val="TableParagraph"/>
              <w:spacing w:before="1"/>
              <w:ind w:left="29"/>
              <w:rPr>
                <w:sz w:val="16"/>
              </w:rPr>
            </w:pPr>
            <w:r w:rsidRPr="00751C05">
              <w:rPr>
                <w:sz w:val="16"/>
              </w:rPr>
              <w:t>Senior</w:t>
            </w:r>
            <w:r w:rsidRPr="00751C05">
              <w:rPr>
                <w:spacing w:val="-8"/>
                <w:sz w:val="16"/>
              </w:rPr>
              <w:t xml:space="preserve"> </w:t>
            </w:r>
            <w:r w:rsidR="009C5DC8">
              <w:rPr>
                <w:spacing w:val="-8"/>
                <w:sz w:val="16"/>
              </w:rPr>
              <w:t xml:space="preserve">Full-Stack </w:t>
            </w:r>
            <w:r w:rsidRPr="00751C05">
              <w:rPr>
                <w:spacing w:val="-5"/>
                <w:sz w:val="16"/>
              </w:rPr>
              <w:t>Engineer (UK)</w:t>
            </w:r>
          </w:p>
        </w:tc>
        <w:tc>
          <w:tcPr>
            <w:tcW w:w="2376" w:type="dxa"/>
          </w:tcPr>
          <w:p w14:paraId="6D5F8E9E" w14:textId="37B6CC31" w:rsidR="00751C05" w:rsidRPr="00751C05" w:rsidRDefault="00751C05" w:rsidP="00751C05">
            <w:pPr>
              <w:pStyle w:val="TableParagraph"/>
              <w:spacing w:before="1"/>
              <w:ind w:left="29"/>
              <w:rPr>
                <w:sz w:val="16"/>
              </w:rPr>
            </w:pPr>
            <w:r w:rsidRPr="00751C05">
              <w:rPr>
                <w:sz w:val="16"/>
              </w:rPr>
              <w:t>Francois-Xavier Girard / TBC</w:t>
            </w:r>
          </w:p>
        </w:tc>
        <w:tc>
          <w:tcPr>
            <w:tcW w:w="1764" w:type="dxa"/>
          </w:tcPr>
          <w:p w14:paraId="05EF3D76" w14:textId="3BF2CF09" w:rsidR="00751C05" w:rsidRPr="00334B04" w:rsidRDefault="00751C05" w:rsidP="00751C05">
            <w:pPr>
              <w:pStyle w:val="TableParagraph"/>
              <w:spacing w:before="1"/>
              <w:ind w:right="13"/>
              <w:jc w:val="right"/>
              <w:rPr>
                <w:sz w:val="16"/>
              </w:rPr>
            </w:pPr>
            <w:r w:rsidRPr="00334B04">
              <w:rPr>
                <w:spacing w:val="-5"/>
                <w:sz w:val="16"/>
              </w:rPr>
              <w:t>24</w:t>
            </w:r>
            <w:r w:rsidR="00F711F2">
              <w:rPr>
                <w:spacing w:val="-5"/>
                <w:sz w:val="16"/>
              </w:rPr>
              <w:t>0</w:t>
            </w:r>
          </w:p>
        </w:tc>
        <w:tc>
          <w:tcPr>
            <w:tcW w:w="1694" w:type="dxa"/>
          </w:tcPr>
          <w:p w14:paraId="4615874C" w14:textId="2B59F00A" w:rsidR="00751C05" w:rsidRPr="00334B04" w:rsidRDefault="00751C05" w:rsidP="00751C05">
            <w:pPr>
              <w:pStyle w:val="TableParagraph"/>
              <w:spacing w:before="1"/>
              <w:ind w:right="14"/>
              <w:jc w:val="right"/>
              <w:rPr>
                <w:sz w:val="16"/>
              </w:rPr>
            </w:pPr>
            <w:r w:rsidRPr="00334B04">
              <w:rPr>
                <w:spacing w:val="-2"/>
                <w:sz w:val="16"/>
              </w:rPr>
              <w:t>$1,495</w:t>
            </w:r>
          </w:p>
        </w:tc>
        <w:tc>
          <w:tcPr>
            <w:tcW w:w="1691" w:type="dxa"/>
          </w:tcPr>
          <w:p w14:paraId="42F447A0" w14:textId="0FA99821" w:rsidR="00751C05" w:rsidRPr="00334B04" w:rsidRDefault="00751C05" w:rsidP="00751C05">
            <w:pPr>
              <w:pStyle w:val="TableParagraph"/>
              <w:spacing w:before="1"/>
              <w:ind w:right="14"/>
              <w:jc w:val="right"/>
              <w:rPr>
                <w:sz w:val="16"/>
              </w:rPr>
            </w:pPr>
            <w:r w:rsidRPr="00334B04">
              <w:rPr>
                <w:sz w:val="16"/>
              </w:rPr>
              <w:t>$</w:t>
            </w:r>
            <w:r w:rsidR="000E634D">
              <w:rPr>
                <w:sz w:val="16"/>
              </w:rPr>
              <w:t>358,800</w:t>
            </w:r>
          </w:p>
        </w:tc>
      </w:tr>
      <w:tr w:rsidR="00751C05" w14:paraId="25292DB0" w14:textId="77777777" w:rsidTr="00D74744">
        <w:trPr>
          <w:trHeight w:val="304"/>
        </w:trPr>
        <w:tc>
          <w:tcPr>
            <w:tcW w:w="1898" w:type="dxa"/>
          </w:tcPr>
          <w:p w14:paraId="50E4C95E" w14:textId="42031C64" w:rsidR="00751C05" w:rsidRPr="00751C05" w:rsidRDefault="00D73FF7" w:rsidP="00751C05">
            <w:pPr>
              <w:pStyle w:val="TableParagraph"/>
              <w:spacing w:before="1"/>
              <w:ind w:left="29"/>
              <w:rPr>
                <w:sz w:val="16"/>
              </w:rPr>
            </w:pPr>
            <w:r>
              <w:rPr>
                <w:sz w:val="16"/>
              </w:rPr>
              <w:t>Quantitative Developer</w:t>
            </w:r>
            <w:r w:rsidR="00751C05" w:rsidRPr="00751C05">
              <w:rPr>
                <w:spacing w:val="-5"/>
                <w:sz w:val="16"/>
              </w:rPr>
              <w:t xml:space="preserve"> (US)</w:t>
            </w:r>
          </w:p>
        </w:tc>
        <w:tc>
          <w:tcPr>
            <w:tcW w:w="2376" w:type="dxa"/>
          </w:tcPr>
          <w:p w14:paraId="740E0B9D" w14:textId="42304F7F" w:rsidR="00751C05" w:rsidRPr="00751C05" w:rsidRDefault="00D73FF7" w:rsidP="00751C05">
            <w:pPr>
              <w:pStyle w:val="TableParagraph"/>
              <w:spacing w:before="1"/>
              <w:ind w:left="29"/>
              <w:rPr>
                <w:sz w:val="16"/>
              </w:rPr>
            </w:pPr>
            <w:r>
              <w:rPr>
                <w:sz w:val="16"/>
              </w:rPr>
              <w:t xml:space="preserve">Andrew Bader </w:t>
            </w:r>
          </w:p>
        </w:tc>
        <w:tc>
          <w:tcPr>
            <w:tcW w:w="1764" w:type="dxa"/>
          </w:tcPr>
          <w:p w14:paraId="59E07886" w14:textId="4F06E012" w:rsidR="00751C05" w:rsidRPr="00334B04" w:rsidRDefault="00751C05" w:rsidP="00751C05">
            <w:pPr>
              <w:pStyle w:val="TableParagraph"/>
              <w:spacing w:before="1"/>
              <w:ind w:right="13"/>
              <w:jc w:val="right"/>
              <w:rPr>
                <w:spacing w:val="-5"/>
                <w:sz w:val="16"/>
              </w:rPr>
            </w:pPr>
            <w:r w:rsidRPr="00334B04">
              <w:rPr>
                <w:spacing w:val="-5"/>
                <w:sz w:val="16"/>
              </w:rPr>
              <w:t>24</w:t>
            </w:r>
            <w:r w:rsidR="00F711F2">
              <w:rPr>
                <w:spacing w:val="-5"/>
                <w:sz w:val="16"/>
              </w:rPr>
              <w:t>0</w:t>
            </w:r>
          </w:p>
        </w:tc>
        <w:tc>
          <w:tcPr>
            <w:tcW w:w="1694" w:type="dxa"/>
          </w:tcPr>
          <w:p w14:paraId="137C9B80" w14:textId="77777777" w:rsidR="00751C05" w:rsidRPr="00334B04" w:rsidRDefault="00751C05" w:rsidP="00751C05">
            <w:pPr>
              <w:pStyle w:val="TableParagraph"/>
              <w:spacing w:before="1"/>
              <w:ind w:right="14"/>
              <w:jc w:val="right"/>
              <w:rPr>
                <w:spacing w:val="-2"/>
                <w:sz w:val="16"/>
              </w:rPr>
            </w:pPr>
            <w:r w:rsidRPr="00334B04">
              <w:rPr>
                <w:spacing w:val="-2"/>
                <w:sz w:val="16"/>
              </w:rPr>
              <w:t>$1,250</w:t>
            </w:r>
          </w:p>
        </w:tc>
        <w:tc>
          <w:tcPr>
            <w:tcW w:w="1691" w:type="dxa"/>
          </w:tcPr>
          <w:p w14:paraId="2E6649C7" w14:textId="7A918480" w:rsidR="00751C05" w:rsidRPr="00334B04" w:rsidRDefault="00751C05" w:rsidP="00751C05">
            <w:pPr>
              <w:pStyle w:val="TableParagraph"/>
              <w:spacing w:before="1"/>
              <w:ind w:right="14"/>
              <w:jc w:val="right"/>
              <w:rPr>
                <w:sz w:val="16"/>
              </w:rPr>
            </w:pPr>
            <w:r w:rsidRPr="00334B04">
              <w:rPr>
                <w:sz w:val="16"/>
              </w:rPr>
              <w:t>$</w:t>
            </w:r>
            <w:r w:rsidR="000E634D">
              <w:rPr>
                <w:sz w:val="16"/>
              </w:rPr>
              <w:t>300,000</w:t>
            </w:r>
          </w:p>
        </w:tc>
      </w:tr>
      <w:tr w:rsidR="00460818" w14:paraId="7AAB5CCB" w14:textId="77777777" w:rsidTr="00D74744">
        <w:trPr>
          <w:trHeight w:val="304"/>
        </w:trPr>
        <w:tc>
          <w:tcPr>
            <w:tcW w:w="1898" w:type="dxa"/>
          </w:tcPr>
          <w:p w14:paraId="49C03B31" w14:textId="562AA552" w:rsidR="00460818" w:rsidRDefault="001A4556" w:rsidP="00751C05">
            <w:pPr>
              <w:pStyle w:val="TableParagraph"/>
              <w:spacing w:before="1"/>
              <w:ind w:left="29"/>
              <w:rPr>
                <w:sz w:val="16"/>
              </w:rPr>
            </w:pPr>
            <w:r>
              <w:rPr>
                <w:sz w:val="16"/>
              </w:rPr>
              <w:t>S</w:t>
            </w:r>
            <w:r w:rsidR="009378F0">
              <w:rPr>
                <w:sz w:val="16"/>
              </w:rPr>
              <w:t xml:space="preserve">enor Project </w:t>
            </w:r>
            <w:proofErr w:type="gramStart"/>
            <w:r w:rsidR="009378F0">
              <w:rPr>
                <w:sz w:val="16"/>
              </w:rPr>
              <w:t>Lead</w:t>
            </w:r>
            <w:proofErr w:type="gramEnd"/>
            <w:r w:rsidR="009378F0">
              <w:rPr>
                <w:sz w:val="16"/>
              </w:rPr>
              <w:t xml:space="preserve"> (US)</w:t>
            </w:r>
          </w:p>
        </w:tc>
        <w:tc>
          <w:tcPr>
            <w:tcW w:w="2376" w:type="dxa"/>
          </w:tcPr>
          <w:p w14:paraId="6EABA189" w14:textId="77777777" w:rsidR="00460818" w:rsidRDefault="00460818" w:rsidP="00751C05">
            <w:pPr>
              <w:pStyle w:val="TableParagraph"/>
              <w:spacing w:before="1"/>
              <w:ind w:left="29"/>
              <w:rPr>
                <w:sz w:val="16"/>
              </w:rPr>
            </w:pPr>
          </w:p>
        </w:tc>
        <w:tc>
          <w:tcPr>
            <w:tcW w:w="1764" w:type="dxa"/>
          </w:tcPr>
          <w:p w14:paraId="496103B3" w14:textId="276EC388" w:rsidR="00460818" w:rsidRPr="00334B04" w:rsidRDefault="008F292B" w:rsidP="00751C05">
            <w:pPr>
              <w:pStyle w:val="TableParagraph"/>
              <w:spacing w:before="1"/>
              <w:ind w:right="13"/>
              <w:jc w:val="right"/>
              <w:rPr>
                <w:spacing w:val="-5"/>
                <w:sz w:val="16"/>
              </w:rPr>
            </w:pPr>
            <w:r>
              <w:rPr>
                <w:spacing w:val="-5"/>
                <w:sz w:val="16"/>
              </w:rPr>
              <w:t>150</w:t>
            </w:r>
          </w:p>
        </w:tc>
        <w:tc>
          <w:tcPr>
            <w:tcW w:w="1694" w:type="dxa"/>
          </w:tcPr>
          <w:p w14:paraId="29D7B87B" w14:textId="2D43B592" w:rsidR="00460818" w:rsidRPr="00334B04" w:rsidRDefault="009378F0" w:rsidP="00751C05">
            <w:pPr>
              <w:pStyle w:val="TableParagraph"/>
              <w:spacing w:before="1"/>
              <w:ind w:right="14"/>
              <w:jc w:val="right"/>
              <w:rPr>
                <w:spacing w:val="-2"/>
                <w:sz w:val="16"/>
              </w:rPr>
            </w:pPr>
            <w:r>
              <w:rPr>
                <w:spacing w:val="-2"/>
                <w:sz w:val="16"/>
              </w:rPr>
              <w:t>$1400</w:t>
            </w:r>
          </w:p>
        </w:tc>
        <w:tc>
          <w:tcPr>
            <w:tcW w:w="1691" w:type="dxa"/>
          </w:tcPr>
          <w:p w14:paraId="53CD00FA" w14:textId="77777777" w:rsidR="00460818" w:rsidRPr="00334B04" w:rsidRDefault="00460818" w:rsidP="00751C05">
            <w:pPr>
              <w:pStyle w:val="TableParagraph"/>
              <w:spacing w:before="1"/>
              <w:ind w:right="14"/>
              <w:jc w:val="right"/>
              <w:rPr>
                <w:sz w:val="16"/>
              </w:rPr>
            </w:pPr>
          </w:p>
        </w:tc>
      </w:tr>
      <w:tr w:rsidR="00751C05" w14:paraId="2240C13F" w14:textId="77777777" w:rsidTr="00D74744">
        <w:trPr>
          <w:trHeight w:val="302"/>
        </w:trPr>
        <w:tc>
          <w:tcPr>
            <w:tcW w:w="1898" w:type="dxa"/>
          </w:tcPr>
          <w:p w14:paraId="37CA7CF9" w14:textId="77777777" w:rsidR="00751C05" w:rsidRDefault="00751C05" w:rsidP="00751C05">
            <w:pPr>
              <w:pStyle w:val="TableParagraph"/>
              <w:spacing w:before="1"/>
              <w:ind w:left="29"/>
              <w:rPr>
                <w:b/>
                <w:sz w:val="16"/>
              </w:rPr>
            </w:pPr>
            <w:r>
              <w:rPr>
                <w:b/>
                <w:spacing w:val="-2"/>
                <w:sz w:val="16"/>
              </w:rPr>
              <w:t>Total</w:t>
            </w:r>
          </w:p>
        </w:tc>
        <w:tc>
          <w:tcPr>
            <w:tcW w:w="2376" w:type="dxa"/>
          </w:tcPr>
          <w:p w14:paraId="6E293399" w14:textId="77777777" w:rsidR="00751C05" w:rsidRDefault="00751C05" w:rsidP="00751C05">
            <w:pPr>
              <w:pStyle w:val="TableParagraph"/>
              <w:rPr>
                <w:rFonts w:ascii="Times New Roman"/>
                <w:sz w:val="16"/>
              </w:rPr>
            </w:pPr>
          </w:p>
        </w:tc>
        <w:tc>
          <w:tcPr>
            <w:tcW w:w="1764" w:type="dxa"/>
          </w:tcPr>
          <w:p w14:paraId="3DAD57F0" w14:textId="120744FA" w:rsidR="00751C05" w:rsidRPr="00334B04" w:rsidRDefault="00751C05" w:rsidP="00751C05">
            <w:pPr>
              <w:pStyle w:val="TableParagraph"/>
              <w:rPr>
                <w:rFonts w:ascii="Times New Roman"/>
                <w:sz w:val="16"/>
              </w:rPr>
            </w:pPr>
          </w:p>
        </w:tc>
        <w:tc>
          <w:tcPr>
            <w:tcW w:w="1694" w:type="dxa"/>
          </w:tcPr>
          <w:p w14:paraId="3E1366A2" w14:textId="77777777" w:rsidR="00751C05" w:rsidRPr="00334B04" w:rsidRDefault="00751C05" w:rsidP="00751C05">
            <w:pPr>
              <w:pStyle w:val="TableParagraph"/>
              <w:rPr>
                <w:rFonts w:ascii="Times New Roman"/>
                <w:sz w:val="16"/>
              </w:rPr>
            </w:pPr>
          </w:p>
        </w:tc>
        <w:tc>
          <w:tcPr>
            <w:tcW w:w="1691" w:type="dxa"/>
          </w:tcPr>
          <w:p w14:paraId="09552388" w14:textId="54F5CF66" w:rsidR="00751C05" w:rsidRPr="00334B04" w:rsidRDefault="00751C05" w:rsidP="00751C05">
            <w:pPr>
              <w:pStyle w:val="TableParagraph"/>
              <w:spacing w:before="1"/>
              <w:ind w:right="14"/>
              <w:jc w:val="right"/>
              <w:rPr>
                <w:b/>
                <w:sz w:val="16"/>
              </w:rPr>
            </w:pPr>
            <w:r w:rsidRPr="00334B04">
              <w:rPr>
                <w:b/>
                <w:spacing w:val="-2"/>
                <w:sz w:val="16"/>
              </w:rPr>
              <w:t>$</w:t>
            </w:r>
            <w:r w:rsidR="00C80C2E" w:rsidRPr="00334B04">
              <w:rPr>
                <w:b/>
                <w:spacing w:val="-2"/>
                <w:sz w:val="16"/>
              </w:rPr>
              <w:t>2,</w:t>
            </w:r>
            <w:r w:rsidR="000E634D">
              <w:rPr>
                <w:b/>
                <w:spacing w:val="-2"/>
                <w:sz w:val="16"/>
              </w:rPr>
              <w:t>166,000</w:t>
            </w:r>
          </w:p>
        </w:tc>
      </w:tr>
    </w:tbl>
    <w:p w14:paraId="008A076A" w14:textId="77777777" w:rsidR="00017E9C" w:rsidRDefault="00017E9C">
      <w:pPr>
        <w:pStyle w:val="BodyText"/>
        <w:spacing w:before="131"/>
      </w:pPr>
    </w:p>
    <w:p w14:paraId="27EAE382" w14:textId="77777777" w:rsidR="00BF1E6C" w:rsidRDefault="00B51D34">
      <w:pPr>
        <w:pStyle w:val="Heading1"/>
        <w:spacing w:before="1"/>
        <w:ind w:left="460" w:firstLine="0"/>
      </w:pPr>
      <w:r>
        <w:rPr>
          <w:u w:val="single"/>
        </w:rPr>
        <w:t>Financial</w:t>
      </w:r>
      <w:r>
        <w:rPr>
          <w:spacing w:val="-3"/>
          <w:u w:val="single"/>
        </w:rPr>
        <w:t xml:space="preserve"> </w:t>
      </w:r>
      <w:r>
        <w:rPr>
          <w:u w:val="single"/>
        </w:rPr>
        <w:t>Control</w:t>
      </w:r>
      <w:r>
        <w:rPr>
          <w:spacing w:val="-3"/>
          <w:u w:val="single"/>
        </w:rPr>
        <w:t xml:space="preserve"> </w:t>
      </w:r>
      <w:r>
        <w:rPr>
          <w:spacing w:val="-2"/>
          <w:u w:val="single"/>
        </w:rPr>
        <w:t>Information</w:t>
      </w:r>
    </w:p>
    <w:p w14:paraId="7926C65E" w14:textId="77777777" w:rsidR="00BF1E6C" w:rsidRDefault="00BF1E6C">
      <w:pPr>
        <w:pStyle w:val="BodyText"/>
        <w:rPr>
          <w:b/>
          <w:sz w:val="13"/>
        </w:rPr>
      </w:pPr>
    </w:p>
    <w:tbl>
      <w:tblPr>
        <w:tblW w:w="0" w:type="auto"/>
        <w:tblInd w:w="681" w:type="dxa"/>
        <w:tblLayout w:type="fixed"/>
        <w:tblCellMar>
          <w:left w:w="0" w:type="dxa"/>
          <w:right w:w="0" w:type="dxa"/>
        </w:tblCellMar>
        <w:tblLook w:val="01E0" w:firstRow="1" w:lastRow="1" w:firstColumn="1" w:lastColumn="1" w:noHBand="0" w:noVBand="0"/>
      </w:tblPr>
      <w:tblGrid>
        <w:gridCol w:w="2534"/>
        <w:gridCol w:w="3348"/>
      </w:tblGrid>
      <w:tr w:rsidR="00BF1E6C" w14:paraId="06BD7044" w14:textId="77777777" w:rsidTr="00CA027D">
        <w:trPr>
          <w:trHeight w:val="191"/>
        </w:trPr>
        <w:tc>
          <w:tcPr>
            <w:tcW w:w="2534" w:type="dxa"/>
            <w:tcBorders>
              <w:right w:val="single" w:sz="4" w:space="0" w:color="000000"/>
            </w:tcBorders>
          </w:tcPr>
          <w:p w14:paraId="5F9503AD" w14:textId="77777777" w:rsidR="00BF1E6C" w:rsidRDefault="00B51D34">
            <w:pPr>
              <w:pStyle w:val="TableParagraph"/>
              <w:spacing w:line="191" w:lineRule="exact"/>
              <w:ind w:right="102"/>
              <w:jc w:val="right"/>
              <w:rPr>
                <w:b/>
                <w:sz w:val="18"/>
              </w:rPr>
            </w:pPr>
            <w:r>
              <w:rPr>
                <w:b/>
                <w:spacing w:val="-2"/>
                <w:sz w:val="18"/>
              </w:rPr>
              <w:t>Manager</w:t>
            </w:r>
          </w:p>
        </w:tc>
        <w:tc>
          <w:tcPr>
            <w:tcW w:w="3348" w:type="dxa"/>
            <w:tcBorders>
              <w:left w:val="single" w:sz="4" w:space="0" w:color="000000"/>
            </w:tcBorders>
          </w:tcPr>
          <w:p w14:paraId="72BAE3AE" w14:textId="7D2E1C0C" w:rsidR="00BF1E6C" w:rsidRPr="00042081" w:rsidRDefault="00BF1E6C">
            <w:pPr>
              <w:pStyle w:val="TableParagraph"/>
              <w:spacing w:line="191" w:lineRule="exact"/>
              <w:ind w:left="101"/>
              <w:rPr>
                <w:sz w:val="18"/>
              </w:rPr>
            </w:pPr>
          </w:p>
        </w:tc>
      </w:tr>
      <w:tr w:rsidR="00BF1E6C" w14:paraId="76E53CAF" w14:textId="77777777" w:rsidTr="00CA027D">
        <w:trPr>
          <w:trHeight w:val="191"/>
        </w:trPr>
        <w:tc>
          <w:tcPr>
            <w:tcW w:w="2534" w:type="dxa"/>
            <w:tcBorders>
              <w:right w:val="single" w:sz="4" w:space="0" w:color="000000"/>
            </w:tcBorders>
          </w:tcPr>
          <w:p w14:paraId="2C88A377" w14:textId="77E4AE2B" w:rsidR="00BF1E6C" w:rsidRDefault="00B51D34">
            <w:pPr>
              <w:pStyle w:val="TableParagraph"/>
              <w:spacing w:line="191" w:lineRule="exact"/>
              <w:ind w:right="103"/>
              <w:jc w:val="right"/>
              <w:rPr>
                <w:b/>
                <w:sz w:val="18"/>
              </w:rPr>
            </w:pPr>
            <w:r>
              <w:rPr>
                <w:b/>
                <w:sz w:val="18"/>
              </w:rPr>
              <w:t xml:space="preserve">Sr. </w:t>
            </w:r>
            <w:r>
              <w:rPr>
                <w:b/>
                <w:spacing w:val="-2"/>
                <w:sz w:val="18"/>
              </w:rPr>
              <w:t>Manager</w:t>
            </w:r>
            <w:r w:rsidR="00A8427E">
              <w:rPr>
                <w:b/>
                <w:spacing w:val="-2"/>
                <w:sz w:val="18"/>
              </w:rPr>
              <w:t>s</w:t>
            </w:r>
          </w:p>
        </w:tc>
        <w:tc>
          <w:tcPr>
            <w:tcW w:w="3348" w:type="dxa"/>
            <w:tcBorders>
              <w:left w:val="single" w:sz="4" w:space="0" w:color="000000"/>
            </w:tcBorders>
          </w:tcPr>
          <w:p w14:paraId="10F3E001" w14:textId="0638325F" w:rsidR="00BF1E6C" w:rsidRPr="00042081" w:rsidRDefault="00B6634A">
            <w:pPr>
              <w:pStyle w:val="TableParagraph"/>
              <w:spacing w:line="191" w:lineRule="exact"/>
              <w:ind w:left="101"/>
              <w:rPr>
                <w:sz w:val="18"/>
              </w:rPr>
            </w:pPr>
            <w:r w:rsidRPr="00042081">
              <w:rPr>
                <w:sz w:val="18"/>
              </w:rPr>
              <w:t xml:space="preserve">Derek </w:t>
            </w:r>
            <w:proofErr w:type="spellStart"/>
            <w:r w:rsidRPr="00042081">
              <w:rPr>
                <w:sz w:val="18"/>
              </w:rPr>
              <w:t>Kilfedder</w:t>
            </w:r>
            <w:proofErr w:type="spellEnd"/>
            <w:r w:rsidRPr="00042081">
              <w:rPr>
                <w:sz w:val="18"/>
              </w:rPr>
              <w:t xml:space="preserve">, Volkan </w:t>
            </w:r>
            <w:proofErr w:type="spellStart"/>
            <w:r w:rsidRPr="00042081">
              <w:rPr>
                <w:sz w:val="18"/>
              </w:rPr>
              <w:t>Aktas</w:t>
            </w:r>
            <w:proofErr w:type="spellEnd"/>
          </w:p>
        </w:tc>
      </w:tr>
      <w:tr w:rsidR="00BF1E6C" w14:paraId="7B603C80" w14:textId="77777777" w:rsidTr="00CA027D">
        <w:trPr>
          <w:trHeight w:val="191"/>
        </w:trPr>
        <w:tc>
          <w:tcPr>
            <w:tcW w:w="2534" w:type="dxa"/>
            <w:tcBorders>
              <w:right w:val="single" w:sz="4" w:space="0" w:color="000000"/>
            </w:tcBorders>
          </w:tcPr>
          <w:p w14:paraId="5355F9DD" w14:textId="77777777" w:rsidR="00BF1E6C" w:rsidRDefault="00B51D34">
            <w:pPr>
              <w:pStyle w:val="TableParagraph"/>
              <w:spacing w:line="191" w:lineRule="exact"/>
              <w:ind w:right="102"/>
              <w:jc w:val="right"/>
              <w:rPr>
                <w:b/>
                <w:sz w:val="18"/>
              </w:rPr>
            </w:pPr>
            <w:r>
              <w:rPr>
                <w:b/>
                <w:sz w:val="18"/>
              </w:rPr>
              <w:t>Cost</w:t>
            </w:r>
            <w:r>
              <w:rPr>
                <w:b/>
                <w:spacing w:val="-5"/>
                <w:sz w:val="18"/>
              </w:rPr>
              <w:t xml:space="preserve"> </w:t>
            </w:r>
            <w:r>
              <w:rPr>
                <w:b/>
                <w:spacing w:val="-2"/>
                <w:sz w:val="18"/>
              </w:rPr>
              <w:t>Center</w:t>
            </w:r>
          </w:p>
        </w:tc>
        <w:tc>
          <w:tcPr>
            <w:tcW w:w="3348" w:type="dxa"/>
            <w:tcBorders>
              <w:left w:val="single" w:sz="4" w:space="0" w:color="000000"/>
            </w:tcBorders>
          </w:tcPr>
          <w:p w14:paraId="245F6988" w14:textId="05C82BFD" w:rsidR="00BF1E6C" w:rsidRPr="00042081" w:rsidRDefault="00687A64">
            <w:pPr>
              <w:pStyle w:val="TableParagraph"/>
              <w:spacing w:line="191" w:lineRule="exact"/>
              <w:ind w:left="101"/>
              <w:rPr>
                <w:sz w:val="18"/>
              </w:rPr>
            </w:pPr>
            <w:r>
              <w:rPr>
                <w:sz w:val="18"/>
              </w:rPr>
              <w:t xml:space="preserve"> </w:t>
            </w:r>
          </w:p>
        </w:tc>
      </w:tr>
      <w:tr w:rsidR="00BF1E6C" w14:paraId="2CFEC3FC" w14:textId="77777777" w:rsidTr="00CA027D">
        <w:trPr>
          <w:trHeight w:val="189"/>
        </w:trPr>
        <w:tc>
          <w:tcPr>
            <w:tcW w:w="2534" w:type="dxa"/>
            <w:tcBorders>
              <w:right w:val="single" w:sz="4" w:space="0" w:color="000000"/>
            </w:tcBorders>
          </w:tcPr>
          <w:p w14:paraId="35FE003F" w14:textId="77777777" w:rsidR="00BF1E6C" w:rsidRDefault="00B51D34">
            <w:pPr>
              <w:pStyle w:val="TableParagraph"/>
              <w:spacing w:line="188" w:lineRule="exact"/>
              <w:ind w:right="102"/>
              <w:jc w:val="right"/>
              <w:rPr>
                <w:b/>
                <w:sz w:val="18"/>
              </w:rPr>
            </w:pPr>
            <w:r>
              <w:rPr>
                <w:b/>
                <w:sz w:val="18"/>
              </w:rPr>
              <w:t>Start</w:t>
            </w:r>
            <w:r>
              <w:rPr>
                <w:b/>
                <w:spacing w:val="-4"/>
                <w:sz w:val="18"/>
              </w:rPr>
              <w:t xml:space="preserve"> Date</w:t>
            </w:r>
          </w:p>
        </w:tc>
        <w:tc>
          <w:tcPr>
            <w:tcW w:w="3348" w:type="dxa"/>
            <w:tcBorders>
              <w:left w:val="single" w:sz="4" w:space="0" w:color="000000"/>
            </w:tcBorders>
          </w:tcPr>
          <w:p w14:paraId="6C5C5391" w14:textId="60247230" w:rsidR="00BF1E6C" w:rsidRPr="00042081" w:rsidRDefault="00D27800">
            <w:pPr>
              <w:pStyle w:val="TableParagraph"/>
              <w:spacing w:line="188" w:lineRule="exact"/>
              <w:ind w:left="101"/>
              <w:rPr>
                <w:sz w:val="18"/>
              </w:rPr>
            </w:pPr>
            <w:r w:rsidRPr="00042081">
              <w:rPr>
                <w:sz w:val="18"/>
              </w:rPr>
              <w:t>10</w:t>
            </w:r>
            <w:r w:rsidR="009C03CE" w:rsidRPr="00042081">
              <w:rPr>
                <w:sz w:val="18"/>
              </w:rPr>
              <w:t xml:space="preserve"> </w:t>
            </w:r>
            <w:r w:rsidRPr="00042081">
              <w:rPr>
                <w:sz w:val="18"/>
              </w:rPr>
              <w:t>March</w:t>
            </w:r>
            <w:r w:rsidR="00B51D34" w:rsidRPr="00042081">
              <w:rPr>
                <w:spacing w:val="-1"/>
                <w:sz w:val="18"/>
              </w:rPr>
              <w:t xml:space="preserve"> </w:t>
            </w:r>
            <w:r w:rsidR="00B51D34" w:rsidRPr="00042081">
              <w:rPr>
                <w:spacing w:val="-4"/>
                <w:sz w:val="18"/>
              </w:rPr>
              <w:t>202</w:t>
            </w:r>
            <w:r w:rsidRPr="00042081">
              <w:rPr>
                <w:spacing w:val="-4"/>
                <w:sz w:val="18"/>
              </w:rPr>
              <w:t>5</w:t>
            </w:r>
          </w:p>
        </w:tc>
      </w:tr>
      <w:tr w:rsidR="00BF1E6C" w14:paraId="6C216C17" w14:textId="77777777" w:rsidTr="00CA027D">
        <w:trPr>
          <w:trHeight w:val="193"/>
        </w:trPr>
        <w:tc>
          <w:tcPr>
            <w:tcW w:w="2534" w:type="dxa"/>
            <w:tcBorders>
              <w:right w:val="single" w:sz="4" w:space="0" w:color="000000"/>
            </w:tcBorders>
          </w:tcPr>
          <w:p w14:paraId="44B15A03" w14:textId="77777777" w:rsidR="00BF1E6C" w:rsidRDefault="00B51D34">
            <w:pPr>
              <w:pStyle w:val="TableParagraph"/>
              <w:spacing w:before="2" w:line="191" w:lineRule="exact"/>
              <w:ind w:right="100"/>
              <w:jc w:val="right"/>
              <w:rPr>
                <w:b/>
                <w:sz w:val="18"/>
              </w:rPr>
            </w:pPr>
            <w:r>
              <w:rPr>
                <w:b/>
                <w:sz w:val="18"/>
              </w:rPr>
              <w:t xml:space="preserve">End </w:t>
            </w:r>
            <w:r>
              <w:rPr>
                <w:b/>
                <w:spacing w:val="-4"/>
                <w:sz w:val="18"/>
              </w:rPr>
              <w:t>Date</w:t>
            </w:r>
          </w:p>
        </w:tc>
        <w:tc>
          <w:tcPr>
            <w:tcW w:w="3348" w:type="dxa"/>
            <w:tcBorders>
              <w:left w:val="single" w:sz="4" w:space="0" w:color="000000"/>
            </w:tcBorders>
          </w:tcPr>
          <w:p w14:paraId="62D6F928" w14:textId="54736293" w:rsidR="00BF1E6C" w:rsidRPr="00042081" w:rsidRDefault="00334B04">
            <w:pPr>
              <w:pStyle w:val="TableParagraph"/>
              <w:spacing w:line="193" w:lineRule="exact"/>
              <w:ind w:left="101"/>
              <w:rPr>
                <w:sz w:val="18"/>
              </w:rPr>
            </w:pPr>
            <w:r w:rsidRPr="00042081">
              <w:rPr>
                <w:sz w:val="18"/>
              </w:rPr>
              <w:t>31</w:t>
            </w:r>
            <w:r w:rsidR="006C4334" w:rsidRPr="00042081">
              <w:rPr>
                <w:sz w:val="18"/>
              </w:rPr>
              <w:t xml:space="preserve"> </w:t>
            </w:r>
            <w:r w:rsidR="00D27800" w:rsidRPr="00042081">
              <w:rPr>
                <w:sz w:val="18"/>
              </w:rPr>
              <w:t>March</w:t>
            </w:r>
            <w:r w:rsidR="00064848" w:rsidRPr="00042081">
              <w:rPr>
                <w:sz w:val="18"/>
              </w:rPr>
              <w:t xml:space="preserve"> </w:t>
            </w:r>
            <w:r w:rsidR="00B51D34" w:rsidRPr="00042081">
              <w:rPr>
                <w:spacing w:val="-4"/>
                <w:sz w:val="18"/>
              </w:rPr>
              <w:t>202</w:t>
            </w:r>
            <w:r w:rsidR="00D27800" w:rsidRPr="00042081">
              <w:rPr>
                <w:spacing w:val="-4"/>
                <w:sz w:val="18"/>
              </w:rPr>
              <w:t>6</w:t>
            </w:r>
          </w:p>
        </w:tc>
      </w:tr>
      <w:tr w:rsidR="00BF1E6C" w14:paraId="78CB6996" w14:textId="77777777" w:rsidTr="00CA027D">
        <w:trPr>
          <w:trHeight w:val="190"/>
        </w:trPr>
        <w:tc>
          <w:tcPr>
            <w:tcW w:w="2534" w:type="dxa"/>
            <w:tcBorders>
              <w:right w:val="single" w:sz="4" w:space="0" w:color="000000"/>
            </w:tcBorders>
          </w:tcPr>
          <w:p w14:paraId="593C9229" w14:textId="77777777" w:rsidR="00BF1E6C" w:rsidRDefault="00B51D34">
            <w:pPr>
              <w:pStyle w:val="TableParagraph"/>
              <w:spacing w:line="191" w:lineRule="exact"/>
              <w:ind w:right="100"/>
              <w:jc w:val="right"/>
              <w:rPr>
                <w:b/>
                <w:sz w:val="18"/>
              </w:rPr>
            </w:pPr>
            <w:r>
              <w:rPr>
                <w:b/>
                <w:spacing w:val="-2"/>
                <w:sz w:val="18"/>
              </w:rPr>
              <w:t>Location</w:t>
            </w:r>
          </w:p>
        </w:tc>
        <w:tc>
          <w:tcPr>
            <w:tcW w:w="3348" w:type="dxa"/>
            <w:tcBorders>
              <w:left w:val="single" w:sz="4" w:space="0" w:color="000000"/>
            </w:tcBorders>
          </w:tcPr>
          <w:p w14:paraId="03C006A4" w14:textId="33665CF0" w:rsidR="00BF1E6C" w:rsidRPr="00042081" w:rsidRDefault="00064848">
            <w:pPr>
              <w:pStyle w:val="TableParagraph"/>
              <w:spacing w:line="191" w:lineRule="exact"/>
              <w:ind w:left="101"/>
              <w:rPr>
                <w:sz w:val="18"/>
              </w:rPr>
            </w:pPr>
            <w:r w:rsidRPr="00042081">
              <w:rPr>
                <w:sz w:val="18"/>
              </w:rPr>
              <w:t>New York City</w:t>
            </w:r>
            <w:r w:rsidR="00D27800" w:rsidRPr="00042081">
              <w:rPr>
                <w:sz w:val="18"/>
              </w:rPr>
              <w:t xml:space="preserve"> / London</w:t>
            </w:r>
          </w:p>
        </w:tc>
      </w:tr>
      <w:tr w:rsidR="00BF1E6C" w14:paraId="4F8A65B8" w14:textId="77777777" w:rsidTr="00CA027D">
        <w:trPr>
          <w:trHeight w:val="191"/>
        </w:trPr>
        <w:tc>
          <w:tcPr>
            <w:tcW w:w="2534" w:type="dxa"/>
            <w:tcBorders>
              <w:right w:val="single" w:sz="4" w:space="0" w:color="000000"/>
            </w:tcBorders>
          </w:tcPr>
          <w:p w14:paraId="2E9E9F8C" w14:textId="77777777" w:rsidR="00BF1E6C" w:rsidRDefault="00B51D34">
            <w:pPr>
              <w:pStyle w:val="TableParagraph"/>
              <w:spacing w:line="191" w:lineRule="exact"/>
              <w:ind w:right="100"/>
              <w:jc w:val="right"/>
              <w:rPr>
                <w:b/>
                <w:sz w:val="18"/>
              </w:rPr>
            </w:pPr>
            <w:r w:rsidRPr="00774F96">
              <w:rPr>
                <w:b/>
                <w:sz w:val="18"/>
              </w:rPr>
              <w:t>MER</w:t>
            </w:r>
            <w:r w:rsidRPr="00774F96">
              <w:rPr>
                <w:b/>
                <w:spacing w:val="-5"/>
                <w:sz w:val="18"/>
              </w:rPr>
              <w:t xml:space="preserve"> </w:t>
            </w:r>
            <w:r w:rsidRPr="00774F96">
              <w:rPr>
                <w:b/>
                <w:spacing w:val="-10"/>
                <w:sz w:val="18"/>
              </w:rPr>
              <w:t>#</w:t>
            </w:r>
          </w:p>
        </w:tc>
        <w:tc>
          <w:tcPr>
            <w:tcW w:w="3348" w:type="dxa"/>
            <w:tcBorders>
              <w:left w:val="single" w:sz="4" w:space="0" w:color="000000"/>
            </w:tcBorders>
          </w:tcPr>
          <w:p w14:paraId="165B81AC" w14:textId="11B3AF57" w:rsidR="00BF1E6C" w:rsidRPr="00042081" w:rsidRDefault="00BF1E6C">
            <w:pPr>
              <w:pStyle w:val="TableParagraph"/>
              <w:spacing w:line="191" w:lineRule="exact"/>
              <w:ind w:left="101"/>
              <w:rPr>
                <w:sz w:val="18"/>
              </w:rPr>
            </w:pPr>
          </w:p>
        </w:tc>
      </w:tr>
      <w:tr w:rsidR="00FA0631" w14:paraId="364CD65A" w14:textId="77777777" w:rsidTr="00B6634A">
        <w:trPr>
          <w:trHeight w:val="74"/>
        </w:trPr>
        <w:tc>
          <w:tcPr>
            <w:tcW w:w="2534" w:type="dxa"/>
            <w:tcBorders>
              <w:right w:val="single" w:sz="4" w:space="0" w:color="000000"/>
            </w:tcBorders>
          </w:tcPr>
          <w:p w14:paraId="0B6D3391" w14:textId="77777777" w:rsidR="00FA0631" w:rsidRDefault="00FA0631" w:rsidP="00FA0631">
            <w:pPr>
              <w:pStyle w:val="TableParagraph"/>
              <w:spacing w:line="191" w:lineRule="exact"/>
              <w:ind w:right="100"/>
              <w:jc w:val="right"/>
              <w:rPr>
                <w:b/>
                <w:sz w:val="18"/>
              </w:rPr>
            </w:pPr>
            <w:r>
              <w:rPr>
                <w:b/>
                <w:sz w:val="18"/>
              </w:rPr>
              <w:t>MD</w:t>
            </w:r>
            <w:r>
              <w:rPr>
                <w:b/>
                <w:spacing w:val="-3"/>
                <w:sz w:val="18"/>
              </w:rPr>
              <w:t xml:space="preserve"> </w:t>
            </w:r>
            <w:r>
              <w:rPr>
                <w:b/>
                <w:spacing w:val="-2"/>
                <w:sz w:val="18"/>
              </w:rPr>
              <w:t>Sponsor</w:t>
            </w:r>
          </w:p>
        </w:tc>
        <w:tc>
          <w:tcPr>
            <w:tcW w:w="3348" w:type="dxa"/>
            <w:tcBorders>
              <w:left w:val="single" w:sz="4" w:space="0" w:color="000000"/>
            </w:tcBorders>
          </w:tcPr>
          <w:p w14:paraId="775FEE7B" w14:textId="5777F677" w:rsidR="00FA0631" w:rsidRPr="00042081" w:rsidRDefault="00D27800" w:rsidP="00FA0631">
            <w:pPr>
              <w:pStyle w:val="TableParagraph"/>
              <w:spacing w:line="191" w:lineRule="exact"/>
              <w:ind w:left="101"/>
              <w:rPr>
                <w:sz w:val="18"/>
              </w:rPr>
            </w:pPr>
            <w:r w:rsidRPr="00042081">
              <w:rPr>
                <w:sz w:val="18"/>
              </w:rPr>
              <w:t xml:space="preserve">Derek </w:t>
            </w:r>
            <w:proofErr w:type="spellStart"/>
            <w:r w:rsidRPr="00042081">
              <w:rPr>
                <w:sz w:val="18"/>
              </w:rPr>
              <w:t>Kilfedder</w:t>
            </w:r>
            <w:proofErr w:type="spellEnd"/>
            <w:r w:rsidR="00FA0631" w:rsidRPr="00042081">
              <w:rPr>
                <w:sz w:val="18"/>
              </w:rPr>
              <w:t xml:space="preserve">, </w:t>
            </w:r>
            <w:r w:rsidRPr="00042081">
              <w:rPr>
                <w:sz w:val="18"/>
              </w:rPr>
              <w:t xml:space="preserve">Volkan </w:t>
            </w:r>
            <w:proofErr w:type="spellStart"/>
            <w:r w:rsidRPr="00042081">
              <w:rPr>
                <w:sz w:val="18"/>
              </w:rPr>
              <w:t>Aktas</w:t>
            </w:r>
            <w:proofErr w:type="spellEnd"/>
            <w:r w:rsidR="00FA0631" w:rsidRPr="00042081">
              <w:rPr>
                <w:sz w:val="18"/>
              </w:rPr>
              <w:t xml:space="preserve"> </w:t>
            </w:r>
          </w:p>
        </w:tc>
      </w:tr>
    </w:tbl>
    <w:p w14:paraId="3CC8034D" w14:textId="77777777" w:rsidR="00BF1E6C" w:rsidRDefault="00BF1E6C">
      <w:pPr>
        <w:pStyle w:val="BodyText"/>
        <w:rPr>
          <w:b/>
        </w:rPr>
      </w:pPr>
    </w:p>
    <w:p w14:paraId="60337B2F" w14:textId="77777777" w:rsidR="00BF1E6C" w:rsidRDefault="00BF1E6C">
      <w:pPr>
        <w:pStyle w:val="BodyText"/>
        <w:rPr>
          <w:b/>
        </w:rPr>
      </w:pPr>
    </w:p>
    <w:p w14:paraId="387B9BA4" w14:textId="77777777" w:rsidR="00BF1E6C" w:rsidRDefault="00B51D34">
      <w:pPr>
        <w:pStyle w:val="ListParagraph"/>
        <w:numPr>
          <w:ilvl w:val="0"/>
          <w:numId w:val="1"/>
        </w:numPr>
        <w:tabs>
          <w:tab w:val="left" w:pos="459"/>
        </w:tabs>
        <w:ind w:left="459" w:hanging="359"/>
        <w:rPr>
          <w:b/>
          <w:sz w:val="18"/>
        </w:rPr>
      </w:pPr>
      <w:r>
        <w:rPr>
          <w:b/>
          <w:sz w:val="18"/>
          <w:u w:val="single"/>
        </w:rPr>
        <w:t>Authorized</w:t>
      </w:r>
      <w:r>
        <w:rPr>
          <w:b/>
          <w:spacing w:val="-3"/>
          <w:sz w:val="18"/>
          <w:u w:val="single"/>
        </w:rPr>
        <w:t xml:space="preserve"> </w:t>
      </w:r>
      <w:r>
        <w:rPr>
          <w:b/>
          <w:sz w:val="18"/>
          <w:u w:val="single"/>
        </w:rPr>
        <w:t>Morgan</w:t>
      </w:r>
      <w:r>
        <w:rPr>
          <w:b/>
          <w:spacing w:val="-3"/>
          <w:sz w:val="18"/>
          <w:u w:val="single"/>
        </w:rPr>
        <w:t xml:space="preserve"> </w:t>
      </w:r>
      <w:r>
        <w:rPr>
          <w:b/>
          <w:sz w:val="18"/>
          <w:u w:val="single"/>
        </w:rPr>
        <w:t>Stanley</w:t>
      </w:r>
      <w:r>
        <w:rPr>
          <w:b/>
          <w:spacing w:val="-3"/>
          <w:sz w:val="18"/>
          <w:u w:val="single"/>
        </w:rPr>
        <w:t xml:space="preserve"> </w:t>
      </w:r>
      <w:r>
        <w:rPr>
          <w:b/>
          <w:spacing w:val="-2"/>
          <w:sz w:val="18"/>
          <w:u w:val="single"/>
        </w:rPr>
        <w:t>Employees</w:t>
      </w:r>
    </w:p>
    <w:p w14:paraId="790EB2AC" w14:textId="77777777" w:rsidR="00BF1E6C" w:rsidRDefault="00B51D34">
      <w:pPr>
        <w:pStyle w:val="BodyText"/>
        <w:spacing w:before="149"/>
        <w:ind w:left="100"/>
      </w:pPr>
      <w:r>
        <w:t>The</w:t>
      </w:r>
      <w:r>
        <w:rPr>
          <w:spacing w:val="-11"/>
        </w:rPr>
        <w:t xml:space="preserve"> </w:t>
      </w:r>
      <w:r>
        <w:t>above</w:t>
      </w:r>
      <w:r>
        <w:rPr>
          <w:spacing w:val="-8"/>
        </w:rPr>
        <w:t xml:space="preserve"> </w:t>
      </w:r>
      <w:r>
        <w:t>personnel</w:t>
      </w:r>
      <w:r>
        <w:rPr>
          <w:spacing w:val="-9"/>
        </w:rPr>
        <w:t xml:space="preserve"> </w:t>
      </w:r>
      <w:r>
        <w:t>will</w:t>
      </w:r>
      <w:r>
        <w:rPr>
          <w:spacing w:val="-8"/>
        </w:rPr>
        <w:t xml:space="preserve"> </w:t>
      </w:r>
      <w:r>
        <w:t>accept</w:t>
      </w:r>
      <w:r>
        <w:rPr>
          <w:spacing w:val="-8"/>
        </w:rPr>
        <w:t xml:space="preserve"> </w:t>
      </w:r>
      <w:r>
        <w:t>direction</w:t>
      </w:r>
      <w:r>
        <w:rPr>
          <w:spacing w:val="-9"/>
        </w:rPr>
        <w:t xml:space="preserve"> </w:t>
      </w:r>
      <w:r>
        <w:t>only</w:t>
      </w:r>
      <w:r>
        <w:rPr>
          <w:spacing w:val="-8"/>
        </w:rPr>
        <w:t xml:space="preserve"> </w:t>
      </w:r>
      <w:r>
        <w:t>from</w:t>
      </w:r>
      <w:r>
        <w:rPr>
          <w:spacing w:val="-8"/>
        </w:rPr>
        <w:t xml:space="preserve"> </w:t>
      </w:r>
      <w:r>
        <w:t>the</w:t>
      </w:r>
      <w:r>
        <w:rPr>
          <w:spacing w:val="-9"/>
        </w:rPr>
        <w:t xml:space="preserve"> </w:t>
      </w:r>
      <w:r>
        <w:t>following</w:t>
      </w:r>
      <w:r>
        <w:rPr>
          <w:spacing w:val="-7"/>
        </w:rPr>
        <w:t xml:space="preserve"> </w:t>
      </w:r>
      <w:r>
        <w:rPr>
          <w:b/>
        </w:rPr>
        <w:t>Morgan</w:t>
      </w:r>
      <w:r>
        <w:rPr>
          <w:b/>
          <w:spacing w:val="-7"/>
        </w:rPr>
        <w:t xml:space="preserve"> </w:t>
      </w:r>
      <w:r>
        <w:rPr>
          <w:b/>
        </w:rPr>
        <w:t>Stanley</w:t>
      </w:r>
      <w:r>
        <w:rPr>
          <w:b/>
          <w:spacing w:val="-9"/>
        </w:rPr>
        <w:t xml:space="preserve"> </w:t>
      </w:r>
      <w:r>
        <w:t>employees</w:t>
      </w:r>
      <w:r>
        <w:rPr>
          <w:spacing w:val="-8"/>
        </w:rPr>
        <w:t xml:space="preserve"> </w:t>
      </w:r>
      <w:r>
        <w:t>or</w:t>
      </w:r>
      <w:r>
        <w:rPr>
          <w:spacing w:val="-8"/>
        </w:rPr>
        <w:t xml:space="preserve"> </w:t>
      </w:r>
      <w:r>
        <w:t>officers,</w:t>
      </w:r>
      <w:r>
        <w:rPr>
          <w:spacing w:val="-8"/>
        </w:rPr>
        <w:t xml:space="preserve"> </w:t>
      </w:r>
      <w:r>
        <w:t>or</w:t>
      </w:r>
      <w:r>
        <w:rPr>
          <w:spacing w:val="-8"/>
        </w:rPr>
        <w:t xml:space="preserve"> </w:t>
      </w:r>
      <w:r>
        <w:t>such</w:t>
      </w:r>
      <w:r>
        <w:rPr>
          <w:spacing w:val="-8"/>
        </w:rPr>
        <w:t xml:space="preserve"> </w:t>
      </w:r>
      <w:r>
        <w:rPr>
          <w:spacing w:val="-2"/>
        </w:rPr>
        <w:t>other</w:t>
      </w:r>
    </w:p>
    <w:p w14:paraId="505DD13C" w14:textId="04125D19" w:rsidR="00BF1E6C" w:rsidRPr="007D5CBD" w:rsidRDefault="00B51D34" w:rsidP="007D5CBD">
      <w:pPr>
        <w:spacing w:before="2" w:line="379" w:lineRule="auto"/>
        <w:ind w:left="820" w:right="5816" w:hanging="721"/>
        <w:rPr>
          <w:sz w:val="18"/>
        </w:rPr>
      </w:pPr>
      <w:r>
        <w:rPr>
          <w:b/>
          <w:sz w:val="18"/>
        </w:rPr>
        <w:t>Morgan</w:t>
      </w:r>
      <w:r>
        <w:rPr>
          <w:b/>
          <w:spacing w:val="-8"/>
          <w:sz w:val="18"/>
        </w:rPr>
        <w:t xml:space="preserve"> </w:t>
      </w:r>
      <w:r>
        <w:rPr>
          <w:b/>
          <w:sz w:val="18"/>
        </w:rPr>
        <w:t>Stanley</w:t>
      </w:r>
      <w:r>
        <w:rPr>
          <w:b/>
          <w:spacing w:val="-9"/>
          <w:sz w:val="18"/>
        </w:rPr>
        <w:t xml:space="preserve"> </w:t>
      </w:r>
      <w:r>
        <w:rPr>
          <w:sz w:val="18"/>
        </w:rPr>
        <w:t>personnel,</w:t>
      </w:r>
      <w:r>
        <w:rPr>
          <w:spacing w:val="-7"/>
          <w:sz w:val="18"/>
        </w:rPr>
        <w:t xml:space="preserve"> </w:t>
      </w:r>
      <w:r>
        <w:rPr>
          <w:sz w:val="18"/>
        </w:rPr>
        <w:t>as</w:t>
      </w:r>
      <w:r>
        <w:rPr>
          <w:spacing w:val="-8"/>
          <w:sz w:val="18"/>
        </w:rPr>
        <w:t xml:space="preserve"> </w:t>
      </w:r>
      <w:r>
        <w:rPr>
          <w:sz w:val="18"/>
        </w:rPr>
        <w:t>they</w:t>
      </w:r>
      <w:r>
        <w:rPr>
          <w:spacing w:val="-8"/>
          <w:sz w:val="18"/>
        </w:rPr>
        <w:t xml:space="preserve"> </w:t>
      </w:r>
      <w:r>
        <w:rPr>
          <w:sz w:val="18"/>
        </w:rPr>
        <w:t xml:space="preserve">designate: </w:t>
      </w:r>
      <w:r w:rsidR="007D5CBD" w:rsidRPr="00042081">
        <w:rPr>
          <w:sz w:val="18"/>
        </w:rPr>
        <w:t xml:space="preserve">Derek </w:t>
      </w:r>
      <w:proofErr w:type="spellStart"/>
      <w:r w:rsidR="007D5CBD" w:rsidRPr="00042081">
        <w:rPr>
          <w:sz w:val="18"/>
        </w:rPr>
        <w:t>Kilfedder</w:t>
      </w:r>
      <w:proofErr w:type="spellEnd"/>
    </w:p>
    <w:p w14:paraId="3A30BDF8" w14:textId="77777777" w:rsidR="00BF1E6C" w:rsidRDefault="00B51D34">
      <w:pPr>
        <w:pStyle w:val="Heading1"/>
        <w:numPr>
          <w:ilvl w:val="0"/>
          <w:numId w:val="1"/>
        </w:numPr>
        <w:tabs>
          <w:tab w:val="left" w:pos="459"/>
        </w:tabs>
        <w:ind w:left="459" w:hanging="359"/>
      </w:pPr>
      <w:r>
        <w:rPr>
          <w:u w:val="single"/>
        </w:rPr>
        <w:t>Status</w:t>
      </w:r>
      <w:r>
        <w:rPr>
          <w:spacing w:val="-5"/>
          <w:u w:val="single"/>
        </w:rPr>
        <w:t xml:space="preserve"> </w:t>
      </w:r>
      <w:r>
        <w:rPr>
          <w:spacing w:val="-2"/>
          <w:u w:val="single"/>
        </w:rPr>
        <w:t>Reports</w:t>
      </w:r>
    </w:p>
    <w:p w14:paraId="7AF49E65" w14:textId="77777777" w:rsidR="00BF1E6C" w:rsidRDefault="00B51D34">
      <w:pPr>
        <w:pStyle w:val="BodyText"/>
        <w:spacing w:before="151"/>
        <w:ind w:left="100"/>
      </w:pPr>
      <w:r>
        <w:rPr>
          <w:spacing w:val="-2"/>
        </w:rPr>
        <w:t>Bi-weekly</w:t>
      </w:r>
    </w:p>
    <w:p w14:paraId="156D7797" w14:textId="77777777" w:rsidR="00BF1E6C" w:rsidRDefault="00BF1E6C">
      <w:pPr>
        <w:pStyle w:val="BodyText"/>
        <w:spacing w:before="165"/>
      </w:pPr>
    </w:p>
    <w:p w14:paraId="239188BD" w14:textId="77777777" w:rsidR="00BF1E6C" w:rsidRDefault="00B51D34">
      <w:pPr>
        <w:pStyle w:val="Heading1"/>
        <w:numPr>
          <w:ilvl w:val="0"/>
          <w:numId w:val="1"/>
        </w:numPr>
        <w:tabs>
          <w:tab w:val="left" w:pos="459"/>
        </w:tabs>
        <w:spacing w:before="1"/>
        <w:ind w:left="459" w:hanging="359"/>
      </w:pPr>
      <w:r>
        <w:rPr>
          <w:u w:val="single"/>
        </w:rPr>
        <w:t>Insurance</w:t>
      </w:r>
      <w:r>
        <w:rPr>
          <w:spacing w:val="-7"/>
          <w:u w:val="single"/>
        </w:rPr>
        <w:t xml:space="preserve"> </w:t>
      </w:r>
      <w:r>
        <w:rPr>
          <w:spacing w:val="-2"/>
          <w:u w:val="single"/>
        </w:rPr>
        <w:t>Certifications</w:t>
      </w:r>
    </w:p>
    <w:p w14:paraId="21378CEF" w14:textId="77777777" w:rsidR="00BF1E6C" w:rsidRDefault="00B51D34">
      <w:pPr>
        <w:pStyle w:val="BodyText"/>
        <w:spacing w:before="150"/>
        <w:ind w:left="100" w:right="202"/>
        <w:jc w:val="both"/>
      </w:pPr>
      <w:r>
        <w:t>Insurance certificates required under Section 13.2 of the Agreement are to be delivered to Morgan Stanley at the address</w:t>
      </w:r>
      <w:r>
        <w:rPr>
          <w:spacing w:val="-1"/>
        </w:rPr>
        <w:t xml:space="preserve"> </w:t>
      </w:r>
      <w:r>
        <w:t>set</w:t>
      </w:r>
      <w:r>
        <w:rPr>
          <w:spacing w:val="-1"/>
        </w:rPr>
        <w:t xml:space="preserve"> </w:t>
      </w:r>
      <w:r>
        <w:t>forth</w:t>
      </w:r>
      <w:r>
        <w:rPr>
          <w:spacing w:val="-1"/>
        </w:rPr>
        <w:t xml:space="preserve"> </w:t>
      </w:r>
      <w:r>
        <w:t>below</w:t>
      </w:r>
      <w:r>
        <w:rPr>
          <w:spacing w:val="-1"/>
        </w:rPr>
        <w:t xml:space="preserve"> </w:t>
      </w:r>
      <w:r>
        <w:t>prior</w:t>
      </w:r>
      <w:r>
        <w:rPr>
          <w:spacing w:val="-1"/>
        </w:rPr>
        <w:t xml:space="preserve"> </w:t>
      </w:r>
      <w:r>
        <w:t>to</w:t>
      </w:r>
      <w:r>
        <w:rPr>
          <w:spacing w:val="-1"/>
        </w:rPr>
        <w:t xml:space="preserve"> </w:t>
      </w:r>
      <w:r>
        <w:t>commencing</w:t>
      </w:r>
      <w:r>
        <w:rPr>
          <w:spacing w:val="-2"/>
        </w:rPr>
        <w:t xml:space="preserve"> </w:t>
      </w:r>
      <w:r>
        <w:t>any</w:t>
      </w:r>
      <w:r>
        <w:rPr>
          <w:spacing w:val="-1"/>
        </w:rPr>
        <w:t xml:space="preserve"> </w:t>
      </w:r>
      <w:r>
        <w:t>Services</w:t>
      </w:r>
      <w:r>
        <w:rPr>
          <w:spacing w:val="-1"/>
        </w:rPr>
        <w:t xml:space="preserve"> </w:t>
      </w:r>
      <w:r>
        <w:t>hereunder,</w:t>
      </w:r>
      <w:r>
        <w:rPr>
          <w:spacing w:val="-1"/>
        </w:rPr>
        <w:t xml:space="preserve"> </w:t>
      </w:r>
      <w:r>
        <w:t>and</w:t>
      </w:r>
      <w:r>
        <w:rPr>
          <w:spacing w:val="-1"/>
        </w:rPr>
        <w:t xml:space="preserve"> </w:t>
      </w:r>
      <w:r>
        <w:t>annually</w:t>
      </w:r>
      <w:r>
        <w:rPr>
          <w:spacing w:val="-1"/>
        </w:rPr>
        <w:t xml:space="preserve"> </w:t>
      </w:r>
      <w:r>
        <w:t>thereafter,</w:t>
      </w:r>
      <w:r>
        <w:rPr>
          <w:spacing w:val="-1"/>
        </w:rPr>
        <w:t xml:space="preserve"> </w:t>
      </w:r>
      <w:r>
        <w:t>and</w:t>
      </w:r>
      <w:r>
        <w:rPr>
          <w:spacing w:val="-1"/>
        </w:rPr>
        <w:t xml:space="preserve"> </w:t>
      </w:r>
      <w:r>
        <w:t>at</w:t>
      </w:r>
      <w:r>
        <w:rPr>
          <w:spacing w:val="-1"/>
        </w:rPr>
        <w:t xml:space="preserve"> </w:t>
      </w:r>
      <w:r>
        <w:t>least</w:t>
      </w:r>
      <w:r>
        <w:rPr>
          <w:spacing w:val="-1"/>
        </w:rPr>
        <w:t xml:space="preserve"> </w:t>
      </w:r>
      <w:r>
        <w:t>thirty</w:t>
      </w:r>
      <w:r>
        <w:rPr>
          <w:spacing w:val="40"/>
        </w:rPr>
        <w:t xml:space="preserve"> </w:t>
      </w:r>
      <w:r>
        <w:t xml:space="preserve">(30) days prior to any expiration of each insurance policy: </w:t>
      </w:r>
      <w:hyperlink r:id="rId8">
        <w:r>
          <w:rPr>
            <w:color w:val="0000FF"/>
            <w:u w:val="single" w:color="0000FF"/>
          </w:rPr>
          <w:t>cmsadmins@morganstanley.com</w:t>
        </w:r>
      </w:hyperlink>
    </w:p>
    <w:p w14:paraId="6B26713B" w14:textId="77777777" w:rsidR="00BF1E6C" w:rsidRDefault="00BF1E6C">
      <w:pPr>
        <w:jc w:val="both"/>
        <w:sectPr w:rsidR="00BF1E6C">
          <w:footerReference w:type="default" r:id="rId9"/>
          <w:pgSz w:w="12240" w:h="15840"/>
          <w:pgMar w:top="1360" w:right="1240" w:bottom="1200" w:left="1340" w:header="0" w:footer="1016" w:gutter="0"/>
          <w:cols w:space="720"/>
        </w:sectPr>
      </w:pPr>
    </w:p>
    <w:p w14:paraId="3CD2DE6B" w14:textId="77777777" w:rsidR="00BF1E6C" w:rsidRDefault="00B51D34">
      <w:pPr>
        <w:pStyle w:val="Heading1"/>
        <w:numPr>
          <w:ilvl w:val="0"/>
          <w:numId w:val="1"/>
        </w:numPr>
        <w:tabs>
          <w:tab w:val="left" w:pos="459"/>
        </w:tabs>
        <w:spacing w:before="80"/>
        <w:ind w:left="459" w:hanging="359"/>
      </w:pPr>
      <w:r>
        <w:rPr>
          <w:spacing w:val="-2"/>
          <w:u w:val="single"/>
        </w:rPr>
        <w:t>Notices</w:t>
      </w:r>
    </w:p>
    <w:p w14:paraId="00AB7DA0" w14:textId="77777777" w:rsidR="00BF1E6C" w:rsidRDefault="00BF1E6C">
      <w:pPr>
        <w:pStyle w:val="BodyText"/>
        <w:spacing w:after="1"/>
        <w:rPr>
          <w:b/>
          <w:sz w:val="13"/>
        </w:rPr>
      </w:pPr>
    </w:p>
    <w:tbl>
      <w:tblPr>
        <w:tblW w:w="0" w:type="auto"/>
        <w:tblInd w:w="557" w:type="dxa"/>
        <w:tblLayout w:type="fixed"/>
        <w:tblCellMar>
          <w:left w:w="0" w:type="dxa"/>
          <w:right w:w="0" w:type="dxa"/>
        </w:tblCellMar>
        <w:tblLook w:val="01E0" w:firstRow="1" w:lastRow="1" w:firstColumn="1" w:lastColumn="1" w:noHBand="0" w:noVBand="0"/>
      </w:tblPr>
      <w:tblGrid>
        <w:gridCol w:w="4200"/>
        <w:gridCol w:w="3643"/>
      </w:tblGrid>
      <w:tr w:rsidR="00BF1E6C" w14:paraId="2A38C49C" w14:textId="77777777" w:rsidTr="00A8427E">
        <w:trPr>
          <w:trHeight w:val="351"/>
        </w:trPr>
        <w:tc>
          <w:tcPr>
            <w:tcW w:w="4200" w:type="dxa"/>
          </w:tcPr>
          <w:p w14:paraId="4DFF12EE" w14:textId="77777777" w:rsidR="00BF1E6C" w:rsidRPr="0051232C" w:rsidRDefault="00B51D34">
            <w:pPr>
              <w:pStyle w:val="TableParagraph"/>
              <w:ind w:left="50"/>
              <w:rPr>
                <w:rFonts w:ascii="Arial Narrow"/>
                <w:i/>
                <w:sz w:val="20"/>
              </w:rPr>
            </w:pPr>
            <w:r w:rsidRPr="0051232C">
              <w:rPr>
                <w:rFonts w:ascii="Arial Narrow"/>
                <w:i/>
                <w:sz w:val="20"/>
              </w:rPr>
              <w:t>If</w:t>
            </w:r>
            <w:r w:rsidRPr="0051232C">
              <w:rPr>
                <w:rFonts w:ascii="Arial Narrow"/>
                <w:i/>
                <w:spacing w:val="-4"/>
                <w:sz w:val="20"/>
              </w:rPr>
              <w:t xml:space="preserve"> </w:t>
            </w:r>
            <w:r w:rsidRPr="0051232C">
              <w:rPr>
                <w:rFonts w:ascii="Arial Narrow"/>
                <w:i/>
                <w:sz w:val="20"/>
              </w:rPr>
              <w:t>to</w:t>
            </w:r>
            <w:r w:rsidRPr="0051232C">
              <w:rPr>
                <w:rFonts w:ascii="Arial Narrow"/>
                <w:i/>
                <w:spacing w:val="-3"/>
                <w:sz w:val="20"/>
              </w:rPr>
              <w:t xml:space="preserve"> </w:t>
            </w:r>
            <w:r w:rsidRPr="0051232C">
              <w:rPr>
                <w:rFonts w:ascii="Arial Narrow"/>
                <w:i/>
                <w:sz w:val="20"/>
              </w:rPr>
              <w:t>Morgan</w:t>
            </w:r>
            <w:r w:rsidRPr="0051232C">
              <w:rPr>
                <w:rFonts w:ascii="Arial Narrow"/>
                <w:i/>
                <w:spacing w:val="-3"/>
                <w:sz w:val="20"/>
              </w:rPr>
              <w:t xml:space="preserve"> </w:t>
            </w:r>
            <w:r w:rsidRPr="0051232C">
              <w:rPr>
                <w:rFonts w:ascii="Arial Narrow"/>
                <w:i/>
                <w:spacing w:val="-2"/>
                <w:sz w:val="20"/>
              </w:rPr>
              <w:t>Stanley:</w:t>
            </w:r>
          </w:p>
        </w:tc>
        <w:tc>
          <w:tcPr>
            <w:tcW w:w="3643" w:type="dxa"/>
          </w:tcPr>
          <w:p w14:paraId="4D8609F4" w14:textId="77777777" w:rsidR="00BF1E6C" w:rsidRDefault="00B51D34">
            <w:pPr>
              <w:pStyle w:val="TableParagraph"/>
              <w:ind w:left="851"/>
              <w:rPr>
                <w:rFonts w:ascii="Arial Narrow"/>
                <w:i/>
                <w:sz w:val="20"/>
              </w:rPr>
            </w:pPr>
            <w:r>
              <w:rPr>
                <w:rFonts w:ascii="Arial Narrow"/>
                <w:i/>
                <w:sz w:val="20"/>
              </w:rPr>
              <w:t>If</w:t>
            </w:r>
            <w:r>
              <w:rPr>
                <w:rFonts w:ascii="Arial Narrow"/>
                <w:i/>
                <w:spacing w:val="-1"/>
                <w:sz w:val="20"/>
              </w:rPr>
              <w:t xml:space="preserve"> </w:t>
            </w:r>
            <w:r>
              <w:rPr>
                <w:rFonts w:ascii="Arial Narrow"/>
                <w:i/>
                <w:sz w:val="20"/>
              </w:rPr>
              <w:t>to</w:t>
            </w:r>
            <w:r>
              <w:rPr>
                <w:rFonts w:ascii="Arial Narrow"/>
                <w:i/>
                <w:spacing w:val="-1"/>
                <w:sz w:val="20"/>
              </w:rPr>
              <w:t xml:space="preserve"> </w:t>
            </w:r>
            <w:r>
              <w:rPr>
                <w:rFonts w:ascii="Arial Narrow"/>
                <w:i/>
                <w:spacing w:val="-2"/>
                <w:sz w:val="20"/>
              </w:rPr>
              <w:t>Consultant:</w:t>
            </w:r>
          </w:p>
        </w:tc>
      </w:tr>
      <w:tr w:rsidR="00BF1E6C" w14:paraId="1DB5A6B0" w14:textId="77777777" w:rsidTr="00A8427E">
        <w:trPr>
          <w:trHeight w:val="226"/>
        </w:trPr>
        <w:tc>
          <w:tcPr>
            <w:tcW w:w="4200" w:type="dxa"/>
          </w:tcPr>
          <w:p w14:paraId="69434D2C" w14:textId="77777777" w:rsidR="00BF1E6C" w:rsidRPr="0051232C" w:rsidRDefault="00B51D34">
            <w:pPr>
              <w:pStyle w:val="TableParagraph"/>
              <w:ind w:left="50"/>
              <w:rPr>
                <w:sz w:val="18"/>
                <w:szCs w:val="18"/>
              </w:rPr>
            </w:pPr>
            <w:r w:rsidRPr="0051232C">
              <w:rPr>
                <w:sz w:val="18"/>
                <w:szCs w:val="18"/>
              </w:rPr>
              <w:t>Morgan</w:t>
            </w:r>
            <w:r w:rsidRPr="0051232C">
              <w:rPr>
                <w:spacing w:val="-4"/>
                <w:sz w:val="18"/>
                <w:szCs w:val="18"/>
              </w:rPr>
              <w:t xml:space="preserve"> </w:t>
            </w:r>
            <w:r w:rsidRPr="0051232C">
              <w:rPr>
                <w:spacing w:val="-2"/>
                <w:sz w:val="18"/>
                <w:szCs w:val="18"/>
              </w:rPr>
              <w:t>Stanley</w:t>
            </w:r>
          </w:p>
        </w:tc>
        <w:tc>
          <w:tcPr>
            <w:tcW w:w="3643" w:type="dxa"/>
          </w:tcPr>
          <w:p w14:paraId="55F47191" w14:textId="42841E30" w:rsidR="00BF1E6C" w:rsidRPr="00E40E36" w:rsidRDefault="00B51D34">
            <w:pPr>
              <w:pStyle w:val="TableParagraph"/>
              <w:spacing w:line="209" w:lineRule="exact"/>
              <w:ind w:left="851"/>
              <w:rPr>
                <w:rFonts w:ascii="Arial Narrow"/>
                <w:sz w:val="20"/>
              </w:rPr>
            </w:pPr>
            <w:r w:rsidRPr="00E40E36">
              <w:rPr>
                <w:rFonts w:ascii="Arial Narrow"/>
                <w:sz w:val="20"/>
              </w:rPr>
              <w:t>Riskcare</w:t>
            </w:r>
            <w:r w:rsidR="002A540E">
              <w:rPr>
                <w:rFonts w:ascii="Arial Narrow"/>
                <w:sz w:val="20"/>
              </w:rPr>
              <w:t>, Inc.</w:t>
            </w:r>
            <w:r w:rsidRPr="00E40E36">
              <w:rPr>
                <w:rFonts w:ascii="Arial Narrow"/>
                <w:spacing w:val="-2"/>
                <w:sz w:val="20"/>
              </w:rPr>
              <w:t xml:space="preserve"> </w:t>
            </w:r>
          </w:p>
        </w:tc>
      </w:tr>
      <w:tr w:rsidR="00BF1E6C" w14:paraId="0446212C" w14:textId="77777777" w:rsidTr="00A8427E">
        <w:trPr>
          <w:trHeight w:val="226"/>
        </w:trPr>
        <w:tc>
          <w:tcPr>
            <w:tcW w:w="4200" w:type="dxa"/>
          </w:tcPr>
          <w:p w14:paraId="5CC86DB3" w14:textId="3665A766" w:rsidR="00BF1E6C" w:rsidRPr="0051232C" w:rsidRDefault="007E415D">
            <w:pPr>
              <w:pStyle w:val="TableParagraph"/>
              <w:spacing w:line="206" w:lineRule="exact"/>
              <w:ind w:left="50"/>
              <w:rPr>
                <w:sz w:val="18"/>
                <w:szCs w:val="18"/>
              </w:rPr>
            </w:pPr>
            <w:r w:rsidRPr="0051232C">
              <w:rPr>
                <w:sz w:val="18"/>
                <w:szCs w:val="18"/>
              </w:rPr>
              <w:t>1221 Ave</w:t>
            </w:r>
            <w:r w:rsidR="009A7F24" w:rsidRPr="0051232C">
              <w:rPr>
                <w:sz w:val="18"/>
                <w:szCs w:val="18"/>
              </w:rPr>
              <w:t>nue of the Americas, 35</w:t>
            </w:r>
            <w:r w:rsidR="009A7F24" w:rsidRPr="0051232C">
              <w:rPr>
                <w:sz w:val="18"/>
                <w:szCs w:val="18"/>
                <w:vertAlign w:val="superscript"/>
              </w:rPr>
              <w:t>th</w:t>
            </w:r>
            <w:r w:rsidR="009A7F24" w:rsidRPr="0051232C">
              <w:rPr>
                <w:sz w:val="18"/>
                <w:szCs w:val="18"/>
              </w:rPr>
              <w:t xml:space="preserve"> Floor</w:t>
            </w:r>
          </w:p>
        </w:tc>
        <w:tc>
          <w:tcPr>
            <w:tcW w:w="3643" w:type="dxa"/>
          </w:tcPr>
          <w:p w14:paraId="10255BF9" w14:textId="124C9949" w:rsidR="00BF1E6C" w:rsidRPr="00E40E36" w:rsidRDefault="00B6634A">
            <w:pPr>
              <w:pStyle w:val="TableParagraph"/>
              <w:spacing w:line="209" w:lineRule="exact"/>
              <w:ind w:left="851"/>
              <w:rPr>
                <w:rFonts w:ascii="Arial Narrow"/>
                <w:sz w:val="20"/>
                <w:highlight w:val="yellow"/>
              </w:rPr>
            </w:pPr>
            <w:r w:rsidRPr="00E40E36">
              <w:rPr>
                <w:rFonts w:ascii="Arial Narrow"/>
                <w:sz w:val="20"/>
              </w:rPr>
              <w:t>122 E. 42</w:t>
            </w:r>
            <w:r w:rsidRPr="00E40E36">
              <w:rPr>
                <w:rFonts w:ascii="Arial Narrow"/>
                <w:sz w:val="20"/>
                <w:vertAlign w:val="superscript"/>
              </w:rPr>
              <w:t>nd</w:t>
            </w:r>
            <w:r w:rsidRPr="00E40E36">
              <w:rPr>
                <w:rFonts w:ascii="Arial Narrow"/>
                <w:sz w:val="20"/>
              </w:rPr>
              <w:t xml:space="preserve"> Street Suite 4705</w:t>
            </w:r>
          </w:p>
        </w:tc>
      </w:tr>
      <w:tr w:rsidR="00BF1E6C" w14:paraId="6BF6D8CB" w14:textId="77777777" w:rsidTr="00A8427E">
        <w:trPr>
          <w:trHeight w:val="226"/>
        </w:trPr>
        <w:tc>
          <w:tcPr>
            <w:tcW w:w="4200" w:type="dxa"/>
          </w:tcPr>
          <w:p w14:paraId="117353ED" w14:textId="2A16CB75" w:rsidR="00BF1E6C" w:rsidRPr="0051232C" w:rsidRDefault="009A7F24">
            <w:pPr>
              <w:pStyle w:val="TableParagraph"/>
              <w:spacing w:line="206" w:lineRule="exact"/>
              <w:ind w:left="50"/>
              <w:rPr>
                <w:sz w:val="18"/>
                <w:szCs w:val="18"/>
              </w:rPr>
            </w:pPr>
            <w:r w:rsidRPr="0051232C">
              <w:rPr>
                <w:sz w:val="18"/>
                <w:szCs w:val="18"/>
              </w:rPr>
              <w:t>New York, NY 10020</w:t>
            </w:r>
          </w:p>
        </w:tc>
        <w:tc>
          <w:tcPr>
            <w:tcW w:w="3643" w:type="dxa"/>
          </w:tcPr>
          <w:p w14:paraId="106774C1" w14:textId="3BB877AA" w:rsidR="00BF1E6C" w:rsidRPr="00E40E36" w:rsidRDefault="00577353">
            <w:pPr>
              <w:pStyle w:val="TableParagraph"/>
              <w:spacing w:line="209" w:lineRule="exact"/>
              <w:ind w:left="851"/>
              <w:rPr>
                <w:rFonts w:ascii="Arial Narrow"/>
                <w:sz w:val="20"/>
                <w:highlight w:val="yellow"/>
              </w:rPr>
            </w:pPr>
            <w:r w:rsidRPr="00E40E36">
              <w:rPr>
                <w:rFonts w:ascii="Arial Narrow"/>
                <w:sz w:val="20"/>
              </w:rPr>
              <w:t>N</w:t>
            </w:r>
            <w:r w:rsidR="002108BB" w:rsidRPr="00E40E36">
              <w:rPr>
                <w:rFonts w:ascii="Arial Narrow"/>
                <w:sz w:val="20"/>
              </w:rPr>
              <w:t>ew York</w:t>
            </w:r>
            <w:r w:rsidR="00B51D34" w:rsidRPr="00E40E36">
              <w:rPr>
                <w:rFonts w:ascii="Arial Narrow"/>
                <w:sz w:val="20"/>
              </w:rPr>
              <w:t>,</w:t>
            </w:r>
            <w:r w:rsidR="005D6313" w:rsidRPr="00E40E36">
              <w:t xml:space="preserve"> </w:t>
            </w:r>
            <w:r w:rsidR="005D6313" w:rsidRPr="00E40E36">
              <w:rPr>
                <w:rFonts w:ascii="Arial Narrow"/>
                <w:sz w:val="20"/>
              </w:rPr>
              <w:t>NY 101</w:t>
            </w:r>
            <w:r w:rsidR="00B6634A" w:rsidRPr="00E40E36">
              <w:rPr>
                <w:rFonts w:ascii="Arial Narrow"/>
                <w:sz w:val="20"/>
              </w:rPr>
              <w:t>68</w:t>
            </w:r>
            <w:r w:rsidR="005D6313" w:rsidRPr="00E40E36">
              <w:rPr>
                <w:rFonts w:ascii="Arial Narrow"/>
                <w:sz w:val="20"/>
              </w:rPr>
              <w:t>, USA</w:t>
            </w:r>
            <w:r w:rsidR="00B51D34" w:rsidRPr="00E40E36">
              <w:rPr>
                <w:rFonts w:ascii="Arial Narrow"/>
                <w:spacing w:val="-4"/>
                <w:sz w:val="20"/>
              </w:rPr>
              <w:t xml:space="preserve"> </w:t>
            </w:r>
          </w:p>
        </w:tc>
      </w:tr>
      <w:tr w:rsidR="00BF1E6C" w14:paraId="29A18EE1" w14:textId="77777777" w:rsidTr="00A8427E">
        <w:trPr>
          <w:trHeight w:val="226"/>
        </w:trPr>
        <w:tc>
          <w:tcPr>
            <w:tcW w:w="4200" w:type="dxa"/>
          </w:tcPr>
          <w:p w14:paraId="77E7C4ED" w14:textId="6300D585" w:rsidR="00BF1E6C" w:rsidRPr="0051232C" w:rsidRDefault="009A7F24">
            <w:pPr>
              <w:pStyle w:val="TableParagraph"/>
              <w:spacing w:line="206" w:lineRule="exact"/>
              <w:ind w:left="50"/>
              <w:rPr>
                <w:color w:val="FF0000"/>
                <w:sz w:val="18"/>
                <w:szCs w:val="18"/>
              </w:rPr>
            </w:pPr>
            <w:r w:rsidRPr="0051232C">
              <w:rPr>
                <w:color w:val="FF0000"/>
                <w:sz w:val="18"/>
                <w:szCs w:val="18"/>
              </w:rPr>
              <w:t xml:space="preserve">Attn: </w:t>
            </w:r>
            <w:r w:rsidR="008251A0" w:rsidRPr="0051232C">
              <w:rPr>
                <w:color w:val="FF0000"/>
                <w:sz w:val="18"/>
                <w:szCs w:val="18"/>
              </w:rPr>
              <w:t>Technology Law Group</w:t>
            </w:r>
          </w:p>
        </w:tc>
        <w:tc>
          <w:tcPr>
            <w:tcW w:w="3643" w:type="dxa"/>
          </w:tcPr>
          <w:p w14:paraId="117AA891" w14:textId="745D0508" w:rsidR="00BF1E6C" w:rsidRPr="00E40E36" w:rsidRDefault="005D6313">
            <w:pPr>
              <w:pStyle w:val="TableParagraph"/>
              <w:spacing w:line="210" w:lineRule="exact"/>
              <w:ind w:left="851"/>
              <w:rPr>
                <w:rFonts w:ascii="Arial Narrow"/>
                <w:sz w:val="20"/>
              </w:rPr>
            </w:pPr>
            <w:r w:rsidRPr="00E40E36">
              <w:rPr>
                <w:rFonts w:ascii="Arial Narrow"/>
                <w:sz w:val="20"/>
              </w:rPr>
              <w:t>+1 646 625 5422</w:t>
            </w:r>
          </w:p>
        </w:tc>
      </w:tr>
      <w:tr w:rsidR="00BF1E6C" w14:paraId="41276546" w14:textId="77777777" w:rsidTr="00A8427E">
        <w:trPr>
          <w:trHeight w:val="227"/>
        </w:trPr>
        <w:tc>
          <w:tcPr>
            <w:tcW w:w="4200" w:type="dxa"/>
          </w:tcPr>
          <w:p w14:paraId="35F31D2A" w14:textId="47882158" w:rsidR="00BF1E6C" w:rsidRPr="0054596F" w:rsidRDefault="00BF1E6C">
            <w:pPr>
              <w:pStyle w:val="TableParagraph"/>
              <w:spacing w:line="207" w:lineRule="exact"/>
              <w:ind w:left="50"/>
              <w:rPr>
                <w:color w:val="FF0000"/>
                <w:sz w:val="18"/>
                <w:szCs w:val="18"/>
              </w:rPr>
            </w:pPr>
          </w:p>
        </w:tc>
        <w:tc>
          <w:tcPr>
            <w:tcW w:w="3643" w:type="dxa"/>
          </w:tcPr>
          <w:p w14:paraId="4AB29C6A" w14:textId="7A7FF271" w:rsidR="00BF1E6C" w:rsidRPr="00E40E36" w:rsidRDefault="00CA027D">
            <w:pPr>
              <w:pStyle w:val="TableParagraph"/>
              <w:spacing w:line="210" w:lineRule="exact"/>
              <w:ind w:left="851"/>
              <w:rPr>
                <w:rFonts w:ascii="Arial Narrow"/>
                <w:sz w:val="20"/>
              </w:rPr>
            </w:pPr>
            <w:r w:rsidRPr="00E40E36">
              <w:rPr>
                <w:rFonts w:ascii="Arial Narrow"/>
                <w:spacing w:val="-2"/>
                <w:sz w:val="20"/>
              </w:rPr>
              <w:t>ian.rebello</w:t>
            </w:r>
            <w:r w:rsidR="00A8427E" w:rsidRPr="00E40E36">
              <w:rPr>
                <w:rFonts w:ascii="Arial Narrow"/>
                <w:spacing w:val="-2"/>
                <w:sz w:val="20"/>
              </w:rPr>
              <w:t>@riskcare.com</w:t>
            </w:r>
          </w:p>
        </w:tc>
      </w:tr>
    </w:tbl>
    <w:p w14:paraId="1F65154F" w14:textId="77777777" w:rsidR="00BF1E6C" w:rsidRDefault="00BF1E6C">
      <w:pPr>
        <w:pStyle w:val="BodyText"/>
        <w:rPr>
          <w:b/>
        </w:rPr>
      </w:pPr>
    </w:p>
    <w:p w14:paraId="03EF3A3D" w14:textId="77777777" w:rsidR="00BF1E6C" w:rsidRDefault="00BF1E6C">
      <w:pPr>
        <w:pStyle w:val="BodyText"/>
        <w:spacing w:before="65"/>
        <w:rPr>
          <w:b/>
        </w:rPr>
      </w:pPr>
    </w:p>
    <w:p w14:paraId="0B99F507" w14:textId="77777777" w:rsidR="00BF1E6C" w:rsidRDefault="00B51D34">
      <w:pPr>
        <w:pStyle w:val="ListParagraph"/>
        <w:numPr>
          <w:ilvl w:val="0"/>
          <w:numId w:val="1"/>
        </w:numPr>
        <w:tabs>
          <w:tab w:val="left" w:pos="459"/>
        </w:tabs>
        <w:ind w:left="459" w:hanging="359"/>
        <w:rPr>
          <w:sz w:val="18"/>
        </w:rPr>
      </w:pPr>
      <w:r>
        <w:rPr>
          <w:b/>
          <w:sz w:val="18"/>
          <w:u w:val="single"/>
        </w:rPr>
        <w:t>Special</w:t>
      </w:r>
      <w:r>
        <w:rPr>
          <w:b/>
          <w:spacing w:val="-4"/>
          <w:sz w:val="18"/>
          <w:u w:val="single"/>
        </w:rPr>
        <w:t xml:space="preserve"> </w:t>
      </w:r>
      <w:r>
        <w:rPr>
          <w:b/>
          <w:sz w:val="18"/>
          <w:u w:val="single"/>
        </w:rPr>
        <w:t>Conditions</w:t>
      </w:r>
      <w:r>
        <w:rPr>
          <w:b/>
          <w:spacing w:val="-1"/>
          <w:sz w:val="18"/>
          <w:u w:val="single"/>
        </w:rPr>
        <w:t xml:space="preserve"> </w:t>
      </w:r>
      <w:r>
        <w:rPr>
          <w:sz w:val="18"/>
        </w:rPr>
        <w:t>–</w:t>
      </w:r>
      <w:r>
        <w:rPr>
          <w:spacing w:val="-2"/>
          <w:sz w:val="18"/>
        </w:rPr>
        <w:t xml:space="preserve"> </w:t>
      </w:r>
      <w:r>
        <w:rPr>
          <w:sz w:val="18"/>
        </w:rPr>
        <w:t>(if</w:t>
      </w:r>
      <w:r>
        <w:rPr>
          <w:spacing w:val="-1"/>
          <w:sz w:val="18"/>
        </w:rPr>
        <w:t xml:space="preserve"> </w:t>
      </w:r>
      <w:r>
        <w:rPr>
          <w:spacing w:val="-4"/>
          <w:sz w:val="18"/>
        </w:rPr>
        <w:t>any)</w:t>
      </w:r>
    </w:p>
    <w:p w14:paraId="2C59D03B" w14:textId="77777777" w:rsidR="00BF1E6C" w:rsidRDefault="00BF1E6C">
      <w:pPr>
        <w:pStyle w:val="BodyText"/>
      </w:pPr>
    </w:p>
    <w:p w14:paraId="0C96343D" w14:textId="77777777" w:rsidR="00BF1E6C" w:rsidRDefault="00BF1E6C">
      <w:pPr>
        <w:pStyle w:val="BodyText"/>
        <w:spacing w:before="62"/>
      </w:pPr>
    </w:p>
    <w:p w14:paraId="795EC29A" w14:textId="77777777" w:rsidR="00BF1E6C" w:rsidRDefault="00B51D34">
      <w:pPr>
        <w:pStyle w:val="BodyText"/>
        <w:ind w:left="100" w:right="198"/>
        <w:jc w:val="both"/>
      </w:pPr>
      <w:r>
        <w:t>To the extent legally permitted by applicable laws and regulations, and only as necessary to perform the Services as set forth in this Order, Morgan Stanley may grant Consultant access to certain regulatory or agency information (including, examination reports, correspondence, and/or other documents relevant to the provision of the Services) defined as "confidential supervisory information" by the Federal Reserve and by the CFPB, "exempt records" by the FDIC,</w:t>
      </w:r>
      <w:r>
        <w:rPr>
          <w:spacing w:val="-12"/>
        </w:rPr>
        <w:t xml:space="preserve"> </w:t>
      </w:r>
      <w:r>
        <w:t>or</w:t>
      </w:r>
      <w:r>
        <w:rPr>
          <w:spacing w:val="-12"/>
        </w:rPr>
        <w:t xml:space="preserve"> </w:t>
      </w:r>
      <w:r>
        <w:t>"non-public</w:t>
      </w:r>
      <w:r>
        <w:rPr>
          <w:spacing w:val="-12"/>
        </w:rPr>
        <w:t xml:space="preserve"> </w:t>
      </w:r>
      <w:r>
        <w:t>OCC</w:t>
      </w:r>
      <w:r>
        <w:rPr>
          <w:spacing w:val="-12"/>
        </w:rPr>
        <w:t xml:space="preserve"> </w:t>
      </w:r>
      <w:r>
        <w:t>information"</w:t>
      </w:r>
      <w:r>
        <w:rPr>
          <w:spacing w:val="-12"/>
        </w:rPr>
        <w:t xml:space="preserve"> </w:t>
      </w:r>
      <w:r>
        <w:t>by</w:t>
      </w:r>
      <w:r>
        <w:rPr>
          <w:spacing w:val="-12"/>
        </w:rPr>
        <w:t xml:space="preserve"> </w:t>
      </w:r>
      <w:r>
        <w:t>the</w:t>
      </w:r>
      <w:r>
        <w:rPr>
          <w:spacing w:val="-12"/>
        </w:rPr>
        <w:t xml:space="preserve"> </w:t>
      </w:r>
      <w:r>
        <w:t>OCC.</w:t>
      </w:r>
      <w:r>
        <w:rPr>
          <w:spacing w:val="-12"/>
        </w:rPr>
        <w:t xml:space="preserve"> </w:t>
      </w:r>
      <w:r>
        <w:t>See</w:t>
      </w:r>
      <w:r>
        <w:rPr>
          <w:spacing w:val="-12"/>
        </w:rPr>
        <w:t xml:space="preserve"> </w:t>
      </w:r>
      <w:r>
        <w:t>12</w:t>
      </w:r>
      <w:r>
        <w:rPr>
          <w:spacing w:val="-12"/>
        </w:rPr>
        <w:t xml:space="preserve"> </w:t>
      </w:r>
      <w:r>
        <w:t>C.F.R.</w:t>
      </w:r>
      <w:r>
        <w:rPr>
          <w:spacing w:val="-12"/>
        </w:rPr>
        <w:t xml:space="preserve"> </w:t>
      </w:r>
      <w:r>
        <w:t>261.2(b),</w:t>
      </w:r>
      <w:r>
        <w:rPr>
          <w:spacing w:val="-12"/>
        </w:rPr>
        <w:t xml:space="preserve"> </w:t>
      </w:r>
      <w:r>
        <w:t>12</w:t>
      </w:r>
      <w:r>
        <w:rPr>
          <w:spacing w:val="-13"/>
        </w:rPr>
        <w:t xml:space="preserve"> </w:t>
      </w:r>
      <w:r>
        <w:t>C.F.R.</w:t>
      </w:r>
      <w:r>
        <w:rPr>
          <w:spacing w:val="-12"/>
        </w:rPr>
        <w:t xml:space="preserve"> </w:t>
      </w:r>
      <w:r>
        <w:t>1070.2(</w:t>
      </w:r>
      <w:proofErr w:type="spellStart"/>
      <w:r>
        <w:t>i</w:t>
      </w:r>
      <w:proofErr w:type="spellEnd"/>
      <w:r>
        <w:t>),</w:t>
      </w:r>
      <w:r>
        <w:rPr>
          <w:spacing w:val="-12"/>
        </w:rPr>
        <w:t xml:space="preserve"> </w:t>
      </w:r>
      <w:r>
        <w:t>12</w:t>
      </w:r>
      <w:r>
        <w:rPr>
          <w:spacing w:val="-12"/>
        </w:rPr>
        <w:t xml:space="preserve"> </w:t>
      </w:r>
      <w:r>
        <w:t>C.F.R.</w:t>
      </w:r>
      <w:r>
        <w:rPr>
          <w:spacing w:val="-11"/>
        </w:rPr>
        <w:t xml:space="preserve"> </w:t>
      </w:r>
      <w:r>
        <w:t>309.5(g)(8), 12 C.F.R. 4.32(b). All such information shall be collectively referred to herein as "CSI". Consultant shall use CSI to which it is granted access exclusively for the purpose of providing the Services under this Order and for no other purpose. Consultant will review all documents containing CSI on Morgan Stanley systems and shall not make, nor retain,</w:t>
      </w:r>
      <w:r>
        <w:rPr>
          <w:spacing w:val="-5"/>
        </w:rPr>
        <w:t xml:space="preserve"> </w:t>
      </w:r>
      <w:r>
        <w:t>any</w:t>
      </w:r>
      <w:r>
        <w:rPr>
          <w:spacing w:val="-5"/>
        </w:rPr>
        <w:t xml:space="preserve"> </w:t>
      </w:r>
      <w:r>
        <w:t>copies</w:t>
      </w:r>
      <w:r>
        <w:rPr>
          <w:spacing w:val="-6"/>
        </w:rPr>
        <w:t xml:space="preserve"> </w:t>
      </w:r>
      <w:r>
        <w:t>of</w:t>
      </w:r>
      <w:r>
        <w:rPr>
          <w:spacing w:val="-6"/>
        </w:rPr>
        <w:t xml:space="preserve"> </w:t>
      </w:r>
      <w:r>
        <w:t>any</w:t>
      </w:r>
      <w:r>
        <w:rPr>
          <w:spacing w:val="-5"/>
        </w:rPr>
        <w:t xml:space="preserve"> </w:t>
      </w:r>
      <w:r>
        <w:t>documents</w:t>
      </w:r>
      <w:r>
        <w:rPr>
          <w:spacing w:val="-6"/>
        </w:rPr>
        <w:t xml:space="preserve"> </w:t>
      </w:r>
      <w:r>
        <w:t>containing</w:t>
      </w:r>
      <w:r>
        <w:rPr>
          <w:spacing w:val="-6"/>
        </w:rPr>
        <w:t xml:space="preserve"> </w:t>
      </w:r>
      <w:r>
        <w:t>CSI.</w:t>
      </w:r>
      <w:r>
        <w:rPr>
          <w:spacing w:val="-5"/>
        </w:rPr>
        <w:t xml:space="preserve"> </w:t>
      </w:r>
      <w:r>
        <w:t>At</w:t>
      </w:r>
      <w:r>
        <w:rPr>
          <w:spacing w:val="-6"/>
        </w:rPr>
        <w:t xml:space="preserve"> </w:t>
      </w:r>
      <w:r>
        <w:t>all</w:t>
      </w:r>
      <w:r>
        <w:rPr>
          <w:spacing w:val="-6"/>
        </w:rPr>
        <w:t xml:space="preserve"> </w:t>
      </w:r>
      <w:r>
        <w:t>times,</w:t>
      </w:r>
      <w:r>
        <w:rPr>
          <w:spacing w:val="-5"/>
        </w:rPr>
        <w:t xml:space="preserve"> </w:t>
      </w:r>
      <w:r>
        <w:t>Consultant</w:t>
      </w:r>
      <w:r>
        <w:rPr>
          <w:spacing w:val="-5"/>
        </w:rPr>
        <w:t xml:space="preserve"> </w:t>
      </w:r>
      <w:r>
        <w:t>will</w:t>
      </w:r>
      <w:r>
        <w:rPr>
          <w:spacing w:val="-6"/>
        </w:rPr>
        <w:t xml:space="preserve"> </w:t>
      </w:r>
      <w:r>
        <w:t>take</w:t>
      </w:r>
      <w:r>
        <w:rPr>
          <w:spacing w:val="-6"/>
        </w:rPr>
        <w:t xml:space="preserve"> </w:t>
      </w:r>
      <w:r>
        <w:t>all</w:t>
      </w:r>
      <w:r>
        <w:rPr>
          <w:spacing w:val="-6"/>
        </w:rPr>
        <w:t xml:space="preserve"> </w:t>
      </w:r>
      <w:r>
        <w:t>necessary</w:t>
      </w:r>
      <w:r>
        <w:rPr>
          <w:spacing w:val="-5"/>
        </w:rPr>
        <w:t xml:space="preserve"> </w:t>
      </w:r>
      <w:r>
        <w:t>steps</w:t>
      </w:r>
      <w:r>
        <w:rPr>
          <w:spacing w:val="-4"/>
        </w:rPr>
        <w:t xml:space="preserve"> </w:t>
      </w:r>
      <w:r>
        <w:t>to</w:t>
      </w:r>
      <w:r>
        <w:rPr>
          <w:spacing w:val="-6"/>
        </w:rPr>
        <w:t xml:space="preserve"> </w:t>
      </w:r>
      <w:r>
        <w:t>protect</w:t>
      </w:r>
      <w:r>
        <w:rPr>
          <w:spacing w:val="-6"/>
        </w:rPr>
        <w:t xml:space="preserve"> </w:t>
      </w:r>
      <w:r>
        <w:t>the confidentiality of CSI. Consultant shall comply with all relevant disclosure restrictions (including but not limited to 12</w:t>
      </w:r>
    </w:p>
    <w:p w14:paraId="435C81DC" w14:textId="77777777" w:rsidR="00BF1E6C" w:rsidRDefault="00B51D34">
      <w:pPr>
        <w:pStyle w:val="BodyText"/>
        <w:ind w:left="100" w:right="198"/>
        <w:jc w:val="both"/>
      </w:pPr>
      <w:r>
        <w:t>C.F.R.</w:t>
      </w:r>
      <w:r>
        <w:rPr>
          <w:spacing w:val="-13"/>
        </w:rPr>
        <w:t xml:space="preserve"> </w:t>
      </w:r>
      <w:r>
        <w:t>261.21(b)</w:t>
      </w:r>
      <w:r>
        <w:rPr>
          <w:spacing w:val="-12"/>
        </w:rPr>
        <w:t xml:space="preserve"> </w:t>
      </w:r>
      <w:r>
        <w:t>as</w:t>
      </w:r>
      <w:r>
        <w:rPr>
          <w:spacing w:val="-13"/>
        </w:rPr>
        <w:t xml:space="preserve"> </w:t>
      </w:r>
      <w:r>
        <w:t>promulgated</w:t>
      </w:r>
      <w:r>
        <w:rPr>
          <w:spacing w:val="-12"/>
        </w:rPr>
        <w:t xml:space="preserve"> </w:t>
      </w:r>
      <w:r>
        <w:t>by</w:t>
      </w:r>
      <w:r>
        <w:rPr>
          <w:spacing w:val="-13"/>
        </w:rPr>
        <w:t xml:space="preserve"> </w:t>
      </w:r>
      <w:r>
        <w:t>the</w:t>
      </w:r>
      <w:r>
        <w:rPr>
          <w:spacing w:val="-13"/>
        </w:rPr>
        <w:t xml:space="preserve"> </w:t>
      </w:r>
      <w:r>
        <w:t>FED,</w:t>
      </w:r>
      <w:r>
        <w:rPr>
          <w:spacing w:val="-12"/>
        </w:rPr>
        <w:t xml:space="preserve"> </w:t>
      </w:r>
      <w:r>
        <w:t>12</w:t>
      </w:r>
      <w:r>
        <w:rPr>
          <w:spacing w:val="-13"/>
        </w:rPr>
        <w:t xml:space="preserve"> </w:t>
      </w:r>
      <w:r>
        <w:t>C.F.R.</w:t>
      </w:r>
      <w:r>
        <w:rPr>
          <w:spacing w:val="-12"/>
        </w:rPr>
        <w:t xml:space="preserve"> </w:t>
      </w:r>
      <w:r>
        <w:t>1070.42(b)</w:t>
      </w:r>
      <w:r>
        <w:rPr>
          <w:spacing w:val="-13"/>
        </w:rPr>
        <w:t xml:space="preserve"> </w:t>
      </w:r>
      <w:r>
        <w:t>as</w:t>
      </w:r>
      <w:r>
        <w:rPr>
          <w:spacing w:val="-12"/>
        </w:rPr>
        <w:t xml:space="preserve"> </w:t>
      </w:r>
      <w:r>
        <w:t>promulgated</w:t>
      </w:r>
      <w:r>
        <w:rPr>
          <w:spacing w:val="-13"/>
        </w:rPr>
        <w:t xml:space="preserve"> </w:t>
      </w:r>
      <w:r>
        <w:t>by</w:t>
      </w:r>
      <w:r>
        <w:rPr>
          <w:spacing w:val="-12"/>
        </w:rPr>
        <w:t xml:space="preserve"> </w:t>
      </w:r>
      <w:r>
        <w:t>the</w:t>
      </w:r>
      <w:r>
        <w:rPr>
          <w:spacing w:val="-13"/>
        </w:rPr>
        <w:t xml:space="preserve"> </w:t>
      </w:r>
      <w:r>
        <w:t>CFPB,</w:t>
      </w:r>
      <w:r>
        <w:rPr>
          <w:spacing w:val="-12"/>
        </w:rPr>
        <w:t xml:space="preserve"> </w:t>
      </w:r>
      <w:r>
        <w:t>12</w:t>
      </w:r>
      <w:r>
        <w:rPr>
          <w:spacing w:val="-13"/>
        </w:rPr>
        <w:t xml:space="preserve"> </w:t>
      </w:r>
      <w:r>
        <w:t>C.F.R.</w:t>
      </w:r>
      <w:r>
        <w:rPr>
          <w:spacing w:val="-12"/>
        </w:rPr>
        <w:t xml:space="preserve"> </w:t>
      </w:r>
      <w:r>
        <w:t>309.6(b)(7) as</w:t>
      </w:r>
      <w:r>
        <w:rPr>
          <w:spacing w:val="-13"/>
        </w:rPr>
        <w:t xml:space="preserve"> </w:t>
      </w:r>
      <w:r>
        <w:t>promulgated</w:t>
      </w:r>
      <w:r>
        <w:rPr>
          <w:spacing w:val="-12"/>
        </w:rPr>
        <w:t xml:space="preserve"> </w:t>
      </w:r>
      <w:r>
        <w:t>by</w:t>
      </w:r>
      <w:r>
        <w:rPr>
          <w:spacing w:val="-13"/>
        </w:rPr>
        <w:t xml:space="preserve"> </w:t>
      </w:r>
      <w:r>
        <w:t>the</w:t>
      </w:r>
      <w:r>
        <w:rPr>
          <w:spacing w:val="-12"/>
        </w:rPr>
        <w:t xml:space="preserve"> </w:t>
      </w:r>
      <w:r>
        <w:t>FDIC,</w:t>
      </w:r>
      <w:r>
        <w:rPr>
          <w:spacing w:val="-13"/>
        </w:rPr>
        <w:t xml:space="preserve"> </w:t>
      </w:r>
      <w:r>
        <w:t>and</w:t>
      </w:r>
      <w:r>
        <w:rPr>
          <w:spacing w:val="-13"/>
        </w:rPr>
        <w:t xml:space="preserve"> </w:t>
      </w:r>
      <w:r>
        <w:t>12</w:t>
      </w:r>
      <w:r>
        <w:rPr>
          <w:spacing w:val="-12"/>
        </w:rPr>
        <w:t xml:space="preserve"> </w:t>
      </w:r>
      <w:r>
        <w:t>C.F.R.</w:t>
      </w:r>
      <w:r>
        <w:rPr>
          <w:spacing w:val="-13"/>
        </w:rPr>
        <w:t xml:space="preserve"> </w:t>
      </w:r>
      <w:r>
        <w:t>4.37(b)(2)</w:t>
      </w:r>
      <w:r>
        <w:rPr>
          <w:spacing w:val="-12"/>
        </w:rPr>
        <w:t xml:space="preserve"> </w:t>
      </w:r>
      <w:r>
        <w:t>as</w:t>
      </w:r>
      <w:r>
        <w:rPr>
          <w:spacing w:val="-13"/>
        </w:rPr>
        <w:t xml:space="preserve"> </w:t>
      </w:r>
      <w:r>
        <w:t>promulgated</w:t>
      </w:r>
      <w:r>
        <w:rPr>
          <w:spacing w:val="-12"/>
        </w:rPr>
        <w:t xml:space="preserve"> </w:t>
      </w:r>
      <w:r>
        <w:t>by</w:t>
      </w:r>
      <w:r>
        <w:rPr>
          <w:spacing w:val="-13"/>
        </w:rPr>
        <w:t xml:space="preserve"> </w:t>
      </w:r>
      <w:r>
        <w:t>the</w:t>
      </w:r>
      <w:r>
        <w:rPr>
          <w:spacing w:val="-12"/>
        </w:rPr>
        <w:t xml:space="preserve"> </w:t>
      </w:r>
      <w:r>
        <w:t>OCC,</w:t>
      </w:r>
      <w:r>
        <w:rPr>
          <w:spacing w:val="-13"/>
        </w:rPr>
        <w:t xml:space="preserve"> </w:t>
      </w:r>
      <w:r>
        <w:t>as</w:t>
      </w:r>
      <w:r>
        <w:rPr>
          <w:spacing w:val="-12"/>
        </w:rPr>
        <w:t xml:space="preserve"> </w:t>
      </w:r>
      <w:r>
        <w:t>applicable)</w:t>
      </w:r>
      <w:r>
        <w:rPr>
          <w:spacing w:val="-13"/>
        </w:rPr>
        <w:t xml:space="preserve"> </w:t>
      </w:r>
      <w:r>
        <w:t>and</w:t>
      </w:r>
      <w:r>
        <w:rPr>
          <w:spacing w:val="-12"/>
        </w:rPr>
        <w:t xml:space="preserve"> </w:t>
      </w:r>
      <w:r>
        <w:t>shall</w:t>
      </w:r>
      <w:r>
        <w:rPr>
          <w:spacing w:val="-13"/>
        </w:rPr>
        <w:t xml:space="preserve"> </w:t>
      </w:r>
      <w:r>
        <w:t>not</w:t>
      </w:r>
      <w:r>
        <w:rPr>
          <w:spacing w:val="-12"/>
        </w:rPr>
        <w:t xml:space="preserve"> </w:t>
      </w:r>
      <w:r>
        <w:t>disclose CSI</w:t>
      </w:r>
      <w:r>
        <w:rPr>
          <w:spacing w:val="-5"/>
        </w:rPr>
        <w:t xml:space="preserve"> </w:t>
      </w:r>
      <w:r>
        <w:t>for</w:t>
      </w:r>
      <w:r>
        <w:rPr>
          <w:spacing w:val="-5"/>
        </w:rPr>
        <w:t xml:space="preserve"> </w:t>
      </w:r>
      <w:r>
        <w:t>any</w:t>
      </w:r>
      <w:r>
        <w:rPr>
          <w:spacing w:val="-4"/>
        </w:rPr>
        <w:t xml:space="preserve"> </w:t>
      </w:r>
      <w:r>
        <w:t>purpose</w:t>
      </w:r>
      <w:r>
        <w:rPr>
          <w:spacing w:val="-5"/>
        </w:rPr>
        <w:t xml:space="preserve"> </w:t>
      </w:r>
      <w:r>
        <w:t>without</w:t>
      </w:r>
      <w:r>
        <w:rPr>
          <w:spacing w:val="-5"/>
        </w:rPr>
        <w:t xml:space="preserve"> </w:t>
      </w:r>
      <w:r>
        <w:t>the</w:t>
      </w:r>
      <w:r>
        <w:rPr>
          <w:spacing w:val="-5"/>
        </w:rPr>
        <w:t xml:space="preserve"> </w:t>
      </w:r>
      <w:r>
        <w:t>prior</w:t>
      </w:r>
      <w:r>
        <w:rPr>
          <w:spacing w:val="-5"/>
        </w:rPr>
        <w:t xml:space="preserve"> </w:t>
      </w:r>
      <w:r>
        <w:t>written</w:t>
      </w:r>
      <w:r>
        <w:rPr>
          <w:spacing w:val="-5"/>
        </w:rPr>
        <w:t xml:space="preserve"> </w:t>
      </w:r>
      <w:r>
        <w:t>approval</w:t>
      </w:r>
      <w:r>
        <w:rPr>
          <w:spacing w:val="-5"/>
        </w:rPr>
        <w:t xml:space="preserve"> </w:t>
      </w:r>
      <w:r>
        <w:t>of</w:t>
      </w:r>
      <w:r>
        <w:rPr>
          <w:spacing w:val="-5"/>
        </w:rPr>
        <w:t xml:space="preserve"> </w:t>
      </w:r>
      <w:r>
        <w:t>the</w:t>
      </w:r>
      <w:r>
        <w:rPr>
          <w:spacing w:val="-4"/>
        </w:rPr>
        <w:t xml:space="preserve"> </w:t>
      </w:r>
      <w:r>
        <w:t>Federal</w:t>
      </w:r>
      <w:r>
        <w:rPr>
          <w:spacing w:val="-5"/>
        </w:rPr>
        <w:t xml:space="preserve"> </w:t>
      </w:r>
      <w:r>
        <w:t>Reserve,</w:t>
      </w:r>
      <w:r>
        <w:rPr>
          <w:spacing w:val="-5"/>
        </w:rPr>
        <w:t xml:space="preserve"> </w:t>
      </w:r>
      <w:r>
        <w:t>CFPB,</w:t>
      </w:r>
      <w:r>
        <w:rPr>
          <w:spacing w:val="-4"/>
        </w:rPr>
        <w:t xml:space="preserve"> </w:t>
      </w:r>
      <w:r>
        <w:t>FDIC</w:t>
      </w:r>
      <w:r>
        <w:rPr>
          <w:spacing w:val="-5"/>
        </w:rPr>
        <w:t xml:space="preserve"> </w:t>
      </w:r>
      <w:r>
        <w:t>and/or</w:t>
      </w:r>
      <w:r>
        <w:rPr>
          <w:spacing w:val="-4"/>
        </w:rPr>
        <w:t xml:space="preserve"> </w:t>
      </w:r>
      <w:r>
        <w:t>OCC</w:t>
      </w:r>
      <w:r>
        <w:rPr>
          <w:spacing w:val="-4"/>
        </w:rPr>
        <w:t xml:space="preserve"> </w:t>
      </w:r>
      <w:r>
        <w:t>(as</w:t>
      </w:r>
      <w:r>
        <w:rPr>
          <w:spacing w:val="-5"/>
        </w:rPr>
        <w:t xml:space="preserve"> </w:t>
      </w:r>
      <w:r>
        <w:t>applicable in each instance). At the conclusion of the engagement for which Consultant was provided access to CSI, Consultant shall return to Morgan Stanley, or certify the destruction of, all documents containing CSI.</w:t>
      </w:r>
    </w:p>
    <w:p w14:paraId="4EEEAEC3" w14:textId="77777777" w:rsidR="00BF1E6C" w:rsidRDefault="00BF1E6C">
      <w:pPr>
        <w:pStyle w:val="BodyText"/>
      </w:pPr>
    </w:p>
    <w:p w14:paraId="35B34083" w14:textId="77777777" w:rsidR="00BF1E6C" w:rsidRDefault="00BF1E6C">
      <w:pPr>
        <w:pStyle w:val="BodyText"/>
      </w:pPr>
    </w:p>
    <w:p w14:paraId="38BEBAFB" w14:textId="77777777" w:rsidR="00BF1E6C" w:rsidRDefault="00BF1E6C">
      <w:pPr>
        <w:pStyle w:val="BodyText"/>
      </w:pPr>
    </w:p>
    <w:p w14:paraId="0817FD6A" w14:textId="77777777" w:rsidR="00BF1E6C" w:rsidRDefault="00BF1E6C">
      <w:pPr>
        <w:pStyle w:val="BodyText"/>
      </w:pPr>
    </w:p>
    <w:p w14:paraId="1B6170E6" w14:textId="77777777" w:rsidR="00BF1E6C" w:rsidRDefault="00BF1E6C">
      <w:pPr>
        <w:pStyle w:val="BodyText"/>
      </w:pPr>
    </w:p>
    <w:p w14:paraId="0434F389" w14:textId="77777777" w:rsidR="00BF1E6C" w:rsidRDefault="00BF1E6C">
      <w:pPr>
        <w:pStyle w:val="BodyText"/>
        <w:spacing w:before="8"/>
      </w:pPr>
    </w:p>
    <w:p w14:paraId="7E6F8949" w14:textId="77777777" w:rsidR="00BF1E6C" w:rsidRDefault="00B51D34">
      <w:pPr>
        <w:pStyle w:val="Heading1"/>
        <w:spacing w:before="1"/>
        <w:ind w:left="100" w:right="200" w:firstLine="0"/>
        <w:jc w:val="both"/>
      </w:pPr>
      <w:r>
        <w:t xml:space="preserve">IN WITNESS WHEREOF, the parties have caused this Task Order to be executed by their duly authorized </w:t>
      </w:r>
      <w:r>
        <w:rPr>
          <w:spacing w:val="-2"/>
        </w:rPr>
        <w:t>representatives.</w:t>
      </w:r>
    </w:p>
    <w:p w14:paraId="17F2B068" w14:textId="77777777" w:rsidR="00BF1E6C" w:rsidRDefault="00BF1E6C">
      <w:pPr>
        <w:pStyle w:val="BodyText"/>
        <w:rPr>
          <w:b/>
        </w:rPr>
      </w:pPr>
    </w:p>
    <w:p w14:paraId="5466350F" w14:textId="77777777" w:rsidR="00BF1E6C" w:rsidRDefault="00BF1E6C">
      <w:pPr>
        <w:pStyle w:val="BodyText"/>
        <w:spacing w:before="34"/>
        <w:rPr>
          <w:b/>
        </w:rPr>
      </w:pPr>
    </w:p>
    <w:p w14:paraId="700E71E3" w14:textId="62747F78" w:rsidR="00BF1E6C" w:rsidRDefault="00C52AFD">
      <w:pPr>
        <w:tabs>
          <w:tab w:val="left" w:pos="4420"/>
        </w:tabs>
        <w:ind w:left="100"/>
        <w:rPr>
          <w:b/>
          <w:sz w:val="18"/>
        </w:rPr>
      </w:pPr>
      <w:r>
        <w:rPr>
          <w:b/>
          <w:spacing w:val="-2"/>
          <w:sz w:val="18"/>
        </w:rPr>
        <w:t>RISKCARE INC</w:t>
      </w:r>
      <w:r w:rsidR="00B51D34">
        <w:rPr>
          <w:b/>
          <w:spacing w:val="-2"/>
          <w:sz w:val="18"/>
        </w:rPr>
        <w:t>:</w:t>
      </w:r>
      <w:r w:rsidR="00B51D34">
        <w:rPr>
          <w:b/>
          <w:sz w:val="18"/>
        </w:rPr>
        <w:tab/>
      </w:r>
      <w:r w:rsidR="00B51D34" w:rsidRPr="00C52AFD">
        <w:rPr>
          <w:b/>
          <w:sz w:val="18"/>
        </w:rPr>
        <w:t>MORGAN</w:t>
      </w:r>
      <w:r w:rsidR="00B51D34" w:rsidRPr="00C52AFD">
        <w:rPr>
          <w:b/>
          <w:spacing w:val="-8"/>
          <w:sz w:val="18"/>
        </w:rPr>
        <w:t xml:space="preserve"> </w:t>
      </w:r>
      <w:r w:rsidR="00B51D34" w:rsidRPr="00C52AFD">
        <w:rPr>
          <w:b/>
          <w:sz w:val="18"/>
        </w:rPr>
        <w:t>STANLEY</w:t>
      </w:r>
      <w:r w:rsidR="00B51D34" w:rsidRPr="00C52AFD">
        <w:rPr>
          <w:b/>
          <w:spacing w:val="-6"/>
          <w:sz w:val="18"/>
        </w:rPr>
        <w:t xml:space="preserve"> </w:t>
      </w:r>
      <w:r w:rsidR="00B51D34" w:rsidRPr="00C52AFD">
        <w:rPr>
          <w:b/>
          <w:sz w:val="18"/>
        </w:rPr>
        <w:t>&amp;</w:t>
      </w:r>
      <w:r w:rsidR="00B51D34" w:rsidRPr="00C52AFD">
        <w:rPr>
          <w:b/>
          <w:spacing w:val="-5"/>
          <w:sz w:val="18"/>
        </w:rPr>
        <w:t xml:space="preserve"> </w:t>
      </w:r>
      <w:r w:rsidR="00B51D34" w:rsidRPr="00C52AFD">
        <w:rPr>
          <w:b/>
          <w:sz w:val="18"/>
        </w:rPr>
        <w:t>CO.</w:t>
      </w:r>
      <w:r w:rsidR="00B51D34" w:rsidRPr="00C52AFD">
        <w:rPr>
          <w:b/>
          <w:spacing w:val="-5"/>
          <w:sz w:val="18"/>
        </w:rPr>
        <w:t xml:space="preserve"> </w:t>
      </w:r>
      <w:r w:rsidR="00FB7FB7" w:rsidRPr="00C52AFD">
        <w:rPr>
          <w:b/>
          <w:sz w:val="18"/>
        </w:rPr>
        <w:t>L</w:t>
      </w:r>
      <w:r w:rsidR="00B51D34" w:rsidRPr="00C52AFD">
        <w:rPr>
          <w:b/>
          <w:spacing w:val="-5"/>
          <w:sz w:val="18"/>
        </w:rPr>
        <w:t>LC</w:t>
      </w:r>
    </w:p>
    <w:p w14:paraId="753411D0" w14:textId="77777777" w:rsidR="00BF1E6C" w:rsidRDefault="00BF1E6C">
      <w:pPr>
        <w:pStyle w:val="BodyText"/>
        <w:rPr>
          <w:b/>
        </w:rPr>
      </w:pPr>
    </w:p>
    <w:p w14:paraId="699C5E9B" w14:textId="77777777" w:rsidR="00BF1E6C" w:rsidRDefault="00BF1E6C">
      <w:pPr>
        <w:pStyle w:val="BodyText"/>
        <w:spacing w:before="33"/>
        <w:rPr>
          <w:b/>
        </w:rPr>
      </w:pPr>
    </w:p>
    <w:p w14:paraId="2EE65EDD" w14:textId="77777777" w:rsidR="00BF1E6C" w:rsidRDefault="00B51D34">
      <w:pPr>
        <w:pStyle w:val="BodyText"/>
        <w:tabs>
          <w:tab w:val="left" w:pos="4420"/>
        </w:tabs>
        <w:spacing w:before="1"/>
        <w:ind w:left="100"/>
      </w:pPr>
      <w:r>
        <w:rPr>
          <w:spacing w:val="-5"/>
        </w:rPr>
        <w:t>By:</w:t>
      </w:r>
      <w:r>
        <w:tab/>
      </w:r>
      <w:r>
        <w:rPr>
          <w:spacing w:val="-5"/>
        </w:rPr>
        <w:t>By:</w:t>
      </w:r>
    </w:p>
    <w:p w14:paraId="56D2161B" w14:textId="77777777" w:rsidR="00BF1E6C" w:rsidRDefault="00BF1E6C">
      <w:pPr>
        <w:pStyle w:val="BodyText"/>
      </w:pPr>
    </w:p>
    <w:p w14:paraId="54A6F122" w14:textId="77777777" w:rsidR="00BF1E6C" w:rsidRDefault="00BF1E6C">
      <w:pPr>
        <w:pStyle w:val="BodyText"/>
        <w:spacing w:before="32"/>
      </w:pPr>
    </w:p>
    <w:p w14:paraId="237D91B3" w14:textId="4A5AC1B9" w:rsidR="00BF1E6C" w:rsidRPr="00B42590" w:rsidRDefault="00B51D34">
      <w:pPr>
        <w:pStyle w:val="BodyText"/>
        <w:tabs>
          <w:tab w:val="left" w:pos="4420"/>
        </w:tabs>
        <w:spacing w:before="1"/>
        <w:ind w:left="100"/>
        <w:jc w:val="both"/>
      </w:pPr>
      <w:r w:rsidRPr="00B42590">
        <w:t>Name:</w:t>
      </w:r>
      <w:r w:rsidRPr="00B42590">
        <w:rPr>
          <w:spacing w:val="41"/>
        </w:rPr>
        <w:t xml:space="preserve">  </w:t>
      </w:r>
      <w:r w:rsidR="00C52AFD" w:rsidRPr="00B42590">
        <w:t>Ian Rebello</w:t>
      </w:r>
      <w:r w:rsidRPr="00B42590">
        <w:tab/>
      </w:r>
      <w:r w:rsidRPr="00B42590">
        <w:rPr>
          <w:spacing w:val="-2"/>
        </w:rPr>
        <w:t>Name:</w:t>
      </w:r>
    </w:p>
    <w:p w14:paraId="234B4C88" w14:textId="77777777" w:rsidR="00BF1E6C" w:rsidRPr="00B42590" w:rsidRDefault="00BF1E6C">
      <w:pPr>
        <w:pStyle w:val="BodyText"/>
      </w:pPr>
    </w:p>
    <w:p w14:paraId="1AC3C258" w14:textId="77777777" w:rsidR="00BF1E6C" w:rsidRPr="00B42590" w:rsidRDefault="00BF1E6C">
      <w:pPr>
        <w:pStyle w:val="BodyText"/>
        <w:spacing w:before="32"/>
      </w:pPr>
    </w:p>
    <w:p w14:paraId="630361A3" w14:textId="619800CD" w:rsidR="00BF1E6C" w:rsidRDefault="00B51D34">
      <w:pPr>
        <w:pStyle w:val="BodyText"/>
        <w:tabs>
          <w:tab w:val="left" w:pos="820"/>
          <w:tab w:val="left" w:pos="4420"/>
        </w:tabs>
        <w:spacing w:before="1"/>
        <w:ind w:left="100"/>
      </w:pPr>
      <w:r w:rsidRPr="00B42590">
        <w:rPr>
          <w:spacing w:val="-2"/>
        </w:rPr>
        <w:t>Title:</w:t>
      </w:r>
      <w:r w:rsidRPr="00B42590">
        <w:tab/>
      </w:r>
      <w:r w:rsidR="0085720A">
        <w:t>Director</w:t>
      </w:r>
      <w:r>
        <w:tab/>
      </w:r>
      <w:r>
        <w:rPr>
          <w:spacing w:val="-2"/>
        </w:rPr>
        <w:t>Title:</w:t>
      </w:r>
    </w:p>
    <w:p w14:paraId="13C5A8D9" w14:textId="77777777" w:rsidR="00BF1E6C" w:rsidRDefault="00BF1E6C">
      <w:pPr>
        <w:pStyle w:val="BodyText"/>
        <w:spacing w:before="121"/>
        <w:rPr>
          <w:sz w:val="20"/>
        </w:rPr>
      </w:pPr>
    </w:p>
    <w:p w14:paraId="20EB3F43" w14:textId="77777777" w:rsidR="00BF1E6C" w:rsidRDefault="00BF1E6C">
      <w:pPr>
        <w:rPr>
          <w:sz w:val="20"/>
        </w:rPr>
        <w:sectPr w:rsidR="00BF1E6C">
          <w:pgSz w:w="12240" w:h="15840"/>
          <w:pgMar w:top="1360" w:right="1240" w:bottom="1200" w:left="1340" w:header="0" w:footer="1016" w:gutter="0"/>
          <w:cols w:space="720"/>
        </w:sectPr>
      </w:pPr>
    </w:p>
    <w:p w14:paraId="7BE6AA2E" w14:textId="77777777" w:rsidR="00BF1E6C" w:rsidRDefault="00B51D34">
      <w:pPr>
        <w:pStyle w:val="BodyText"/>
        <w:spacing w:before="94"/>
        <w:ind w:left="100"/>
      </w:pPr>
      <w:r>
        <w:rPr>
          <w:spacing w:val="-2"/>
        </w:rPr>
        <w:t>Date:</w:t>
      </w:r>
    </w:p>
    <w:p w14:paraId="5B1B936E" w14:textId="7EEA7B80" w:rsidR="00BF1E6C" w:rsidRDefault="00B51D34">
      <w:pPr>
        <w:spacing w:before="119"/>
        <w:ind w:left="100"/>
        <w:rPr>
          <w:sz w:val="24"/>
        </w:rPr>
      </w:pPr>
      <w:r>
        <w:br w:type="column"/>
      </w:r>
    </w:p>
    <w:p w14:paraId="4BF3D261" w14:textId="77777777" w:rsidR="00BF1E6C" w:rsidRDefault="00B51D34">
      <w:pPr>
        <w:pStyle w:val="BodyText"/>
        <w:spacing w:before="94"/>
        <w:ind w:left="100"/>
      </w:pPr>
      <w:r>
        <w:br w:type="column"/>
      </w:r>
      <w:r>
        <w:rPr>
          <w:spacing w:val="-2"/>
        </w:rPr>
        <w:t>Date:</w:t>
      </w:r>
    </w:p>
    <w:sectPr w:rsidR="00BF1E6C">
      <w:type w:val="continuous"/>
      <w:pgSz w:w="12240" w:h="15840"/>
      <w:pgMar w:top="1360" w:right="1240" w:bottom="1200" w:left="1340" w:header="0" w:footer="1016" w:gutter="0"/>
      <w:cols w:num="3" w:space="720" w:equalWidth="0">
        <w:col w:w="570" w:space="347"/>
        <w:col w:w="1995" w:space="1408"/>
        <w:col w:w="5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46FC6" w14:textId="77777777" w:rsidR="00F912D8" w:rsidRDefault="00F912D8">
      <w:r>
        <w:separator/>
      </w:r>
    </w:p>
  </w:endnote>
  <w:endnote w:type="continuationSeparator" w:id="0">
    <w:p w14:paraId="303E3E1D" w14:textId="77777777" w:rsidR="00F912D8" w:rsidRDefault="00F912D8">
      <w:r>
        <w:continuationSeparator/>
      </w:r>
    </w:p>
  </w:endnote>
  <w:endnote w:type="continuationNotice" w:id="1">
    <w:p w14:paraId="10A53801" w14:textId="77777777" w:rsidR="00F912D8" w:rsidRDefault="00F91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E5C7" w14:textId="77777777" w:rsidR="00BF1E6C" w:rsidRDefault="00B51D34">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2F80571" wp14:editId="6FF581AF">
              <wp:simplePos x="0" y="0"/>
              <wp:positionH relativeFrom="page">
                <wp:posOffset>3813302</wp:posOffset>
              </wp:positionH>
              <wp:positionV relativeFrom="page">
                <wp:posOffset>9273737</wp:posOffset>
              </wp:positionV>
              <wp:extent cx="15875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0340"/>
                      </a:xfrm>
                      <a:prstGeom prst="rect">
                        <a:avLst/>
                      </a:prstGeom>
                    </wps:spPr>
                    <wps:txbx>
                      <w:txbxContent>
                        <w:p w14:paraId="387D1B46" w14:textId="77777777" w:rsidR="00BF1E6C" w:rsidRDefault="00B51D34">
                          <w:pPr>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32F80571" id="_x0000_t202" coordsize="21600,21600" o:spt="202" path="m,l,21600r21600,l21600,xe">
              <v:stroke joinstyle="miter"/>
              <v:path gradientshapeok="t" o:connecttype="rect"/>
            </v:shapetype>
            <v:shape id="Textbox 1" o:spid="_x0000_s1026" type="#_x0000_t202" style="position:absolute;margin-left:300.25pt;margin-top:730.2pt;width:12.5pt;height:14.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" filled="f" stroked="f">
              <v:textbox inset="0,0,0,0">
                <w:txbxContent>
                  <w:p w14:paraId="387D1B46" w14:textId="77777777" w:rsidR="00BF1E6C" w:rsidRDefault="00B51D34">
                    <w:pPr>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2A3B1" w14:textId="77777777" w:rsidR="00F912D8" w:rsidRDefault="00F912D8">
      <w:r>
        <w:separator/>
      </w:r>
    </w:p>
  </w:footnote>
  <w:footnote w:type="continuationSeparator" w:id="0">
    <w:p w14:paraId="7D1FDACD" w14:textId="77777777" w:rsidR="00F912D8" w:rsidRDefault="00F912D8">
      <w:r>
        <w:continuationSeparator/>
      </w:r>
    </w:p>
  </w:footnote>
  <w:footnote w:type="continuationNotice" w:id="1">
    <w:p w14:paraId="5C78612F" w14:textId="77777777" w:rsidR="00F912D8" w:rsidRDefault="00F912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04162"/>
    <w:multiLevelType w:val="hybridMultilevel"/>
    <w:tmpl w:val="30E6464C"/>
    <w:lvl w:ilvl="0" w:tplc="8D0EBB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2659B"/>
    <w:multiLevelType w:val="multilevel"/>
    <w:tmpl w:val="F2B24884"/>
    <w:lvl w:ilvl="0">
      <w:start w:val="1"/>
      <w:numFmt w:val="decimal"/>
      <w:lvlText w:val="%1."/>
      <w:lvlJc w:val="left"/>
      <w:pPr>
        <w:ind w:left="460" w:hanging="360"/>
      </w:pPr>
      <w:rPr>
        <w:rFonts w:ascii="Arial" w:eastAsia="Arial" w:hAnsi="Arial" w:cs="Arial" w:hint="default"/>
        <w:b/>
        <w:bCs/>
        <w:i w:val="0"/>
        <w:iCs w:val="0"/>
        <w:spacing w:val="-1"/>
        <w:w w:val="100"/>
        <w:sz w:val="18"/>
        <w:szCs w:val="18"/>
        <w:lang w:val="en-US" w:eastAsia="en-US" w:bidi="ar-SA"/>
      </w:rPr>
    </w:lvl>
    <w:lvl w:ilvl="1">
      <w:start w:val="1"/>
      <w:numFmt w:val="decimal"/>
      <w:lvlText w:val="%1.%2"/>
      <w:lvlJc w:val="left"/>
      <w:pPr>
        <w:ind w:left="460" w:hanging="360"/>
      </w:pPr>
      <w:rPr>
        <w:rFonts w:ascii="Arial" w:eastAsia="Arial" w:hAnsi="Arial" w:cs="Arial" w:hint="default"/>
        <w:b/>
        <w:bCs/>
        <w:i w:val="0"/>
        <w:iCs w:val="0"/>
        <w:spacing w:val="0"/>
        <w:w w:val="99"/>
        <w:sz w:val="18"/>
        <w:szCs w:val="18"/>
        <w:lang w:val="en-US" w:eastAsia="en-US" w:bidi="ar-SA"/>
      </w:rPr>
    </w:lvl>
    <w:lvl w:ilvl="2">
      <w:numFmt w:val="bullet"/>
      <w:lvlText w:val=""/>
      <w:lvlJc w:val="left"/>
      <w:pPr>
        <w:ind w:left="820" w:hanging="361"/>
      </w:pPr>
      <w:rPr>
        <w:rFonts w:ascii="Symbol" w:eastAsia="Symbol" w:hAnsi="Symbol" w:cs="Symbol" w:hint="default"/>
        <w:b w:val="0"/>
        <w:bCs w:val="0"/>
        <w:i w:val="0"/>
        <w:iCs w:val="0"/>
        <w:spacing w:val="0"/>
        <w:w w:val="100"/>
        <w:sz w:val="18"/>
        <w:szCs w:val="18"/>
        <w:lang w:val="en-US" w:eastAsia="en-US" w:bidi="ar-SA"/>
      </w:rPr>
    </w:lvl>
    <w:lvl w:ilvl="3">
      <w:numFmt w:val="bullet"/>
      <w:lvlText w:val="•"/>
      <w:lvlJc w:val="left"/>
      <w:pPr>
        <w:ind w:left="2784" w:hanging="361"/>
      </w:pPr>
      <w:rPr>
        <w:rFonts w:hint="default"/>
        <w:lang w:val="en-US" w:eastAsia="en-US" w:bidi="ar-SA"/>
      </w:rPr>
    </w:lvl>
    <w:lvl w:ilvl="4">
      <w:numFmt w:val="bullet"/>
      <w:lvlText w:val="•"/>
      <w:lvlJc w:val="left"/>
      <w:pPr>
        <w:ind w:left="3766" w:hanging="361"/>
      </w:pPr>
      <w:rPr>
        <w:rFonts w:hint="default"/>
        <w:lang w:val="en-US" w:eastAsia="en-US" w:bidi="ar-SA"/>
      </w:rPr>
    </w:lvl>
    <w:lvl w:ilvl="5">
      <w:numFmt w:val="bullet"/>
      <w:lvlText w:val="•"/>
      <w:lvlJc w:val="left"/>
      <w:pPr>
        <w:ind w:left="4748" w:hanging="361"/>
      </w:pPr>
      <w:rPr>
        <w:rFonts w:hint="default"/>
        <w:lang w:val="en-US" w:eastAsia="en-US" w:bidi="ar-SA"/>
      </w:rPr>
    </w:lvl>
    <w:lvl w:ilvl="6">
      <w:numFmt w:val="bullet"/>
      <w:lvlText w:val="•"/>
      <w:lvlJc w:val="left"/>
      <w:pPr>
        <w:ind w:left="5731" w:hanging="361"/>
      </w:pPr>
      <w:rPr>
        <w:rFonts w:hint="default"/>
        <w:lang w:val="en-US" w:eastAsia="en-US" w:bidi="ar-SA"/>
      </w:rPr>
    </w:lvl>
    <w:lvl w:ilvl="7">
      <w:numFmt w:val="bullet"/>
      <w:lvlText w:val="•"/>
      <w:lvlJc w:val="left"/>
      <w:pPr>
        <w:ind w:left="6713" w:hanging="361"/>
      </w:pPr>
      <w:rPr>
        <w:rFonts w:hint="default"/>
        <w:lang w:val="en-US" w:eastAsia="en-US" w:bidi="ar-SA"/>
      </w:rPr>
    </w:lvl>
    <w:lvl w:ilvl="8">
      <w:numFmt w:val="bullet"/>
      <w:lvlText w:val="•"/>
      <w:lvlJc w:val="left"/>
      <w:pPr>
        <w:ind w:left="7695" w:hanging="361"/>
      </w:pPr>
      <w:rPr>
        <w:rFonts w:hint="default"/>
        <w:lang w:val="en-US" w:eastAsia="en-US" w:bidi="ar-SA"/>
      </w:rPr>
    </w:lvl>
  </w:abstractNum>
  <w:abstractNum w:abstractNumId="2" w15:restartNumberingAfterBreak="0">
    <w:nsid w:val="53FE70D0"/>
    <w:multiLevelType w:val="multilevel"/>
    <w:tmpl w:val="DC8A48AA"/>
    <w:lvl w:ilvl="0">
      <w:start w:val="1"/>
      <w:numFmt w:val="lowerRoman"/>
      <w:lvlText w:val="%1."/>
      <w:lvlJc w:val="right"/>
      <w:pPr>
        <w:ind w:left="819" w:hanging="360"/>
      </w:pPr>
      <w:rPr>
        <w:rFonts w:hint="default"/>
        <w:b/>
        <w:bCs/>
        <w:i w:val="0"/>
        <w:iCs w:val="0"/>
        <w:spacing w:val="-1"/>
        <w:w w:val="100"/>
        <w:sz w:val="18"/>
        <w:szCs w:val="18"/>
        <w:lang w:val="en-US" w:eastAsia="en-US" w:bidi="ar-SA"/>
      </w:rPr>
    </w:lvl>
    <w:lvl w:ilvl="1">
      <w:start w:val="1"/>
      <w:numFmt w:val="decimal"/>
      <w:lvlText w:val="%1.%2"/>
      <w:lvlJc w:val="left"/>
      <w:pPr>
        <w:ind w:left="819" w:hanging="360"/>
      </w:pPr>
      <w:rPr>
        <w:rFonts w:ascii="Arial" w:eastAsia="Arial" w:hAnsi="Arial" w:cs="Arial" w:hint="default"/>
        <w:b/>
        <w:bCs/>
        <w:i w:val="0"/>
        <w:iCs w:val="0"/>
        <w:spacing w:val="0"/>
        <w:w w:val="99"/>
        <w:sz w:val="18"/>
        <w:szCs w:val="18"/>
        <w:lang w:val="en-US" w:eastAsia="en-US" w:bidi="ar-SA"/>
      </w:rPr>
    </w:lvl>
    <w:lvl w:ilvl="2">
      <w:numFmt w:val="bullet"/>
      <w:lvlText w:val=""/>
      <w:lvlJc w:val="left"/>
      <w:pPr>
        <w:ind w:left="1179" w:hanging="361"/>
      </w:pPr>
      <w:rPr>
        <w:rFonts w:ascii="Symbol" w:eastAsia="Symbol" w:hAnsi="Symbol" w:cs="Symbol" w:hint="default"/>
        <w:b w:val="0"/>
        <w:bCs w:val="0"/>
        <w:i w:val="0"/>
        <w:iCs w:val="0"/>
        <w:spacing w:val="0"/>
        <w:w w:val="100"/>
        <w:sz w:val="18"/>
        <w:szCs w:val="18"/>
        <w:lang w:val="en-US" w:eastAsia="en-US" w:bidi="ar-SA"/>
      </w:rPr>
    </w:lvl>
    <w:lvl w:ilvl="3">
      <w:numFmt w:val="bullet"/>
      <w:lvlText w:val="•"/>
      <w:lvlJc w:val="left"/>
      <w:pPr>
        <w:ind w:left="3143" w:hanging="361"/>
      </w:pPr>
      <w:rPr>
        <w:rFonts w:hint="default"/>
        <w:lang w:val="en-US" w:eastAsia="en-US" w:bidi="ar-SA"/>
      </w:rPr>
    </w:lvl>
    <w:lvl w:ilvl="4">
      <w:numFmt w:val="bullet"/>
      <w:lvlText w:val="•"/>
      <w:lvlJc w:val="left"/>
      <w:pPr>
        <w:ind w:left="4125" w:hanging="361"/>
      </w:pPr>
      <w:rPr>
        <w:rFonts w:hint="default"/>
        <w:lang w:val="en-US" w:eastAsia="en-US" w:bidi="ar-SA"/>
      </w:rPr>
    </w:lvl>
    <w:lvl w:ilvl="5">
      <w:numFmt w:val="bullet"/>
      <w:lvlText w:val="•"/>
      <w:lvlJc w:val="left"/>
      <w:pPr>
        <w:ind w:left="5107" w:hanging="361"/>
      </w:pPr>
      <w:rPr>
        <w:rFonts w:hint="default"/>
        <w:lang w:val="en-US" w:eastAsia="en-US" w:bidi="ar-SA"/>
      </w:rPr>
    </w:lvl>
    <w:lvl w:ilvl="6">
      <w:numFmt w:val="bullet"/>
      <w:lvlText w:val="•"/>
      <w:lvlJc w:val="left"/>
      <w:pPr>
        <w:ind w:left="6090" w:hanging="361"/>
      </w:pPr>
      <w:rPr>
        <w:rFonts w:hint="default"/>
        <w:lang w:val="en-US" w:eastAsia="en-US" w:bidi="ar-SA"/>
      </w:rPr>
    </w:lvl>
    <w:lvl w:ilvl="7">
      <w:numFmt w:val="bullet"/>
      <w:lvlText w:val="•"/>
      <w:lvlJc w:val="left"/>
      <w:pPr>
        <w:ind w:left="7072" w:hanging="361"/>
      </w:pPr>
      <w:rPr>
        <w:rFonts w:hint="default"/>
        <w:lang w:val="en-US" w:eastAsia="en-US" w:bidi="ar-SA"/>
      </w:rPr>
    </w:lvl>
    <w:lvl w:ilvl="8">
      <w:numFmt w:val="bullet"/>
      <w:lvlText w:val="•"/>
      <w:lvlJc w:val="left"/>
      <w:pPr>
        <w:ind w:left="8054" w:hanging="361"/>
      </w:pPr>
      <w:rPr>
        <w:rFonts w:hint="default"/>
        <w:lang w:val="en-US" w:eastAsia="en-US" w:bidi="ar-SA"/>
      </w:rPr>
    </w:lvl>
  </w:abstractNum>
  <w:num w:numId="1" w16cid:durableId="2124184814">
    <w:abstractNumId w:val="1"/>
  </w:num>
  <w:num w:numId="2" w16cid:durableId="209388899">
    <w:abstractNumId w:val="0"/>
  </w:num>
  <w:num w:numId="3" w16cid:durableId="1010990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savePreviewPicture/>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6C"/>
    <w:rsid w:val="00006F09"/>
    <w:rsid w:val="000108C7"/>
    <w:rsid w:val="00017E9C"/>
    <w:rsid w:val="00035728"/>
    <w:rsid w:val="00042081"/>
    <w:rsid w:val="00044AFD"/>
    <w:rsid w:val="000544B1"/>
    <w:rsid w:val="00054795"/>
    <w:rsid w:val="00064848"/>
    <w:rsid w:val="00085CB2"/>
    <w:rsid w:val="000B1CD4"/>
    <w:rsid w:val="000C3D5C"/>
    <w:rsid w:val="000D22AC"/>
    <w:rsid w:val="000E634D"/>
    <w:rsid w:val="000F07F7"/>
    <w:rsid w:val="001224D6"/>
    <w:rsid w:val="001361A7"/>
    <w:rsid w:val="00146BB8"/>
    <w:rsid w:val="00152D3F"/>
    <w:rsid w:val="001838D8"/>
    <w:rsid w:val="001870EA"/>
    <w:rsid w:val="00192D88"/>
    <w:rsid w:val="00194167"/>
    <w:rsid w:val="001A4556"/>
    <w:rsid w:val="001C0741"/>
    <w:rsid w:val="001F2D39"/>
    <w:rsid w:val="001F51E3"/>
    <w:rsid w:val="0020688C"/>
    <w:rsid w:val="002108BB"/>
    <w:rsid w:val="002169F2"/>
    <w:rsid w:val="00220D28"/>
    <w:rsid w:val="00246642"/>
    <w:rsid w:val="00277FAE"/>
    <w:rsid w:val="002A0E44"/>
    <w:rsid w:val="002A540E"/>
    <w:rsid w:val="002A6116"/>
    <w:rsid w:val="002B6DC1"/>
    <w:rsid w:val="002D14D0"/>
    <w:rsid w:val="002E0E91"/>
    <w:rsid w:val="002F0F75"/>
    <w:rsid w:val="003221DA"/>
    <w:rsid w:val="00324A7B"/>
    <w:rsid w:val="00334B04"/>
    <w:rsid w:val="0034142E"/>
    <w:rsid w:val="003457E0"/>
    <w:rsid w:val="00376B62"/>
    <w:rsid w:val="003936F5"/>
    <w:rsid w:val="00397EC1"/>
    <w:rsid w:val="003A587D"/>
    <w:rsid w:val="003B1FEA"/>
    <w:rsid w:val="003C550D"/>
    <w:rsid w:val="003C750A"/>
    <w:rsid w:val="0040039A"/>
    <w:rsid w:val="00413A8A"/>
    <w:rsid w:val="00417AC8"/>
    <w:rsid w:val="00422688"/>
    <w:rsid w:val="00453383"/>
    <w:rsid w:val="00460818"/>
    <w:rsid w:val="0046549B"/>
    <w:rsid w:val="00477B42"/>
    <w:rsid w:val="00485D7E"/>
    <w:rsid w:val="0049181B"/>
    <w:rsid w:val="004D7819"/>
    <w:rsid w:val="004E0718"/>
    <w:rsid w:val="004E5A23"/>
    <w:rsid w:val="00502633"/>
    <w:rsid w:val="0051232C"/>
    <w:rsid w:val="00517793"/>
    <w:rsid w:val="00524E2E"/>
    <w:rsid w:val="0054596F"/>
    <w:rsid w:val="00554461"/>
    <w:rsid w:val="00577353"/>
    <w:rsid w:val="00580D4A"/>
    <w:rsid w:val="00590662"/>
    <w:rsid w:val="0059634F"/>
    <w:rsid w:val="005A02F7"/>
    <w:rsid w:val="005A2FBB"/>
    <w:rsid w:val="005D5C46"/>
    <w:rsid w:val="005D6313"/>
    <w:rsid w:val="005F54A1"/>
    <w:rsid w:val="005F7046"/>
    <w:rsid w:val="0060247A"/>
    <w:rsid w:val="00603472"/>
    <w:rsid w:val="00607C85"/>
    <w:rsid w:val="006131E6"/>
    <w:rsid w:val="006151A2"/>
    <w:rsid w:val="0063724C"/>
    <w:rsid w:val="00666994"/>
    <w:rsid w:val="00682663"/>
    <w:rsid w:val="00683876"/>
    <w:rsid w:val="006838C1"/>
    <w:rsid w:val="00687A64"/>
    <w:rsid w:val="00695C99"/>
    <w:rsid w:val="006A35D3"/>
    <w:rsid w:val="006A4988"/>
    <w:rsid w:val="006A7139"/>
    <w:rsid w:val="006C4334"/>
    <w:rsid w:val="006D10F0"/>
    <w:rsid w:val="006E4FBF"/>
    <w:rsid w:val="00715B62"/>
    <w:rsid w:val="0072134C"/>
    <w:rsid w:val="00724E7B"/>
    <w:rsid w:val="00730990"/>
    <w:rsid w:val="00736CE1"/>
    <w:rsid w:val="00751C05"/>
    <w:rsid w:val="00761092"/>
    <w:rsid w:val="00771D53"/>
    <w:rsid w:val="00774F96"/>
    <w:rsid w:val="00781D42"/>
    <w:rsid w:val="00792424"/>
    <w:rsid w:val="007C6639"/>
    <w:rsid w:val="007D5CBD"/>
    <w:rsid w:val="007E415D"/>
    <w:rsid w:val="008162AA"/>
    <w:rsid w:val="008251A0"/>
    <w:rsid w:val="00853569"/>
    <w:rsid w:val="00855853"/>
    <w:rsid w:val="0085720A"/>
    <w:rsid w:val="00873615"/>
    <w:rsid w:val="00882351"/>
    <w:rsid w:val="008849DE"/>
    <w:rsid w:val="008B7A2E"/>
    <w:rsid w:val="008C3D16"/>
    <w:rsid w:val="008C4D73"/>
    <w:rsid w:val="008F292B"/>
    <w:rsid w:val="00901C4E"/>
    <w:rsid w:val="00915608"/>
    <w:rsid w:val="009209B7"/>
    <w:rsid w:val="009378F0"/>
    <w:rsid w:val="009446A9"/>
    <w:rsid w:val="009973F7"/>
    <w:rsid w:val="009A200A"/>
    <w:rsid w:val="009A7F24"/>
    <w:rsid w:val="009B4E68"/>
    <w:rsid w:val="009B5CE4"/>
    <w:rsid w:val="009C03CE"/>
    <w:rsid w:val="009C5DC8"/>
    <w:rsid w:val="009C618C"/>
    <w:rsid w:val="009D1110"/>
    <w:rsid w:val="00A3228C"/>
    <w:rsid w:val="00A32404"/>
    <w:rsid w:val="00A36527"/>
    <w:rsid w:val="00A44FB4"/>
    <w:rsid w:val="00A45805"/>
    <w:rsid w:val="00A8427E"/>
    <w:rsid w:val="00A8660B"/>
    <w:rsid w:val="00AA41C4"/>
    <w:rsid w:val="00AC32A5"/>
    <w:rsid w:val="00AE3896"/>
    <w:rsid w:val="00B0337B"/>
    <w:rsid w:val="00B11CBA"/>
    <w:rsid w:val="00B42590"/>
    <w:rsid w:val="00B456C3"/>
    <w:rsid w:val="00B47476"/>
    <w:rsid w:val="00B51D34"/>
    <w:rsid w:val="00B65CAA"/>
    <w:rsid w:val="00B6634A"/>
    <w:rsid w:val="00B9164B"/>
    <w:rsid w:val="00BA67B6"/>
    <w:rsid w:val="00BC1EE6"/>
    <w:rsid w:val="00BC6F15"/>
    <w:rsid w:val="00BD6049"/>
    <w:rsid w:val="00BE2DFA"/>
    <w:rsid w:val="00BF1E6C"/>
    <w:rsid w:val="00BF2843"/>
    <w:rsid w:val="00C020E6"/>
    <w:rsid w:val="00C255E3"/>
    <w:rsid w:val="00C52AFD"/>
    <w:rsid w:val="00C80C2E"/>
    <w:rsid w:val="00CA027D"/>
    <w:rsid w:val="00CA4A2C"/>
    <w:rsid w:val="00CB7B03"/>
    <w:rsid w:val="00CC272F"/>
    <w:rsid w:val="00CC32DA"/>
    <w:rsid w:val="00CD637A"/>
    <w:rsid w:val="00D1386D"/>
    <w:rsid w:val="00D139BB"/>
    <w:rsid w:val="00D27800"/>
    <w:rsid w:val="00D50A47"/>
    <w:rsid w:val="00D52847"/>
    <w:rsid w:val="00D55395"/>
    <w:rsid w:val="00D60466"/>
    <w:rsid w:val="00D70323"/>
    <w:rsid w:val="00D73FF7"/>
    <w:rsid w:val="00D76E6E"/>
    <w:rsid w:val="00D83A8D"/>
    <w:rsid w:val="00DA3BD7"/>
    <w:rsid w:val="00DB4756"/>
    <w:rsid w:val="00DB71AC"/>
    <w:rsid w:val="00DB77FA"/>
    <w:rsid w:val="00DE649A"/>
    <w:rsid w:val="00DF6D92"/>
    <w:rsid w:val="00E01522"/>
    <w:rsid w:val="00E229D0"/>
    <w:rsid w:val="00E404D3"/>
    <w:rsid w:val="00E40E36"/>
    <w:rsid w:val="00E76EFC"/>
    <w:rsid w:val="00E959E6"/>
    <w:rsid w:val="00EA5BC5"/>
    <w:rsid w:val="00EA6750"/>
    <w:rsid w:val="00EB5436"/>
    <w:rsid w:val="00EB5443"/>
    <w:rsid w:val="00EF3A7F"/>
    <w:rsid w:val="00F1568D"/>
    <w:rsid w:val="00F27D0C"/>
    <w:rsid w:val="00F51665"/>
    <w:rsid w:val="00F62E68"/>
    <w:rsid w:val="00F711F2"/>
    <w:rsid w:val="00F72593"/>
    <w:rsid w:val="00F74BD0"/>
    <w:rsid w:val="00F873CA"/>
    <w:rsid w:val="00F90FA2"/>
    <w:rsid w:val="00F912D8"/>
    <w:rsid w:val="00FA0631"/>
    <w:rsid w:val="00FA771E"/>
    <w:rsid w:val="00FB7FB7"/>
    <w:rsid w:val="00FD4366"/>
    <w:rsid w:val="00FD56F6"/>
    <w:rsid w:val="00FF5E14"/>
    <w:rsid w:val="08C24383"/>
    <w:rsid w:val="25480B04"/>
    <w:rsid w:val="29591DBF"/>
    <w:rsid w:val="6D0CD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C282"/>
  <w15:docId w15:val="{7FC10913-31E3-41AA-957F-F8C8E27D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459" w:hanging="359"/>
      <w:outlineLvl w:val="0"/>
    </w:pPr>
    <w:rPr>
      <w:b/>
      <w:bCs/>
      <w:sz w:val="18"/>
      <w:szCs w:val="18"/>
    </w:rPr>
  </w:style>
  <w:style w:type="paragraph" w:styleId="Heading2">
    <w:name w:val="heading 2"/>
    <w:basedOn w:val="Normal"/>
    <w:next w:val="Normal"/>
    <w:link w:val="Heading2Char"/>
    <w:uiPriority w:val="9"/>
    <w:qFormat/>
    <w:rsid w:val="00D27800"/>
    <w:pPr>
      <w:keepNext/>
      <w:keepLines/>
      <w:widowControl/>
      <w:tabs>
        <w:tab w:val="num" w:pos="284"/>
      </w:tabs>
      <w:autoSpaceDE/>
      <w:autoSpaceDN/>
      <w:spacing w:before="220" w:after="140" w:line="280" w:lineRule="atLeast"/>
      <w:ind w:hanging="170"/>
      <w:outlineLvl w:val="1"/>
    </w:pPr>
    <w:rPr>
      <w:rFonts w:ascii="Calibri" w:eastAsiaTheme="majorEastAsia" w:hAnsi="Calibri" w:cstheme="majorBidi"/>
      <w:b/>
      <w:bCs/>
      <w:color w:val="000000" w:themeColor="text1"/>
      <w:sz w:val="24"/>
      <w:szCs w:val="26"/>
      <w:lang w:val="en-GB"/>
    </w:rPr>
  </w:style>
  <w:style w:type="paragraph" w:styleId="Heading3">
    <w:name w:val="heading 3"/>
    <w:basedOn w:val="Normal"/>
    <w:next w:val="Normal"/>
    <w:link w:val="Heading3Char"/>
    <w:uiPriority w:val="9"/>
    <w:qFormat/>
    <w:rsid w:val="00D27800"/>
    <w:pPr>
      <w:keepNext/>
      <w:keepLines/>
      <w:widowControl/>
      <w:tabs>
        <w:tab w:val="num" w:pos="284"/>
      </w:tabs>
      <w:autoSpaceDE/>
      <w:autoSpaceDN/>
      <w:spacing w:before="200" w:after="140" w:line="260" w:lineRule="atLeast"/>
      <w:ind w:hanging="170"/>
      <w:outlineLvl w:val="2"/>
    </w:pPr>
    <w:rPr>
      <w:rFonts w:asciiTheme="minorHAnsi" w:eastAsiaTheme="majorEastAsia" w:hAnsiTheme="minorHAnsi" w:cstheme="majorBidi"/>
      <w:b/>
      <w:bCs/>
      <w:lang w:val="en-GB"/>
    </w:rPr>
  </w:style>
  <w:style w:type="paragraph" w:styleId="Heading4">
    <w:name w:val="heading 4"/>
    <w:basedOn w:val="Normal"/>
    <w:next w:val="Normal"/>
    <w:link w:val="Heading4Char"/>
    <w:uiPriority w:val="9"/>
    <w:unhideWhenUsed/>
    <w:qFormat/>
    <w:rsid w:val="00D27800"/>
    <w:pPr>
      <w:keepNext/>
      <w:keepLines/>
      <w:widowControl/>
      <w:tabs>
        <w:tab w:val="num" w:pos="284"/>
      </w:tabs>
      <w:autoSpaceDE/>
      <w:autoSpaceDN/>
      <w:spacing w:before="180" w:after="140" w:line="240" w:lineRule="atLeast"/>
      <w:ind w:hanging="170"/>
      <w:outlineLvl w:val="3"/>
    </w:pPr>
    <w:rPr>
      <w:rFonts w:ascii="Calibri" w:eastAsiaTheme="majorEastAsia" w:hAnsi="Calibri" w:cstheme="majorBidi"/>
      <w:b/>
      <w:bCs/>
      <w:iCs/>
      <w:sz w:val="20"/>
      <w:lang w:val="en-GB"/>
    </w:rPr>
  </w:style>
  <w:style w:type="paragraph" w:styleId="Heading5">
    <w:name w:val="heading 5"/>
    <w:basedOn w:val="Normal"/>
    <w:next w:val="Normal"/>
    <w:link w:val="Heading5Char"/>
    <w:uiPriority w:val="9"/>
    <w:unhideWhenUsed/>
    <w:qFormat/>
    <w:rsid w:val="00D27800"/>
    <w:pPr>
      <w:keepNext/>
      <w:keepLines/>
      <w:widowControl/>
      <w:tabs>
        <w:tab w:val="num" w:pos="284"/>
      </w:tabs>
      <w:autoSpaceDE/>
      <w:autoSpaceDN/>
      <w:spacing w:before="160" w:after="140" w:line="240" w:lineRule="atLeast"/>
      <w:ind w:hanging="170"/>
      <w:outlineLvl w:val="4"/>
    </w:pPr>
    <w:rPr>
      <w:rFonts w:ascii="Calibri" w:eastAsiaTheme="majorEastAsia" w:hAnsi="Calibri" w:cstheme="majorBidi"/>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45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8427E"/>
    <w:rPr>
      <w:color w:val="0000FF" w:themeColor="hyperlink"/>
      <w:u w:val="single"/>
    </w:rPr>
  </w:style>
  <w:style w:type="character" w:styleId="UnresolvedMention">
    <w:name w:val="Unresolved Mention"/>
    <w:basedOn w:val="DefaultParagraphFont"/>
    <w:uiPriority w:val="99"/>
    <w:semiHidden/>
    <w:unhideWhenUsed/>
    <w:rsid w:val="00A8427E"/>
    <w:rPr>
      <w:color w:val="605E5C"/>
      <w:shd w:val="clear" w:color="auto" w:fill="E1DFDD"/>
    </w:rPr>
  </w:style>
  <w:style w:type="table" w:styleId="TableGrid">
    <w:name w:val="Table Grid"/>
    <w:basedOn w:val="TableNormal"/>
    <w:uiPriority w:val="59"/>
    <w:rsid w:val="002169F2"/>
    <w:pPr>
      <w:widowControl/>
      <w:autoSpaceDE/>
      <w:autoSpaceDN/>
    </w:pPr>
    <w:rPr>
      <w:rFonts w:ascii="Arial" w:hAnsi="Arial"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small">
    <w:name w:val="Table text small"/>
    <w:basedOn w:val="Normal"/>
    <w:qFormat/>
    <w:rsid w:val="002169F2"/>
    <w:pPr>
      <w:widowControl/>
      <w:autoSpaceDE/>
      <w:autoSpaceDN/>
      <w:spacing w:line="200" w:lineRule="atLeast"/>
    </w:pPr>
    <w:rPr>
      <w:rFonts w:asciiTheme="minorHAnsi" w:eastAsiaTheme="minorHAnsi" w:hAnsiTheme="minorHAnsi" w:cstheme="minorBidi"/>
      <w:color w:val="4F81BD" w:themeColor="accent1"/>
      <w:sz w:val="18"/>
    </w:rPr>
  </w:style>
  <w:style w:type="paragraph" w:customStyle="1" w:styleId="Tabletitlessmall">
    <w:name w:val="Table titles small"/>
    <w:basedOn w:val="Normal"/>
    <w:qFormat/>
    <w:rsid w:val="002169F2"/>
    <w:pPr>
      <w:widowControl/>
      <w:autoSpaceDE/>
      <w:autoSpaceDN/>
      <w:spacing w:line="250" w:lineRule="atLeast"/>
    </w:pPr>
    <w:rPr>
      <w:rFonts w:asciiTheme="minorHAnsi" w:eastAsiaTheme="minorHAnsi" w:hAnsiTheme="minorHAnsi" w:cstheme="minorBidi"/>
      <w:b/>
      <w:color w:val="1F497D" w:themeColor="text2"/>
      <w:sz w:val="20"/>
    </w:rPr>
  </w:style>
  <w:style w:type="character" w:customStyle="1" w:styleId="Heading2Char">
    <w:name w:val="Heading 2 Char"/>
    <w:basedOn w:val="DefaultParagraphFont"/>
    <w:link w:val="Heading2"/>
    <w:uiPriority w:val="9"/>
    <w:rsid w:val="00D27800"/>
    <w:rPr>
      <w:rFonts w:ascii="Calibri" w:eastAsiaTheme="majorEastAsia" w:hAnsi="Calibri" w:cstheme="majorBidi"/>
      <w:b/>
      <w:bCs/>
      <w:color w:val="000000" w:themeColor="text1"/>
      <w:sz w:val="24"/>
      <w:szCs w:val="26"/>
      <w:lang w:val="en-GB"/>
    </w:rPr>
  </w:style>
  <w:style w:type="character" w:customStyle="1" w:styleId="Heading3Char">
    <w:name w:val="Heading 3 Char"/>
    <w:basedOn w:val="DefaultParagraphFont"/>
    <w:link w:val="Heading3"/>
    <w:uiPriority w:val="9"/>
    <w:rsid w:val="00D27800"/>
    <w:rPr>
      <w:rFonts w:eastAsiaTheme="majorEastAsia" w:cstheme="majorBidi"/>
      <w:b/>
      <w:bCs/>
      <w:lang w:val="en-GB"/>
    </w:rPr>
  </w:style>
  <w:style w:type="character" w:customStyle="1" w:styleId="Heading4Char">
    <w:name w:val="Heading 4 Char"/>
    <w:basedOn w:val="DefaultParagraphFont"/>
    <w:link w:val="Heading4"/>
    <w:uiPriority w:val="9"/>
    <w:rsid w:val="00D27800"/>
    <w:rPr>
      <w:rFonts w:ascii="Calibri" w:eastAsiaTheme="majorEastAsia" w:hAnsi="Calibri" w:cstheme="majorBidi"/>
      <w:b/>
      <w:bCs/>
      <w:iCs/>
      <w:sz w:val="20"/>
      <w:lang w:val="en-GB"/>
    </w:rPr>
  </w:style>
  <w:style w:type="character" w:customStyle="1" w:styleId="Heading5Char">
    <w:name w:val="Heading 5 Char"/>
    <w:basedOn w:val="DefaultParagraphFont"/>
    <w:link w:val="Heading5"/>
    <w:uiPriority w:val="9"/>
    <w:rsid w:val="00D27800"/>
    <w:rPr>
      <w:rFonts w:ascii="Calibri" w:eastAsiaTheme="majorEastAsia" w:hAnsi="Calibri" w:cstheme="majorBidi"/>
      <w:b/>
      <w:sz w:val="20"/>
      <w:lang w:val="en-GB"/>
    </w:rPr>
  </w:style>
  <w:style w:type="character" w:customStyle="1" w:styleId="Heading1Char">
    <w:name w:val="Heading 1 Char"/>
    <w:basedOn w:val="DefaultParagraphFont"/>
    <w:link w:val="Heading1"/>
    <w:uiPriority w:val="9"/>
    <w:rsid w:val="00D27800"/>
    <w:rPr>
      <w:rFonts w:ascii="Arial" w:eastAsia="Arial" w:hAnsi="Arial" w:cs="Arial"/>
      <w:b/>
      <w:bCs/>
      <w:sz w:val="18"/>
      <w:szCs w:val="18"/>
    </w:rPr>
  </w:style>
  <w:style w:type="character" w:styleId="CommentReference">
    <w:name w:val="annotation reference"/>
    <w:basedOn w:val="DefaultParagraphFont"/>
    <w:uiPriority w:val="99"/>
    <w:semiHidden/>
    <w:unhideWhenUsed/>
    <w:rsid w:val="00D27800"/>
    <w:rPr>
      <w:sz w:val="16"/>
      <w:szCs w:val="16"/>
    </w:rPr>
  </w:style>
  <w:style w:type="paragraph" w:styleId="CommentText">
    <w:name w:val="annotation text"/>
    <w:basedOn w:val="Normal"/>
    <w:link w:val="CommentTextChar"/>
    <w:uiPriority w:val="99"/>
    <w:unhideWhenUsed/>
    <w:rsid w:val="00D27800"/>
    <w:rPr>
      <w:sz w:val="20"/>
      <w:szCs w:val="20"/>
    </w:rPr>
  </w:style>
  <w:style w:type="character" w:customStyle="1" w:styleId="CommentTextChar">
    <w:name w:val="Comment Text Char"/>
    <w:basedOn w:val="DefaultParagraphFont"/>
    <w:link w:val="CommentText"/>
    <w:uiPriority w:val="99"/>
    <w:rsid w:val="00D2780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27800"/>
    <w:rPr>
      <w:b/>
      <w:bCs/>
    </w:rPr>
  </w:style>
  <w:style w:type="character" w:customStyle="1" w:styleId="CommentSubjectChar">
    <w:name w:val="Comment Subject Char"/>
    <w:basedOn w:val="CommentTextChar"/>
    <w:link w:val="CommentSubject"/>
    <w:uiPriority w:val="99"/>
    <w:semiHidden/>
    <w:rsid w:val="00D27800"/>
    <w:rPr>
      <w:rFonts w:ascii="Arial" w:eastAsia="Arial" w:hAnsi="Arial" w:cs="Arial"/>
      <w:b/>
      <w:bCs/>
      <w:sz w:val="20"/>
      <w:szCs w:val="20"/>
    </w:rPr>
  </w:style>
  <w:style w:type="paragraph" w:styleId="Revision">
    <w:name w:val="Revision"/>
    <w:hidden/>
    <w:uiPriority w:val="99"/>
    <w:semiHidden/>
    <w:rsid w:val="003936F5"/>
    <w:pPr>
      <w:widowControl/>
      <w:autoSpaceDE/>
      <w:autoSpaceDN/>
    </w:pPr>
    <w:rPr>
      <w:rFonts w:ascii="Arial" w:eastAsia="Arial" w:hAnsi="Arial" w:cs="Arial"/>
    </w:rPr>
  </w:style>
  <w:style w:type="paragraph" w:styleId="Header">
    <w:name w:val="header"/>
    <w:basedOn w:val="Normal"/>
    <w:link w:val="HeaderChar"/>
    <w:uiPriority w:val="99"/>
    <w:semiHidden/>
    <w:unhideWhenUsed/>
    <w:rsid w:val="00554461"/>
    <w:pPr>
      <w:tabs>
        <w:tab w:val="center" w:pos="4680"/>
        <w:tab w:val="right" w:pos="9360"/>
      </w:tabs>
    </w:pPr>
  </w:style>
  <w:style w:type="character" w:customStyle="1" w:styleId="HeaderChar">
    <w:name w:val="Header Char"/>
    <w:basedOn w:val="DefaultParagraphFont"/>
    <w:link w:val="Header"/>
    <w:uiPriority w:val="99"/>
    <w:semiHidden/>
    <w:rsid w:val="00554461"/>
    <w:rPr>
      <w:rFonts w:ascii="Arial" w:eastAsia="Arial" w:hAnsi="Arial" w:cs="Arial"/>
    </w:rPr>
  </w:style>
  <w:style w:type="paragraph" w:styleId="Footer">
    <w:name w:val="footer"/>
    <w:basedOn w:val="Normal"/>
    <w:link w:val="FooterChar"/>
    <w:uiPriority w:val="99"/>
    <w:semiHidden/>
    <w:unhideWhenUsed/>
    <w:rsid w:val="00554461"/>
    <w:pPr>
      <w:tabs>
        <w:tab w:val="center" w:pos="4680"/>
        <w:tab w:val="right" w:pos="9360"/>
      </w:tabs>
    </w:pPr>
  </w:style>
  <w:style w:type="character" w:customStyle="1" w:styleId="FooterChar">
    <w:name w:val="Footer Char"/>
    <w:basedOn w:val="DefaultParagraphFont"/>
    <w:link w:val="Footer"/>
    <w:uiPriority w:val="99"/>
    <w:semiHidden/>
    <w:rsid w:val="0055446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msadmins@morganstanle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0F09B-69D9-4BC0-8682-A0DB59C0B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1004</Words>
  <Characters>5727</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TASK ORDER #XXXXXX </vt:lpstr>
      <vt:lpstr>LibAMG Quantitative Engineers </vt:lpstr>
      <vt:lpstr>LibAMG performance, testing &amp; porting improvements</vt:lpstr>
      <vt:lpstr>Description of Services:</vt:lpstr>
      <vt:lpstr/>
      <vt:lpstr>Project Deliverables</vt:lpstr>
      <vt:lpstr/>
      <vt:lpstr>Financial Control Information</vt:lpstr>
      <vt:lpstr>Status Reports</vt:lpstr>
      <vt:lpstr>Insurance Certifications</vt:lpstr>
      <vt:lpstr>Notices</vt:lpstr>
      <vt:lpstr>IN WITNESS WHEREOF, the parties have caused this Task Order to be executed by th</vt:lpstr>
    </vt:vector>
  </TitlesOfParts>
  <Company/>
  <LinksUpToDate>false</LinksUpToDate>
  <CharactersWithSpaces>6718</CharactersWithSpaces>
  <SharedDoc>false</SharedDoc>
  <HLinks>
    <vt:vector size="6" baseType="variant">
      <vt:variant>
        <vt:i4>8061021</vt:i4>
      </vt:variant>
      <vt:variant>
        <vt:i4>0</vt:i4>
      </vt:variant>
      <vt:variant>
        <vt:i4>0</vt:i4>
      </vt:variant>
      <vt:variant>
        <vt:i4>5</vt:i4>
      </vt:variant>
      <vt:variant>
        <vt:lpwstr>mailto:cmsadmins@morganstanley.com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Veracka, Christopher (REM)</dc:creator>
  <cp:lastModifiedBy>Wells, Kevin (Bip.Monticello)</cp:lastModifiedBy>
  <cp:revision>38</cp:revision>
  <cp:lastPrinted>2025-02-19T13:25:00Z</cp:lastPrinted>
  <dcterms:created xsi:type="dcterms:W3CDTF">2025-02-18T22:44:00Z</dcterms:created>
  <dcterms:modified xsi:type="dcterms:W3CDTF">2025-02-19T14:28:00Z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Microsoft® Word for Microsoft 365</vt:lpwstr>
  </property>
  <property fmtid="{D5CDD505-2E9C-101B-9397-08002B2CF9AE}" pid="4" name="LastSaved">
    <vt:filetime>2024-08-05T00:00:00Z</vt:filetime>
  </property>
  <property fmtid="{D5CDD505-2E9C-101B-9397-08002B2CF9AE}" pid="5" name="Producer">
    <vt:lpwstr>Microsoft® Word for Microsoft 365</vt:lpwstr>
  </property>
</Properties>
</file>