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362A7A">
      <w:pPr>
        <w:keepNext w:val="0"/>
        <w:keepLines w:val="0"/>
        <w:pageBreakBefore w:val="0"/>
        <w:kinsoku/>
        <w:wordWrap/>
        <w:overflowPunct/>
        <w:topLinePunct w:val="0"/>
        <w:autoSpaceDE/>
        <w:autoSpaceDN/>
        <w:bidi w:val="0"/>
        <w:adjustRightInd/>
        <w:snapToGrid/>
        <w:spacing w:line="400" w:lineRule="exact"/>
        <w:jc w:val="center"/>
        <w:outlineLvl w:val="0"/>
        <w:rPr>
          <w:rFonts w:hint="default" w:ascii="Times New Roman" w:hAnsi="Times New Roman" w:eastAsia="黑体" w:cs="Times New Roman"/>
          <w:color w:val="000000" w:themeColor="text1"/>
          <w:sz w:val="36"/>
          <w:szCs w:val="36"/>
          <w:lang w:val="en-US" w:eastAsia="zh-CN"/>
          <w14:textFill>
            <w14:solidFill>
              <w14:schemeClr w14:val="tx1"/>
            </w14:solidFill>
          </w14:textFill>
        </w:rPr>
      </w:pPr>
      <w:bookmarkStart w:id="0" w:name="_Toc26069"/>
      <w:r>
        <w:rPr>
          <w:rFonts w:hint="eastAsia" w:ascii="Times New Roman" w:hAnsi="Times New Roman" w:eastAsia="黑体" w:cs="Times New Roman"/>
          <w:color w:val="000000" w:themeColor="text1"/>
          <w:sz w:val="36"/>
          <w:szCs w:val="36"/>
          <w:lang w:val="en-US" w:eastAsia="zh-CN"/>
          <w14:textFill>
            <w14:solidFill>
              <w14:schemeClr w14:val="tx1"/>
            </w14:solidFill>
          </w14:textFill>
        </w:rPr>
        <w:t>“</w:t>
      </w:r>
      <w:r>
        <w:rPr>
          <w:rFonts w:hint="default" w:ascii="Times New Roman" w:hAnsi="Times New Roman" w:eastAsia="黑体" w:cs="Times New Roman"/>
          <w:color w:val="000000" w:themeColor="text1"/>
          <w:sz w:val="36"/>
          <w:szCs w:val="36"/>
          <w:lang w:val="en-US" w:eastAsia="zh-CN"/>
          <w14:textFill>
            <w14:solidFill>
              <w14:schemeClr w14:val="tx1"/>
            </w14:solidFill>
          </w14:textFill>
        </w:rPr>
        <w:t>魔道祖师何以谷动人心？</w:t>
      </w:r>
      <w:r>
        <w:rPr>
          <w:rFonts w:hint="eastAsia" w:ascii="Times New Roman" w:hAnsi="Times New Roman" w:eastAsia="黑体" w:cs="Times New Roman"/>
          <w:color w:val="000000" w:themeColor="text1"/>
          <w:sz w:val="36"/>
          <w:szCs w:val="36"/>
          <w:lang w:val="en-US" w:eastAsia="zh-CN"/>
          <w14:textFill>
            <w14:solidFill>
              <w14:schemeClr w14:val="tx1"/>
            </w14:solidFill>
          </w14:textFill>
        </w:rPr>
        <w:t>”</w:t>
      </w:r>
      <w:r>
        <w:rPr>
          <w:rFonts w:hint="default" w:ascii="Times New Roman" w:hAnsi="Times New Roman" w:eastAsia="黑体" w:cs="Times New Roman"/>
          <w:color w:val="000000" w:themeColor="text1"/>
          <w:sz w:val="36"/>
          <w:szCs w:val="36"/>
          <w:lang w:val="en-US" w:eastAsia="zh-CN"/>
          <w14:textFill>
            <w14:solidFill>
              <w14:schemeClr w14:val="tx1"/>
            </w14:solidFill>
          </w14:textFill>
        </w:rPr>
        <w:t>——</w:t>
      </w:r>
      <w:r>
        <w:rPr>
          <w:rFonts w:hint="eastAsia" w:ascii="Times New Roman" w:hAnsi="Times New Roman" w:eastAsia="黑体" w:cs="Times New Roman"/>
          <w:color w:val="000000" w:themeColor="text1"/>
          <w:sz w:val="36"/>
          <w:szCs w:val="36"/>
          <w:lang w:val="en-US" w:eastAsia="zh-CN"/>
          <w14:textFill>
            <w14:solidFill>
              <w14:schemeClr w14:val="tx1"/>
            </w14:solidFill>
          </w14:textFill>
        </w:rPr>
        <w:t>基于Python和社媒大数据</w:t>
      </w:r>
      <w:r>
        <w:rPr>
          <w:rFonts w:hint="default" w:ascii="Times New Roman" w:hAnsi="Times New Roman" w:eastAsia="黑体" w:cs="Times New Roman"/>
          <w:color w:val="000000" w:themeColor="text1"/>
          <w:sz w:val="36"/>
          <w:szCs w:val="36"/>
          <w:lang w:val="en-US" w:eastAsia="zh-CN"/>
          <w14:textFill>
            <w14:solidFill>
              <w14:schemeClr w14:val="tx1"/>
            </w14:solidFill>
          </w14:textFill>
        </w:rPr>
        <w:t>探究IP衍生产品的消费现状与消费陷阱</w:t>
      </w:r>
      <w:bookmarkEnd w:id="0"/>
    </w:p>
    <w:p w14:paraId="14FD66BC">
      <w:pPr>
        <w:keepNext w:val="0"/>
        <w:keepLines w:val="0"/>
        <w:pageBreakBefore w:val="0"/>
        <w:kinsoku/>
        <w:wordWrap/>
        <w:overflowPunct/>
        <w:topLinePunct w:val="0"/>
        <w:autoSpaceDE/>
        <w:autoSpaceDN/>
        <w:bidi w:val="0"/>
        <w:adjustRightInd/>
        <w:snapToGrid/>
        <w:spacing w:line="400" w:lineRule="exact"/>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14:paraId="390F48EA">
      <w:pPr>
        <w:keepNext w:val="0"/>
        <w:keepLines w:val="0"/>
        <w:pageBreakBefore w:val="0"/>
        <w:kinsoku/>
        <w:wordWrap/>
        <w:overflowPunct/>
        <w:topLinePunct w:val="0"/>
        <w:autoSpaceDE/>
        <w:autoSpaceDN/>
        <w:bidi w:val="0"/>
        <w:adjustRightInd/>
        <w:snapToGrid/>
        <w:spacing w:line="400" w:lineRule="exact"/>
        <w:jc w:val="center"/>
        <w:outlineLvl w:val="0"/>
        <w:rPr>
          <w:rFonts w:hint="default" w:ascii="Times New Roman" w:hAnsi="Times New Roman" w:eastAsia="宋体" w:cs="Times New Roman"/>
          <w:color w:val="000000" w:themeColor="text1"/>
          <w:sz w:val="28"/>
          <w:szCs w:val="28"/>
          <w:lang w:val="en-US" w:eastAsia="zh-CN"/>
          <w14:textFill>
            <w14:solidFill>
              <w14:schemeClr w14:val="tx1"/>
            </w14:solidFill>
          </w14:textFill>
        </w:rPr>
      </w:pPr>
      <w:bookmarkStart w:id="1" w:name="_Toc6995"/>
      <w:bookmarkStart w:id="2" w:name="_Toc1370"/>
      <w:r>
        <w:rPr>
          <w:rFonts w:hint="default" w:ascii="Times New Roman" w:hAnsi="Times New Roman" w:eastAsia="宋体" w:cs="Times New Roman"/>
          <w:color w:val="000000" w:themeColor="text1"/>
          <w:sz w:val="28"/>
          <w:szCs w:val="28"/>
          <w:lang w:val="en-US" w:eastAsia="zh-CN"/>
          <w14:textFill>
            <w14:solidFill>
              <w14:schemeClr w14:val="tx1"/>
            </w14:solidFill>
          </w14:textFill>
        </w:rPr>
        <w:t>摘  要</w:t>
      </w:r>
      <w:bookmarkEnd w:id="1"/>
      <w:bookmarkEnd w:id="2"/>
    </w:p>
    <w:p w14:paraId="418C547D">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本研究以魔</w:t>
      </w:r>
      <w:bookmarkStart w:id="25" w:name="_GoBack"/>
      <w:bookmarkEnd w:id="25"/>
      <w:r>
        <w:rPr>
          <w:rFonts w:hint="default" w:ascii="Times New Roman" w:hAnsi="Times New Roman" w:eastAsia="宋体" w:cs="Times New Roman"/>
          <w:color w:val="000000" w:themeColor="text1"/>
          <w:sz w:val="24"/>
          <w:szCs w:val="24"/>
          <w:lang w:val="en-US" w:eastAsia="zh-CN"/>
          <w14:textFill>
            <w14:solidFill>
              <w14:schemeClr w14:val="tx1"/>
            </w14:solidFill>
          </w14:textFill>
        </w:rPr>
        <w:t>道祖师为例，使用python和大数据探讨IP衍生品消费现状，总结成功影响因素以及消费陷阱。首先使用Python爬取小红书上魔道祖师谷子有关评论，共获得有效评论597条。使用ROST语义网络分析魔道祖师谷子消费情况。并根据此结果设计问卷，量化分析IP衍生产品得消费现状和消费陷阱，共收集260份有效问卷。结果发现：（1）谷子消费更依赖IP价值与产品质量。魔道祖师谷子因设计精美、包装独特，以及与原著IP强关联的名场面复刻而受到青睐；营销策略（如限量发售、联名活动）进一步强化了消费吸引力，尤其刺激了冲动消费；（2）高收入群体消费力更强，年轻消费者更注重性价比，青年群体对中高价位的谷子接受度较高；（3）谷子消费市场也存在多重消费陷阱，主要集中在谷子品质与物流问题上。还存在包装损坏、欺诈行为和强制捆绑消费等现象，使消费者权益受损，维权困难。</w:t>
      </w:r>
    </w:p>
    <w:p w14:paraId="46C83C3E">
      <w:pPr>
        <w:keepNext w:val="0"/>
        <w:keepLines w:val="0"/>
        <w:pageBreakBefore w:val="0"/>
        <w:kinsoku/>
        <w:wordWrap/>
        <w:overflowPunct/>
        <w:topLinePunct w:val="0"/>
        <w:autoSpaceDE/>
        <w:autoSpaceDN/>
        <w:bidi w:val="0"/>
        <w:adjustRightInd/>
        <w:snapToGrid/>
        <w:spacing w:line="400" w:lineRule="exact"/>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14:paraId="1AD5F0D4">
      <w:pPr>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br w:type="page"/>
      </w:r>
    </w:p>
    <w:sdt>
      <w:sdtPr>
        <w:rPr>
          <w:rFonts w:hint="default" w:ascii="Times New Roman" w:hAnsi="Times New Roman" w:eastAsia="宋体" w:cs="Times New Roman"/>
          <w:b/>
          <w:bCs/>
          <w:kern w:val="2"/>
          <w:sz w:val="32"/>
          <w:szCs w:val="32"/>
          <w:lang w:val="en-US" w:eastAsia="zh-CN" w:bidi="ar-SA"/>
        </w:rPr>
        <w:id w:val="147473944"/>
        <w15:color w:val="DBDBDB"/>
        <w:docPartObj>
          <w:docPartGallery w:val="Table of Contents"/>
          <w:docPartUnique/>
        </w:docPartObj>
      </w:sdtPr>
      <w:sdtEndPr>
        <w:rPr>
          <w:rFonts w:hint="default" w:ascii="Times New Roman" w:hAnsi="Times New Roman" w:eastAsia="宋体" w:cs="Times New Roman"/>
          <w:b/>
          <w:bCs/>
          <w:kern w:val="2"/>
          <w:sz w:val="32"/>
          <w:szCs w:val="32"/>
          <w:lang w:val="en-US" w:eastAsia="zh-CN" w:bidi="ar-SA"/>
        </w:rPr>
      </w:sdtEndPr>
      <w:sdtContent>
        <w:p w14:paraId="48D2318C">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rPr>
          </w:pPr>
          <w:r>
            <w:rPr>
              <w:rFonts w:hint="default" w:ascii="Times New Roman" w:hAnsi="Times New Roman" w:eastAsia="宋体" w:cs="Times New Roman"/>
              <w:b w:val="0"/>
              <w:bCs w:val="0"/>
              <w:sz w:val="32"/>
              <w:szCs w:val="32"/>
            </w:rPr>
            <w:t>目</w:t>
          </w:r>
          <w:r>
            <w:rPr>
              <w:rFonts w:hint="default" w:ascii="Times New Roman" w:hAnsi="Times New Roman" w:eastAsia="宋体" w:cs="Times New Roman"/>
              <w:b w:val="0"/>
              <w:bCs w:val="0"/>
              <w:sz w:val="32"/>
              <w:szCs w:val="32"/>
              <w:lang w:val="en-US" w:eastAsia="zh-CN"/>
            </w:rPr>
            <w:t xml:space="preserve">  </w:t>
          </w:r>
          <w:r>
            <w:rPr>
              <w:rFonts w:hint="default" w:ascii="Times New Roman" w:hAnsi="Times New Roman" w:eastAsia="宋体" w:cs="Times New Roman"/>
              <w:b w:val="0"/>
              <w:bCs w:val="0"/>
              <w:sz w:val="32"/>
              <w:szCs w:val="32"/>
            </w:rPr>
            <w:t>录</w:t>
          </w:r>
        </w:p>
        <w:p w14:paraId="0E80D2A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"1-2" \h \u </w:instrText>
          </w:r>
          <w:r>
            <w:rPr>
              <w:rFonts w:hint="default" w:ascii="Times New Roman" w:hAnsi="Times New Roman" w:cs="Times New Roman"/>
            </w:rPr>
            <w:fldChar w:fldCharType="separate"/>
          </w:r>
        </w:p>
        <w:p w14:paraId="2CB364D1">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_Toc27691 </w:instrText>
          </w:r>
          <w:r>
            <w:rPr>
              <w:rFonts w:hint="default" w:ascii="Times New Roman" w:hAnsi="Times New Roman" w:cs="Times New Roman"/>
            </w:rPr>
            <w:fldChar w:fldCharType="separate"/>
          </w:r>
          <w:r>
            <w:rPr>
              <w:rFonts w:hint="default" w:ascii="Times New Roman" w:hAnsi="Times New Roman" w:cs="Times New Roman"/>
              <w:lang w:val="en-US" w:eastAsia="zh-CN"/>
            </w:rPr>
            <w:t>第一章 研究背景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_Toc27691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110EBEEF">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_Toc19148 </w:instrText>
          </w:r>
          <w:r>
            <w:rPr>
              <w:rFonts w:hint="default" w:ascii="Times New Roman" w:hAnsi="Times New Roman" w:cs="Times New Roman"/>
            </w:rPr>
            <w:fldChar w:fldCharType="separate"/>
          </w:r>
          <w:r>
            <w:rPr>
              <w:rFonts w:hint="default" w:ascii="Times New Roman" w:hAnsi="Times New Roman" w:cs="Times New Roman"/>
              <w:lang w:val="en-US" w:eastAsia="zh-CN"/>
            </w:rPr>
            <w:t>一、研究缘起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_Toc19148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49271807">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_Toc3104 </w:instrText>
          </w:r>
          <w:r>
            <w:rPr>
              <w:rFonts w:hint="default" w:ascii="Times New Roman" w:hAnsi="Times New Roman" w:cs="Times New Roman"/>
            </w:rPr>
            <w:fldChar w:fldCharType="separate"/>
          </w:r>
          <w:r>
            <w:rPr>
              <w:rFonts w:hint="default" w:ascii="Times New Roman" w:hAnsi="Times New Roman" w:cs="Times New Roman"/>
              <w:lang w:val="en-US" w:eastAsia="zh-CN"/>
            </w:rPr>
            <w:t>二、文献综述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_Toc3104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0D2305F6">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_Toc11566 </w:instrText>
          </w:r>
          <w:r>
            <w:rPr>
              <w:rFonts w:hint="default" w:ascii="Times New Roman" w:hAnsi="Times New Roman" w:cs="Times New Roman"/>
            </w:rPr>
            <w:fldChar w:fldCharType="separate"/>
          </w:r>
          <w:r>
            <w:rPr>
              <w:rFonts w:hint="default" w:ascii="Times New Roman" w:hAnsi="Times New Roman" w:cs="Times New Roman"/>
              <w:lang w:val="en-US" w:eastAsia="zh-CN"/>
            </w:rPr>
            <w:t>三、创新之处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_Toc11566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3465BA77">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_Toc25814 </w:instrText>
          </w:r>
          <w:r>
            <w:rPr>
              <w:rFonts w:hint="default" w:ascii="Times New Roman" w:hAnsi="Times New Roman" w:cs="Times New Roman"/>
            </w:rPr>
            <w:fldChar w:fldCharType="separate"/>
          </w:r>
          <w:r>
            <w:rPr>
              <w:rFonts w:hint="default" w:ascii="Times New Roman" w:hAnsi="Times New Roman" w:cs="Times New Roman"/>
              <w:lang w:val="en-US" w:eastAsia="zh-CN"/>
            </w:rPr>
            <w:t>四、研究意义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_Toc25814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4C92B71D">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_Toc20373 </w:instrText>
          </w:r>
          <w:r>
            <w:rPr>
              <w:rFonts w:hint="default" w:ascii="Times New Roman" w:hAnsi="Times New Roman" w:cs="Times New Roman"/>
            </w:rPr>
            <w:fldChar w:fldCharType="separate"/>
          </w:r>
          <w:r>
            <w:rPr>
              <w:rFonts w:hint="default" w:ascii="Times New Roman" w:hAnsi="Times New Roman" w:cs="Times New Roman"/>
              <w:lang w:val="en-US" w:eastAsia="zh-CN"/>
            </w:rPr>
            <w:t>第二章 Python和社媒大数据</w:t>
          </w:r>
          <w:r>
            <w:rPr>
              <w:rFonts w:hint="eastAsia" w:ascii="Times New Roman" w:hAnsi="Times New Roman" w:cs="Times New Roman"/>
              <w:lang w:val="en-US" w:eastAsia="zh-CN"/>
            </w:rPr>
            <w:t>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_Toc20373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46CFFB6F">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_Toc29603 </w:instrText>
          </w:r>
          <w:r>
            <w:rPr>
              <w:rFonts w:hint="default" w:ascii="Times New Roman" w:hAnsi="Times New Roman" w:cs="Times New Roman"/>
            </w:rPr>
            <w:fldChar w:fldCharType="separate"/>
          </w:r>
          <w:r>
            <w:rPr>
              <w:rFonts w:hint="default" w:ascii="Times New Roman" w:hAnsi="Times New Roman" w:cs="Times New Roman"/>
              <w:lang w:val="en-US" w:eastAsia="zh-CN"/>
            </w:rPr>
            <w:t>一、</w:t>
          </w:r>
          <w:r>
            <w:rPr>
              <w:rFonts w:hint="default" w:ascii="Times New Roman" w:hAnsi="Times New Roman" w:cs="Times New Roman"/>
            </w:rPr>
            <w:t>研究数据采集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_Toc29603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40A0FC88">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_Toc20044 </w:instrText>
          </w:r>
          <w:r>
            <w:rPr>
              <w:rFonts w:hint="default" w:ascii="Times New Roman" w:hAnsi="Times New Roman" w:cs="Times New Roman"/>
            </w:rPr>
            <w:fldChar w:fldCharType="separate"/>
          </w:r>
          <w:r>
            <w:rPr>
              <w:rFonts w:hint="default" w:ascii="Times New Roman" w:hAnsi="Times New Roman" w:cs="Times New Roman"/>
              <w:lang w:val="en-US" w:eastAsia="zh-CN"/>
            </w:rPr>
            <w:t>二、评论</w:t>
          </w:r>
          <w:r>
            <w:rPr>
              <w:rFonts w:hint="default" w:ascii="Times New Roman" w:hAnsi="Times New Roman" w:cs="Times New Roman"/>
            </w:rPr>
            <w:t>预处理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_Toc20044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040ED877">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_Toc20162 </w:instrText>
          </w:r>
          <w:r>
            <w:rPr>
              <w:rFonts w:hint="default" w:ascii="Times New Roman" w:hAnsi="Times New Roman" w:cs="Times New Roman"/>
            </w:rPr>
            <w:fldChar w:fldCharType="separate"/>
          </w:r>
          <w:r>
            <w:rPr>
              <w:rFonts w:hint="default" w:ascii="Times New Roman" w:hAnsi="Times New Roman" w:cs="Times New Roman"/>
              <w:lang w:val="en-US" w:eastAsia="zh-CN"/>
            </w:rPr>
            <w:t>三、魔道祖师谷子ROST语义网络分析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_Toc20162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3E3B9831">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_Toc11577 </w:instrText>
          </w:r>
          <w:r>
            <w:rPr>
              <w:rFonts w:hint="default" w:ascii="Times New Roman" w:hAnsi="Times New Roman" w:cs="Times New Roman"/>
            </w:rPr>
            <w:fldChar w:fldCharType="separate"/>
          </w:r>
          <w:r>
            <w:rPr>
              <w:rFonts w:hint="default" w:ascii="Times New Roman" w:hAnsi="Times New Roman" w:cs="Times New Roman"/>
              <w:lang w:val="en-US" w:eastAsia="zh-CN"/>
            </w:rPr>
            <w:t>四、结论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_Toc11577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27D5EE9F">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_Toc32445 </w:instrText>
          </w:r>
          <w:r>
            <w:rPr>
              <w:rFonts w:hint="default" w:ascii="Times New Roman" w:hAnsi="Times New Roman" w:cs="Times New Roman"/>
            </w:rPr>
            <w:fldChar w:fldCharType="separate"/>
          </w:r>
          <w:r>
            <w:rPr>
              <w:rFonts w:hint="default" w:ascii="Times New Roman" w:hAnsi="Times New Roman" w:cs="Times New Roman"/>
              <w:lang w:val="en-US" w:eastAsia="zh-CN"/>
            </w:rPr>
            <w:t>第三章 谷子消费现状与消费陷阱问卷分析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_Toc32445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14:paraId="7F59D132">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_Toc24108 </w:instrText>
          </w:r>
          <w:r>
            <w:rPr>
              <w:rFonts w:hint="default" w:ascii="Times New Roman" w:hAnsi="Times New Roman" w:cs="Times New Roman"/>
            </w:rPr>
            <w:fldChar w:fldCharType="separate"/>
          </w:r>
          <w:r>
            <w:rPr>
              <w:rFonts w:hint="default" w:ascii="Times New Roman" w:hAnsi="Times New Roman" w:cs="Times New Roman"/>
              <w:lang w:val="en-US" w:eastAsia="zh-CN"/>
            </w:rPr>
            <w:t>一、</w:t>
          </w:r>
          <w:r>
            <w:rPr>
              <w:rFonts w:hint="default" w:ascii="Times New Roman" w:hAnsi="Times New Roman" w:cs="Times New Roman"/>
            </w:rPr>
            <w:t>研究对象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_Toc24108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14:paraId="6A9EE216">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_Toc13276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信效度汇报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_Toc13276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14:paraId="60E0A678">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_Toc18177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描述统计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_Toc18177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7E384574">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_Toc16482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相关性分析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_Toc16482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7D6D712E">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_Toc11646 </w:instrText>
          </w:r>
          <w:r>
            <w:rPr>
              <w:rFonts w:hint="default" w:ascii="Times New Roman" w:hAnsi="Times New Roman" w:cs="Times New Roman"/>
            </w:rPr>
            <w:fldChar w:fldCharType="separate"/>
          </w:r>
          <w:r>
            <w:rPr>
              <w:rFonts w:hint="default" w:ascii="Times New Roman" w:hAnsi="Times New Roman" w:cs="Times New Roman"/>
              <w:lang w:val="en-US" w:eastAsia="zh-CN"/>
            </w:rPr>
            <w:t>五、回归</w:t>
          </w:r>
          <w:r>
            <w:rPr>
              <w:rFonts w:hint="default" w:ascii="Times New Roman" w:hAnsi="Times New Roman" w:cs="Times New Roman"/>
            </w:rPr>
            <w:t>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_Toc11646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5D0760FB">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六、结论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5A47B3D">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_Toc24388 </w:instrText>
          </w:r>
          <w:r>
            <w:rPr>
              <w:rFonts w:hint="default" w:ascii="Times New Roman" w:hAnsi="Times New Roman" w:cs="Times New Roman"/>
            </w:rPr>
            <w:fldChar w:fldCharType="separate"/>
          </w:r>
          <w:r>
            <w:rPr>
              <w:rFonts w:hint="default" w:ascii="Times New Roman" w:hAnsi="Times New Roman" w:cs="Times New Roman"/>
              <w:lang w:val="en-US" w:eastAsia="zh-CN"/>
            </w:rPr>
            <w:t>第五章 结论与建议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_Toc24388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79424E18">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_Toc12132 </w:instrText>
          </w:r>
          <w:r>
            <w:rPr>
              <w:rFonts w:hint="default" w:ascii="Times New Roman" w:hAnsi="Times New Roman" w:cs="Times New Roman"/>
            </w:rPr>
            <w:fldChar w:fldCharType="separate"/>
          </w:r>
          <w:r>
            <w:rPr>
              <w:rFonts w:hint="default" w:ascii="Times New Roman" w:hAnsi="Times New Roman" w:cs="Times New Roman"/>
              <w:lang w:val="en-US" w:eastAsia="zh-CN"/>
            </w:rPr>
            <w:t>一、研究结论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_Toc12132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5A63F2A1">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_Toc24160 </w:instrText>
          </w:r>
          <w:r>
            <w:rPr>
              <w:rFonts w:hint="default" w:ascii="Times New Roman" w:hAnsi="Times New Roman" w:cs="Times New Roman"/>
            </w:rPr>
            <w:fldChar w:fldCharType="separate"/>
          </w:r>
          <w:r>
            <w:rPr>
              <w:rFonts w:hint="default" w:ascii="Times New Roman" w:hAnsi="Times New Roman" w:cs="Times New Roman"/>
              <w:lang w:val="en-US" w:eastAsia="zh-CN"/>
            </w:rPr>
            <w:t>二、研究建议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_Toc24160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2C2D8BF7">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_Toc18758 </w:instrText>
          </w:r>
          <w:r>
            <w:rPr>
              <w:rFonts w:hint="default" w:ascii="Times New Roman" w:hAnsi="Times New Roman" w:cs="Times New Roman"/>
            </w:rPr>
            <w:fldChar w:fldCharType="separate"/>
          </w:r>
          <w:r>
            <w:rPr>
              <w:rFonts w:hint="default" w:ascii="Times New Roman" w:hAnsi="Times New Roman" w:cs="Times New Roman"/>
              <w:lang w:val="en-US" w:eastAsia="zh-CN"/>
            </w:rPr>
            <w:t>三、不足之处与未来发展方向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_Toc18758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69B3D6DB">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_Toc24373 </w:instrText>
          </w:r>
          <w:r>
            <w:rPr>
              <w:rFonts w:hint="default" w:ascii="Times New Roman" w:hAnsi="Times New Roman" w:cs="Times New Roman"/>
            </w:rPr>
            <w:fldChar w:fldCharType="separate"/>
          </w:r>
          <w:r>
            <w:rPr>
              <w:rFonts w:hint="default" w:ascii="Times New Roman" w:hAnsi="Times New Roman" w:cs="Times New Roman"/>
              <w:lang w:val="en-US" w:eastAsia="zh-CN"/>
            </w:rPr>
            <w:t>参考文献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_Toc24373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A66327D">
          <w:pPr>
            <w:rPr>
              <w:rFonts w:hint="default" w:ascii="Times New Roman" w:hAnsi="Times New Roman" w:cs="Times New Roman"/>
              <w:b/>
            </w:rPr>
          </w:pPr>
          <w:r>
            <w:rPr>
              <w:rFonts w:hint="default" w:ascii="Times New Roman" w:hAnsi="Times New Roman" w:cs="Times New Roman"/>
            </w:rPr>
            <w:fldChar w:fldCharType="end"/>
          </w:r>
        </w:p>
      </w:sdtContent>
    </w:sdt>
    <w:p w14:paraId="1B19953E">
      <w:pPr>
        <w:rPr>
          <w:rFonts w:hint="default" w:ascii="Times New Roman" w:hAnsi="Times New Roman" w:cs="Times New Roman"/>
          <w:b/>
        </w:rPr>
      </w:pPr>
    </w:p>
    <w:p w14:paraId="6C813D86">
      <w:pPr>
        <w:rPr>
          <w:rFonts w:hint="default" w:ascii="Times New Roman" w:hAnsi="Times New Roman" w:eastAsia="黑体" w:cs="Times New Roman"/>
          <w:color w:val="000000" w:themeColor="text1"/>
          <w:sz w:val="32"/>
          <w:szCs w:val="32"/>
          <w:lang w:val="en-US" w:eastAsia="zh-CN"/>
          <w14:textFill>
            <w14:solidFill>
              <w14:schemeClr w14:val="tx1"/>
            </w14:solidFill>
          </w14:textFill>
        </w:rPr>
      </w:pPr>
      <w:r>
        <w:rPr>
          <w:rFonts w:hint="default" w:ascii="Times New Roman" w:hAnsi="Times New Roman" w:eastAsia="黑体" w:cs="Times New Roman"/>
          <w:color w:val="000000" w:themeColor="text1"/>
          <w:sz w:val="32"/>
          <w:szCs w:val="32"/>
          <w:lang w:val="en-US" w:eastAsia="zh-CN"/>
          <w14:textFill>
            <w14:solidFill>
              <w14:schemeClr w14:val="tx1"/>
            </w14:solidFill>
          </w14:textFill>
        </w:rPr>
        <w:br w:type="page"/>
      </w:r>
    </w:p>
    <w:p w14:paraId="3163073C">
      <w:pPr>
        <w:pStyle w:val="2"/>
        <w:bidi w:val="0"/>
        <w:rPr>
          <w:rFonts w:hint="default" w:ascii="Times New Roman" w:hAnsi="Times New Roman" w:cs="Times New Roman"/>
          <w:lang w:val="en-US" w:eastAsia="zh-CN"/>
        </w:rPr>
      </w:pPr>
      <w:bookmarkStart w:id="3" w:name="_Toc27691"/>
      <w:r>
        <w:rPr>
          <w:rFonts w:hint="default" w:ascii="Times New Roman" w:hAnsi="Times New Roman" w:cs="Times New Roman"/>
          <w:lang w:val="en-US" w:eastAsia="zh-CN"/>
        </w:rPr>
        <w:t>第一章 研究背景</w:t>
      </w:r>
      <w:bookmarkEnd w:id="3"/>
    </w:p>
    <w:p w14:paraId="4ED081DE">
      <w:pPr>
        <w:pStyle w:val="3"/>
        <w:bidi w:val="0"/>
        <w:rPr>
          <w:rFonts w:hint="default" w:ascii="Times New Roman" w:hAnsi="Times New Roman" w:cs="Times New Roman"/>
          <w:lang w:val="en-US" w:eastAsia="zh-CN"/>
        </w:rPr>
      </w:pPr>
      <w:bookmarkStart w:id="4" w:name="_Toc19148"/>
      <w:r>
        <w:rPr>
          <w:rFonts w:hint="default" w:ascii="Times New Roman" w:hAnsi="Times New Roman" w:cs="Times New Roman"/>
          <w:lang w:val="en-US" w:eastAsia="zh-CN"/>
        </w:rPr>
        <w:t>一、研究缘起</w:t>
      </w:r>
      <w:bookmarkEnd w:id="4"/>
    </w:p>
    <w:p w14:paraId="349A9194">
      <w:pPr>
        <w:keepNext w:val="0"/>
        <w:keepLines w:val="0"/>
        <w:pageBreakBefore w:val="0"/>
        <w:kinsoku/>
        <w:wordWrap/>
        <w:overflowPunct/>
        <w:topLinePunct w:val="0"/>
        <w:autoSpaceDE/>
        <w:autoSpaceDN/>
        <w:bidi w:val="0"/>
        <w:adjustRightInd/>
        <w:snapToGrid/>
        <w:spacing w:line="400" w:lineRule="exact"/>
        <w:ind w:firstLine="480" w:firstLineChars="200"/>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源自于日本，是英文</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goods</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的谐音，通常指动漫、小说、游戏等版权作品(Intellectual Property, IP)衍生出的周边产品，像海报、徽章、卡片、挂件、立牌、手办、棉花娃娃等。在二次元爱好者群体中，</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买谷</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吃谷</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就是购买衍生产品的意思。</w:t>
      </w:r>
    </w:p>
    <w:p w14:paraId="7F311355">
      <w:pPr>
        <w:keepNext w:val="0"/>
        <w:keepLines w:val="0"/>
        <w:pageBreakBefore w:val="0"/>
        <w:kinsoku/>
        <w:wordWrap/>
        <w:overflowPunct/>
        <w:topLinePunct w:val="0"/>
        <w:autoSpaceDE/>
        <w:autoSpaceDN/>
        <w:bidi w:val="0"/>
        <w:adjustRightInd/>
        <w:snapToGrid/>
        <w:spacing w:line="400" w:lineRule="exact"/>
        <w:ind w:firstLine="480" w:firstLineChars="200"/>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谷子经济</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我国迅速崛起并形成令人震惊的消费现象。以魔道祖师为例，《魔道祖师》是原创、玄幻、架空历史类耽美小说，魔道祖师谷子种类非常丰富多样，制作精美，承载了粉丝对角色的喜爱和对故事的共鸣。2023年《魔道祖师》主题快闪店在上海开业首日便吸引了数千名粉丝排队购买，展示出</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谷子经济</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线下市场的巨大潜力。笔者亦是魔道祖师谷子爱好者，常去上海百联ZX、静安大悦城、五角场等热门场所消费谷子。除了主题快闪店、联名餐厅等线下活动，也会在小红书、微博、LOFTER等社交平台和同好展示收藏、交流心得。仅在小红书，</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魔道祖师谷子</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就有41.21w浏览量。</w:t>
      </w:r>
    </w:p>
    <w:p w14:paraId="2D7B37F8">
      <w:pPr>
        <w:keepNext w:val="0"/>
        <w:keepLines w:val="0"/>
        <w:pageBreakBefore w:val="0"/>
        <w:kinsoku/>
        <w:wordWrap/>
        <w:overflowPunct/>
        <w:topLinePunct w:val="0"/>
        <w:autoSpaceDE/>
        <w:autoSpaceDN/>
        <w:bidi w:val="0"/>
        <w:adjustRightInd/>
        <w:snapToGrid/>
        <w:spacing w:line="400" w:lineRule="exact"/>
        <w:ind w:firstLine="480" w:firstLineChars="200"/>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与此同时，随着</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谷子经济</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的蓬勃发展，消费陷阱和各种乱象也随之而来，常有粗制滥造、谷子</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团长</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跑路、预售时间过长等问题，亟需引起关注。因此本文将以</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谷子经济</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为研究对象，结合社交媒体平台的特点，以魔道祖师为例，探讨IP衍生品消费现状，总结成功影响因素以及消费陷阱，并提出规范与可持续发展的建议。</w:t>
      </w:r>
    </w:p>
    <w:p w14:paraId="03DAE5CD">
      <w:pPr>
        <w:pStyle w:val="3"/>
        <w:bidi w:val="0"/>
        <w:rPr>
          <w:rFonts w:hint="default" w:ascii="Times New Roman" w:hAnsi="Times New Roman" w:cs="Times New Roman"/>
          <w:lang w:val="en-US" w:eastAsia="zh-CN"/>
        </w:rPr>
      </w:pPr>
      <w:bookmarkStart w:id="5" w:name="_Toc3104"/>
      <w:r>
        <w:rPr>
          <w:rFonts w:hint="default" w:ascii="Times New Roman" w:hAnsi="Times New Roman" w:cs="Times New Roman"/>
          <w:lang w:val="en-US" w:eastAsia="zh-CN"/>
        </w:rPr>
        <w:t>二、文献综述</w:t>
      </w:r>
      <w:bookmarkEnd w:id="5"/>
    </w:p>
    <w:p w14:paraId="283D6DE9">
      <w:pPr>
        <w:keepNext w:val="0"/>
        <w:keepLines w:val="0"/>
        <w:pageBreakBefore w:val="0"/>
        <w:kinsoku/>
        <w:wordWrap/>
        <w:overflowPunct/>
        <w:topLinePunct w:val="0"/>
        <w:autoSpaceDE/>
        <w:autoSpaceDN/>
        <w:bidi w:val="0"/>
        <w:adjustRightInd/>
        <w:snapToGrid/>
        <w:spacing w:line="400" w:lineRule="exact"/>
        <w:ind w:firstLine="420"/>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有时被称为塑料黄金，因成本与零售价并不匹配，个别限量版产品更是价格惊人，市面上经常会出现冷门IP卖不动，热门IP买不到的情况，其背后是文化IP的赋能</w:t>
      </w:r>
      <w:r>
        <w:rPr>
          <w:rFonts w:hint="default" w:ascii="Times New Roman" w:hAnsi="Times New Roman" w:eastAsia="宋体" w:cs="Times New Roman"/>
          <w:color w:val="000000" w:themeColor="text1"/>
          <w:sz w:val="24"/>
          <w:szCs w:val="24"/>
          <w:vertAlign w:val="superscript"/>
          <w:lang w:val="en-US" w:eastAsia="zh-CN"/>
          <w14:textFill>
            <w14:solidFill>
              <w14:schemeClr w14:val="tx1"/>
            </w14:solidFill>
          </w14:textFill>
        </w:rPr>
        <w:t>[1]</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w:t>
      </w:r>
    </w:p>
    <w:p w14:paraId="62250D24">
      <w:pPr>
        <w:keepNext w:val="0"/>
        <w:keepLines w:val="0"/>
        <w:pageBreakBefore w:val="0"/>
        <w:kinsoku/>
        <w:wordWrap/>
        <w:overflowPunct/>
        <w:topLinePunct w:val="0"/>
        <w:autoSpaceDE/>
        <w:autoSpaceDN/>
        <w:bidi w:val="0"/>
        <w:adjustRightInd/>
        <w:snapToGrid/>
        <w:spacing w:line="400" w:lineRule="exact"/>
        <w:ind w:firstLine="420"/>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得益于中国网络文学、动漫、游戏行业的高速发展，以及文化创意版权衍生开放的迭代创新，高质量IP不断涌现。在《指数》公布的前10位IP中，《魔道祖师》是唯一一个超话粉丝数量破百万、以耽美玄幻为题材的网络文学IP，且《魔道祖师》因IP开发时间久、衍生产品质量高、完成网络IP开发的全链条打通</w:t>
      </w:r>
      <w:r>
        <w:rPr>
          <w:rFonts w:hint="default" w:ascii="Times New Roman" w:hAnsi="Times New Roman" w:eastAsia="宋体" w:cs="Times New Roman"/>
          <w:color w:val="000000" w:themeColor="text1"/>
          <w:sz w:val="24"/>
          <w:szCs w:val="24"/>
          <w:vertAlign w:val="superscript"/>
          <w:lang w:val="en-US" w:eastAsia="zh-CN"/>
          <w14:textFill>
            <w14:solidFill>
              <w14:schemeClr w14:val="tx1"/>
            </w14:solidFill>
          </w14:textFill>
        </w:rPr>
        <w:t>[2]</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，同时粉丝数量庞大，愿意为所热爱的IP消费，高质量的衍生品（如立牌、徽章、挂件等）不仅满足了粉丝的收藏需求，也创造了巨大的经济效益。故魔道祖师谷子有较大的研究参考与价值。</w:t>
      </w:r>
    </w:p>
    <w:p w14:paraId="486F1F87">
      <w:pPr>
        <w:keepNext w:val="0"/>
        <w:keepLines w:val="0"/>
        <w:pageBreakBefore w:val="0"/>
        <w:kinsoku/>
        <w:wordWrap/>
        <w:overflowPunct/>
        <w:topLinePunct w:val="0"/>
        <w:autoSpaceDE/>
        <w:autoSpaceDN/>
        <w:bidi w:val="0"/>
        <w:adjustRightInd/>
        <w:snapToGrid/>
        <w:spacing w:line="400" w:lineRule="exact"/>
        <w:ind w:firstLine="420"/>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社交媒体是</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谷子文化</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传播的主要渠道</w:t>
      </w:r>
      <w:r>
        <w:rPr>
          <w:rFonts w:hint="default" w:ascii="Times New Roman" w:hAnsi="Times New Roman" w:eastAsia="宋体" w:cs="Times New Roman"/>
          <w:color w:val="000000" w:themeColor="text1"/>
          <w:sz w:val="24"/>
          <w:szCs w:val="24"/>
          <w:vertAlign w:val="superscript"/>
          <w:lang w:val="en-US" w:eastAsia="zh-CN"/>
          <w14:textFill>
            <w14:solidFill>
              <w14:schemeClr w14:val="tx1"/>
            </w14:solidFill>
          </w14:textFill>
        </w:rPr>
        <w:t>[3]</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。通过粉丝社群的推荐，消费者更容易接触到新的IP和衍生品，同时也更容易受到消费引导。社交平台上的</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吃谷人</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社群形成了强烈的归属感和认同感。粉丝们在社群中分享收藏、交流心得，用购买谷子的形式给心爱的角色加油助威</w:t>
      </w:r>
      <w:r>
        <w:rPr>
          <w:rFonts w:hint="default" w:ascii="Times New Roman" w:hAnsi="Times New Roman" w:eastAsia="宋体" w:cs="Times New Roman"/>
          <w:color w:val="000000" w:themeColor="text1"/>
          <w:sz w:val="24"/>
          <w:szCs w:val="24"/>
          <w:vertAlign w:val="superscript"/>
          <w:lang w:val="en-US" w:eastAsia="zh-CN"/>
          <w14:textFill>
            <w14:solidFill>
              <w14:schemeClr w14:val="tx1"/>
            </w14:solidFill>
          </w14:textFill>
        </w:rPr>
        <w:t>[4]</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，这种互动进一步强化了消费行为。已有研究根据此特点，使用爬虫对Twitter的魔道祖师粉丝群进行探究</w:t>
      </w:r>
      <w:r>
        <w:rPr>
          <w:rFonts w:hint="default" w:ascii="Times New Roman" w:hAnsi="Times New Roman" w:eastAsia="宋体" w:cs="Times New Roman"/>
          <w:color w:val="000000" w:themeColor="text1"/>
          <w:sz w:val="24"/>
          <w:szCs w:val="24"/>
          <w:vertAlign w:val="superscript"/>
          <w:lang w:val="en-US" w:eastAsia="zh-CN"/>
          <w14:textFill>
            <w14:solidFill>
              <w14:schemeClr w14:val="tx1"/>
            </w14:solidFill>
          </w14:textFill>
        </w:rPr>
        <w:t>[5]</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w:t>
      </w:r>
    </w:p>
    <w:p w14:paraId="6FD8042E">
      <w:pPr>
        <w:keepNext w:val="0"/>
        <w:keepLines w:val="0"/>
        <w:pageBreakBefore w:val="0"/>
        <w:kinsoku/>
        <w:wordWrap/>
        <w:overflowPunct/>
        <w:topLinePunct w:val="0"/>
        <w:autoSpaceDE/>
        <w:autoSpaceDN/>
        <w:bidi w:val="0"/>
        <w:adjustRightInd/>
        <w:snapToGrid/>
        <w:spacing w:line="400" w:lineRule="exact"/>
        <w:ind w:firstLine="420"/>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此外，社交媒体上的信息传播速度快、范围广，也可能导致盲目跟风和过度消费。且消费陷阱一旦出现，更容易迅速扩散。一些不法分子通过群聊或社交平台，以</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拼团</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代购</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为名套取用户个人信息，甚至实施诈骗。粉丝在追求</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绝版</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限量</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商品时，容易放松警惕，导致隐私泄露或财产损失。部分商家也利用粉丝对IP的热爱，通过炒作哄抬物价。使谷子价格远高于其实际价值，形成消费泡沫。例如，某些二手平台上的</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稀有谷子</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价格甚至到了几十万，不仅扰乱了市场秩序，也加剧了粉丝群体的消费焦虑。此外，中消协还提醒消费者，部分商家售卖与宣传不符的</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，导致消费者权益受损</w:t>
      </w:r>
      <w:r>
        <w:rPr>
          <w:rFonts w:hint="default" w:ascii="Times New Roman" w:hAnsi="Times New Roman" w:eastAsia="宋体" w:cs="Times New Roman"/>
          <w:color w:val="000000" w:themeColor="text1"/>
          <w:sz w:val="24"/>
          <w:szCs w:val="24"/>
          <w:vertAlign w:val="superscript"/>
          <w:lang w:val="en-US" w:eastAsia="zh-CN"/>
          <w14:textFill>
            <w14:solidFill>
              <w14:schemeClr w14:val="tx1"/>
            </w14:solidFill>
          </w14:textFill>
        </w:rPr>
        <w:t>[6]</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。此外，自制</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的泛滥也带来了版权问题，质量隐患和运输风险。过度沉迷于</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吃谷</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消费可能导致粉丝脱离现实社交，影响学业和家庭关系。部分年轻人为了购买</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甚至借贷消费，引发焦虑、抑郁等心理问题。研究表明，部分</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吃谷人</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因过度消费而陷入经济困境，甚至出现心理依赖现象</w:t>
      </w:r>
      <w:r>
        <w:rPr>
          <w:rFonts w:hint="default" w:ascii="Times New Roman" w:hAnsi="Times New Roman" w:eastAsia="宋体" w:cs="Times New Roman"/>
          <w:color w:val="000000" w:themeColor="text1"/>
          <w:sz w:val="24"/>
          <w:szCs w:val="24"/>
          <w:vertAlign w:val="superscript"/>
          <w:lang w:val="en-US" w:eastAsia="zh-CN"/>
          <w14:textFill>
            <w14:solidFill>
              <w14:schemeClr w14:val="tx1"/>
            </w14:solidFill>
          </w14:textFill>
        </w:rPr>
        <w:t>[7]</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w:t>
      </w:r>
    </w:p>
    <w:p w14:paraId="65A867D5">
      <w:pPr>
        <w:keepNext w:val="0"/>
        <w:keepLines w:val="0"/>
        <w:pageBreakBefore w:val="0"/>
        <w:numPr>
          <w:ilvl w:val="0"/>
          <w:numId w:val="0"/>
        </w:numPr>
        <w:kinsoku/>
        <w:wordWrap/>
        <w:overflowPunct/>
        <w:topLinePunct w:val="0"/>
        <w:autoSpaceDE/>
        <w:autoSpaceDN/>
        <w:bidi w:val="0"/>
        <w:adjustRightInd/>
        <w:snapToGrid/>
        <w:spacing w:line="400" w:lineRule="exact"/>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14:paraId="6462AC6A">
      <w:pPr>
        <w:pStyle w:val="3"/>
        <w:numPr>
          <w:ilvl w:val="0"/>
          <w:numId w:val="1"/>
        </w:numPr>
        <w:bidi w:val="0"/>
        <w:rPr>
          <w:rFonts w:hint="default" w:ascii="Times New Roman" w:hAnsi="Times New Roman" w:cs="Times New Roman"/>
          <w:lang w:val="en-US" w:eastAsia="zh-CN"/>
        </w:rPr>
      </w:pPr>
      <w:bookmarkStart w:id="6" w:name="_Toc11566"/>
      <w:r>
        <w:rPr>
          <w:rFonts w:hint="default" w:ascii="Times New Roman" w:hAnsi="Times New Roman" w:cs="Times New Roman"/>
          <w:lang w:val="en-US" w:eastAsia="zh-CN"/>
        </w:rPr>
        <w:t>创新之处</w:t>
      </w:r>
      <w:bookmarkEnd w:id="6"/>
    </w:p>
    <w:p w14:paraId="32ACA538">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本研究以魔道祖师这一热门IP为案例，深入剖析其谷子消费现象、影响因素和消费陷阱，避免了以往研究中对</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谷子经济</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的泛化讨论，增强了研究的针对性和实证性</w:t>
      </w:r>
    </w:p>
    <w:p w14:paraId="30A1A16D">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以往研究较少使用量化方法探究IP衍生产品消费现状、影响因素和消费陷阱。本研究通过社媒聆听等量化分析手段，对社交媒体上大量的魔道祖师谷子帖子及评论数据进行分析，提炼魔道祖师谷子消费影响因素和陷阱，而问卷法能够更客观、准确地衡量各因素对谷子消费的影响程度，增强了研究的科学性和说服力。</w:t>
      </w:r>
    </w:p>
    <w:p w14:paraId="2A38EAEE">
      <w:pPr>
        <w:pStyle w:val="3"/>
        <w:numPr>
          <w:ilvl w:val="0"/>
          <w:numId w:val="1"/>
        </w:numPr>
        <w:bidi w:val="0"/>
        <w:rPr>
          <w:rFonts w:hint="default" w:ascii="Times New Roman" w:hAnsi="Times New Roman" w:cs="Times New Roman"/>
          <w:lang w:val="en-US" w:eastAsia="zh-CN"/>
        </w:rPr>
      </w:pPr>
      <w:bookmarkStart w:id="7" w:name="_Toc25814"/>
      <w:r>
        <w:rPr>
          <w:rFonts w:hint="default" w:ascii="Times New Roman" w:hAnsi="Times New Roman" w:cs="Times New Roman"/>
          <w:lang w:val="en-US" w:eastAsia="zh-CN"/>
        </w:rPr>
        <w:t>研究意义</w:t>
      </w:r>
      <w:bookmarkEnd w:id="7"/>
    </w:p>
    <w:p w14:paraId="7A2983C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近年来，随着IP衍生品市场的迅猛发展，</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谷子经济</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不仅成为粉丝文化的重要组成部分，也成为了文化产业的新增长点。与此同时，衍生品市场的消费陷阱和不规范现象也日益突出。因此，本研究具有以下重要意义：</w:t>
      </w:r>
    </w:p>
    <w:p w14:paraId="74C8E4B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2"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bCs/>
          <w:color w:val="000000" w:themeColor="text1"/>
          <w:sz w:val="24"/>
          <w:szCs w:val="24"/>
          <w:lang w:val="en-US" w:eastAsia="zh-CN"/>
          <w14:textFill>
            <w14:solidFill>
              <w14:schemeClr w14:val="tx1"/>
            </w14:solidFill>
          </w14:textFill>
        </w:rPr>
        <w:t>理论意义：</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目前针对IP衍生品消费的研究较为有限。本研究结合社交媒体大数据分析和量化研究方法，深入探讨</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谷子经济</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的消费现状及其潜在风险，从而为IP衍生品和文化产业提供新的理论视角。</w:t>
      </w:r>
    </w:p>
    <w:p w14:paraId="383B8BD4">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本研究还进一步发现了社交媒体对消费行为影响。社交媒体作为信息传播和粉丝互动的重要平台，在IP衍生品消费过程中发挥了重要作用。</w:t>
      </w:r>
    </w:p>
    <w:p w14:paraId="4C97466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2"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bCs/>
          <w:color w:val="000000" w:themeColor="text1"/>
          <w:sz w:val="24"/>
          <w:szCs w:val="24"/>
          <w:lang w:val="en-US" w:eastAsia="zh-CN"/>
          <w14:textFill>
            <w14:solidFill>
              <w14:schemeClr w14:val="tx1"/>
            </w14:solidFill>
          </w14:textFill>
        </w:rPr>
        <w:t>实践意义：</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本研究的成果可以为我国文化产业和IP相关企业提供参考，通过识别影响粉丝消费决策的关键因素，企业可以更精准地进行市场定位，提高产品设计的匹配度，从而增强IP衍生品的市场竞争力，努力将文化动能转为经济动能。</w:t>
      </w:r>
    </w:p>
    <w:p w14:paraId="40A9A45A">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此外，本研究对消费者权益保护和谷子经济长久发展具有重要作用。帮助消费者提高警惕，增强自我保护意识，同时也为相关监管机构提供政策制定参考。</w:t>
      </w:r>
    </w:p>
    <w:p w14:paraId="4BB1C10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14:paraId="16E8DF3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14:paraId="507FCC3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14:paraId="1F855E8F">
      <w:pPr>
        <w:keepNext w:val="0"/>
        <w:keepLines w:val="0"/>
        <w:pageBreakBefore w:val="0"/>
        <w:kinsoku/>
        <w:wordWrap/>
        <w:overflowPunct/>
        <w:topLinePunct w:val="0"/>
        <w:autoSpaceDE/>
        <w:autoSpaceDN/>
        <w:bidi w:val="0"/>
        <w:adjustRightInd/>
        <w:snapToGrid/>
        <w:spacing w:line="400" w:lineRule="exact"/>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14:paraId="45C624AF">
      <w:pPr>
        <w:keepNext w:val="0"/>
        <w:keepLines w:val="0"/>
        <w:pageBreakBefore w:val="0"/>
        <w:kinsoku/>
        <w:wordWrap/>
        <w:overflowPunct/>
        <w:topLinePunct w:val="0"/>
        <w:autoSpaceDE/>
        <w:autoSpaceDN/>
        <w:bidi w:val="0"/>
        <w:adjustRightInd/>
        <w:snapToGrid/>
        <w:spacing w:line="400" w:lineRule="exact"/>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br w:type="page"/>
      </w:r>
    </w:p>
    <w:p w14:paraId="6433F06C">
      <w:pPr>
        <w:pStyle w:val="2"/>
        <w:bidi w:val="0"/>
        <w:rPr>
          <w:rFonts w:hint="default" w:ascii="Times New Roman" w:hAnsi="Times New Roman" w:cs="Times New Roman"/>
          <w:lang w:val="en-US" w:eastAsia="zh-CN"/>
        </w:rPr>
      </w:pPr>
      <w:bookmarkStart w:id="8" w:name="_Toc20373"/>
      <w:r>
        <w:rPr>
          <w:rFonts w:hint="default" w:ascii="Times New Roman" w:hAnsi="Times New Roman" w:cs="Times New Roman"/>
          <w:lang w:val="en-US" w:eastAsia="zh-CN"/>
        </w:rPr>
        <w:t>第二章</w:t>
      </w:r>
      <w:bookmarkEnd w:id="8"/>
      <w:r>
        <w:rPr>
          <w:rFonts w:hint="default" w:ascii="Times New Roman" w:hAnsi="Times New Roman" w:cs="Times New Roman"/>
          <w:lang w:val="en-US" w:eastAsia="zh-CN"/>
        </w:rPr>
        <w:t>Python和社媒大数据</w:t>
      </w:r>
      <w:r>
        <w:rPr>
          <w:rFonts w:hint="eastAsia" w:ascii="Times New Roman" w:hAnsi="Times New Roman" w:cs="Times New Roman"/>
          <w:lang w:val="en-US" w:eastAsia="zh-CN"/>
        </w:rPr>
        <w:t>分析</w:t>
      </w:r>
    </w:p>
    <w:p w14:paraId="6AAA7E8E">
      <w:pPr>
        <w:pStyle w:val="3"/>
        <w:bidi w:val="0"/>
        <w:rPr>
          <w:rFonts w:hint="default" w:ascii="Times New Roman" w:hAnsi="Times New Roman" w:cs="Times New Roman"/>
        </w:rPr>
      </w:pPr>
      <w:bookmarkStart w:id="9" w:name="_Toc29603"/>
      <w:r>
        <w:rPr>
          <w:rFonts w:hint="default" w:ascii="Times New Roman" w:hAnsi="Times New Roman" w:cs="Times New Roman"/>
          <w:lang w:val="en-US" w:eastAsia="zh-CN"/>
        </w:rPr>
        <w:t>一、</w:t>
      </w:r>
      <w:r>
        <w:rPr>
          <w:rFonts w:hint="default" w:ascii="Times New Roman" w:hAnsi="Times New Roman" w:cs="Times New Roman"/>
        </w:rPr>
        <w:t>研究数据采集</w:t>
      </w:r>
      <w:bookmarkEnd w:id="9"/>
    </w:p>
    <w:p w14:paraId="1B5789A5">
      <w:pPr>
        <w:keepNext w:val="0"/>
        <w:keepLines w:val="0"/>
        <w:pageBreakBefore w:val="0"/>
        <w:kinsoku/>
        <w:wordWrap/>
        <w:overflowPunct/>
        <w:topLinePunct w:val="0"/>
        <w:autoSpaceDE/>
        <w:autoSpaceDN/>
        <w:bidi w:val="0"/>
        <w:adjustRightInd/>
        <w:snapToGrid/>
        <w:spacing w:before="156" w:beforeLines="50" w:line="400" w:lineRule="exact"/>
        <w:ind w:firstLine="480" w:firstLineChars="200"/>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社媒</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大数据分析</w:t>
      </w:r>
      <w:r>
        <w:rPr>
          <w:rFonts w:hint="default" w:ascii="Times New Roman" w:hAnsi="Times New Roman" w:eastAsia="宋体" w:cs="Times New Roman"/>
          <w:color w:val="000000" w:themeColor="text1"/>
          <w:kern w:val="0"/>
          <w:sz w:val="24"/>
          <w:szCs w:val="24"/>
          <w14:textFill>
            <w14:solidFill>
              <w14:schemeClr w14:val="tx1"/>
            </w14:solidFill>
          </w14:textFill>
        </w:rPr>
        <w:t>是获取、跟踪和分析社交媒体渠道上的所有数据和信息的过程。使用社媒</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大数据分析</w:t>
      </w:r>
      <w:r>
        <w:rPr>
          <w:rFonts w:hint="default" w:ascii="Times New Roman" w:hAnsi="Times New Roman" w:eastAsia="宋体" w:cs="Times New Roman"/>
          <w:color w:val="000000" w:themeColor="text1"/>
          <w:kern w:val="0"/>
          <w:sz w:val="24"/>
          <w:szCs w:val="24"/>
          <w14:textFill>
            <w14:solidFill>
              <w14:schemeClr w14:val="tx1"/>
            </w14:solidFill>
          </w14:textFill>
        </w:rPr>
        <w:t>在社交媒体上提及其品牌、产品和服务的内容和对话，</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并</w:t>
      </w:r>
      <w:r>
        <w:rPr>
          <w:rFonts w:hint="default" w:ascii="Times New Roman" w:hAnsi="Times New Roman" w:eastAsia="宋体" w:cs="Times New Roman"/>
          <w:color w:val="000000" w:themeColor="text1"/>
          <w:kern w:val="0"/>
          <w:sz w:val="24"/>
          <w:szCs w:val="24"/>
          <w14:textFill>
            <w14:solidFill>
              <w14:schemeClr w14:val="tx1"/>
            </w14:solidFill>
          </w14:textFill>
        </w:rPr>
        <w:t>对这些内容和对话进行分析，可以从中洞察蕴藏在其中的行业趋势、消费者需求、</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喜好、</w:t>
      </w:r>
      <w:r>
        <w:rPr>
          <w:rFonts w:hint="default" w:ascii="Times New Roman" w:hAnsi="Times New Roman" w:eastAsia="宋体" w:cs="Times New Roman"/>
          <w:color w:val="000000" w:themeColor="text1"/>
          <w:kern w:val="0"/>
          <w:sz w:val="24"/>
          <w:szCs w:val="24"/>
          <w14:textFill>
            <w14:solidFill>
              <w14:schemeClr w14:val="tx1"/>
            </w14:solidFill>
          </w14:textFill>
        </w:rPr>
        <w:t>品牌口碑等商业信息。包含了数据获取—数据处理—数据归类—数据分析—数据呈现—洞察总结。本</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课题</w:t>
      </w:r>
      <w:r>
        <w:rPr>
          <w:rFonts w:hint="default" w:ascii="Times New Roman" w:hAnsi="Times New Roman" w:eastAsia="宋体" w:cs="Times New Roman"/>
          <w:color w:val="000000" w:themeColor="text1"/>
          <w:kern w:val="0"/>
          <w:sz w:val="24"/>
          <w:szCs w:val="24"/>
          <w14:textFill>
            <w14:solidFill>
              <w14:schemeClr w14:val="tx1"/>
            </w14:solidFill>
          </w14:textFill>
        </w:rPr>
        <w:t>选取</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小红书平台作为分析对象，该网站</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魔道祖师IP和IP衍生产品</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主要</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传播交流</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平台，因此最适合作为分析对象。</w:t>
      </w:r>
    </w:p>
    <w:p w14:paraId="00B85ED1">
      <w:pPr>
        <w:keepNext w:val="0"/>
        <w:keepLines w:val="0"/>
        <w:pageBreakBefore w:val="0"/>
        <w:kinsoku/>
        <w:wordWrap/>
        <w:overflowPunct/>
        <w:topLinePunct w:val="0"/>
        <w:autoSpaceDE/>
        <w:autoSpaceDN/>
        <w:bidi w:val="0"/>
        <w:adjustRightInd/>
        <w:snapToGrid/>
        <w:spacing w:before="156" w:beforeLines="50" w:line="400" w:lineRule="exact"/>
        <w:ind w:firstLine="480" w:firstLineChars="200"/>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本课题使用Python编程爬取小红书上魔道祖师谷子相关视频评论，修改原始代码中cookie、note-id与token部分的参数，爬取魔道祖师谷子相关话题下一级评论与二级评论（对评论的回复），共采集到评论数据</w:t>
      </w:r>
      <w:r>
        <w:rPr>
          <w:rFonts w:hint="default" w:ascii="Times New Roman" w:hAnsi="Times New Roman" w:eastAsia="宋体" w:cs="Times New Roman"/>
          <w:color w:val="000000" w:themeColor="text1"/>
          <w:kern w:val="0"/>
          <w:sz w:val="24"/>
          <w:szCs w:val="24"/>
          <w:highlight w:val="none"/>
          <w:lang w:val="en-US" w:eastAsia="zh-CN"/>
          <w14:textFill>
            <w14:solidFill>
              <w14:schemeClr w14:val="tx1"/>
            </w14:solidFill>
          </w14:textFill>
        </w:rPr>
        <w:t>646条。</w:t>
      </w:r>
    </w:p>
    <w:p w14:paraId="2254EF64">
      <w:pPr>
        <w:pStyle w:val="3"/>
        <w:bidi w:val="0"/>
        <w:rPr>
          <w:rFonts w:hint="default" w:ascii="Times New Roman" w:hAnsi="Times New Roman" w:cs="Times New Roman"/>
        </w:rPr>
      </w:pPr>
      <w:bookmarkStart w:id="10" w:name="_Toc20044"/>
      <w:r>
        <w:rPr>
          <w:rFonts w:hint="default" w:ascii="Times New Roman" w:hAnsi="Times New Roman" w:cs="Times New Roman"/>
          <w:lang w:val="en-US" w:eastAsia="zh-CN"/>
        </w:rPr>
        <w:t>二、评论</w:t>
      </w:r>
      <w:r>
        <w:rPr>
          <w:rFonts w:hint="default" w:ascii="Times New Roman" w:hAnsi="Times New Roman" w:cs="Times New Roman"/>
        </w:rPr>
        <w:t>预处理</w:t>
      </w:r>
      <w:bookmarkEnd w:id="10"/>
    </w:p>
    <w:p w14:paraId="7EB1E409">
      <w:pPr>
        <w:keepNext w:val="0"/>
        <w:keepLines w:val="0"/>
        <w:pageBreakBefore w:val="0"/>
        <w:kinsoku/>
        <w:wordWrap/>
        <w:overflowPunct/>
        <w:topLinePunct w:val="0"/>
        <w:autoSpaceDE/>
        <w:autoSpaceDN/>
        <w:bidi w:val="0"/>
        <w:adjustRightInd/>
        <w:snapToGrid/>
        <w:spacing w:before="156" w:beforeLines="50" w:line="400" w:lineRule="exact"/>
        <w:ind w:firstLine="480" w:firstLineChars="200"/>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同时为了保证</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采集评论</w:t>
      </w:r>
      <w:r>
        <w:rPr>
          <w:rFonts w:hint="default" w:ascii="Times New Roman" w:hAnsi="Times New Roman" w:eastAsia="宋体" w:cs="Times New Roman"/>
          <w:color w:val="000000" w:themeColor="text1"/>
          <w:kern w:val="0"/>
          <w:sz w:val="24"/>
          <w:szCs w:val="24"/>
          <w14:textFill>
            <w14:solidFill>
              <w14:schemeClr w14:val="tx1"/>
            </w14:solidFill>
          </w14:textFill>
        </w:rPr>
        <w:t>有效性，对爬取的初始数据预处理，主要包括以下处理：数据筛选：剔除空白数据;剔除与</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魔道祖师谷子</w:t>
      </w:r>
      <w:r>
        <w:rPr>
          <w:rFonts w:hint="default" w:ascii="Times New Roman" w:hAnsi="Times New Roman" w:eastAsia="宋体" w:cs="Times New Roman"/>
          <w:color w:val="000000" w:themeColor="text1"/>
          <w:kern w:val="0"/>
          <w:sz w:val="24"/>
          <w:szCs w:val="24"/>
          <w14:textFill>
            <w14:solidFill>
              <w14:schemeClr w14:val="tx1"/>
            </w14:solidFill>
          </w14:textFill>
        </w:rPr>
        <w:t>的点评，如</w:t>
      </w:r>
      <w:r>
        <w:rPr>
          <w:rFonts w:hint="eastAsia"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嘿嘿</w:t>
      </w:r>
      <w:r>
        <w:rPr>
          <w:rFonts w:hint="eastAsia"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w:t>
      </w:r>
      <w:r>
        <w:rPr>
          <w:rFonts w:hint="eastAsia"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贝贝你真好</w:t>
      </w:r>
      <w:r>
        <w:rPr>
          <w:rFonts w:hint="eastAsia"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w:t>
      </w:r>
      <w:r>
        <w:rPr>
          <w:rFonts w:hint="eastAsia"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老师多少收的啊</w:t>
      </w:r>
      <w:r>
        <w:rPr>
          <w:rFonts w:hint="eastAsia"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剔除单个无法分析的表情包。</w:t>
      </w:r>
    </w:p>
    <w:p w14:paraId="422FA6A7">
      <w:pPr>
        <w:keepNext w:val="0"/>
        <w:keepLines w:val="0"/>
        <w:pageBreakBefore w:val="0"/>
        <w:kinsoku/>
        <w:wordWrap/>
        <w:overflowPunct/>
        <w:topLinePunct w:val="0"/>
        <w:autoSpaceDE/>
        <w:autoSpaceDN/>
        <w:bidi w:val="0"/>
        <w:adjustRightInd/>
        <w:snapToGrid/>
        <w:spacing w:before="156" w:beforeLines="50" w:line="400" w:lineRule="exact"/>
        <w:ind w:firstLine="480" w:firstLineChars="200"/>
        <w:rPr>
          <w:rFonts w:hint="default" w:ascii="Times New Roman" w:hAnsi="Times New Roman" w:eastAsia="宋体" w:cs="Times New Roman"/>
          <w:color w:val="000000" w:themeColor="text1"/>
          <w:kern w:val="0"/>
          <w:sz w:val="24"/>
          <w:szCs w:val="24"/>
          <w:highlight w:val="none"/>
          <w:lang w:val="en-US" w:eastAsia="zh-CN"/>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对已有评论内容进行转译，将文本转译成适用于</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ROST软件分析</w:t>
      </w:r>
      <w:r>
        <w:rPr>
          <w:rFonts w:hint="default" w:ascii="Times New Roman" w:hAnsi="Times New Roman" w:eastAsia="宋体" w:cs="Times New Roman"/>
          <w:color w:val="000000" w:themeColor="text1"/>
          <w:kern w:val="0"/>
          <w:sz w:val="24"/>
          <w:szCs w:val="24"/>
          <w14:textFill>
            <w14:solidFill>
              <w14:schemeClr w14:val="tx1"/>
            </w14:solidFill>
          </w14:textFill>
        </w:rPr>
        <w:t>的内容，包括谐音字</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改写，如</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耗油石粒</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改为</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好有实力</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，最后得到有效评论数据</w:t>
      </w:r>
      <w:r>
        <w:rPr>
          <w:rFonts w:hint="default" w:ascii="Times New Roman" w:hAnsi="Times New Roman" w:eastAsia="宋体" w:cs="Times New Roman"/>
          <w:color w:val="000000" w:themeColor="text1"/>
          <w:kern w:val="0"/>
          <w:sz w:val="24"/>
          <w:szCs w:val="24"/>
          <w:highlight w:val="none"/>
          <w:lang w:val="en-US" w:eastAsia="zh-CN"/>
          <w14:textFill>
            <w14:solidFill>
              <w14:schemeClr w14:val="tx1"/>
            </w14:solidFill>
          </w14:textFill>
        </w:rPr>
        <w:t>597条，共计10595字。</w:t>
      </w:r>
    </w:p>
    <w:p w14:paraId="0EE869EA">
      <w:pPr>
        <w:pStyle w:val="3"/>
        <w:bidi w:val="0"/>
        <w:rPr>
          <w:rFonts w:hint="default" w:ascii="Times New Roman" w:hAnsi="Times New Roman" w:cs="Times New Roman"/>
          <w:lang w:val="en-US" w:eastAsia="zh-CN"/>
        </w:rPr>
      </w:pPr>
      <w:bookmarkStart w:id="11" w:name="_Toc20162"/>
      <w:r>
        <w:rPr>
          <w:rFonts w:hint="default" w:ascii="Times New Roman" w:hAnsi="Times New Roman" w:cs="Times New Roman"/>
          <w:lang w:val="en-US" w:eastAsia="zh-CN"/>
        </w:rPr>
        <w:t>三、魔道祖师谷子ROST语义网络分析</w:t>
      </w:r>
      <w:bookmarkEnd w:id="11"/>
    </w:p>
    <w:p w14:paraId="30117A93">
      <w:pPr>
        <w:keepNext w:val="0"/>
        <w:keepLines w:val="0"/>
        <w:pageBreakBefore w:val="0"/>
        <w:kinsoku/>
        <w:wordWrap/>
        <w:overflowPunct/>
        <w:topLinePunct w:val="0"/>
        <w:autoSpaceDE/>
        <w:autoSpaceDN/>
        <w:bidi w:val="0"/>
        <w:adjustRightInd/>
        <w:snapToGrid/>
        <w:spacing w:before="156" w:beforeLines="50" w:line="400" w:lineRule="exact"/>
        <w:ind w:firstLine="480" w:firstLineChars="200"/>
        <w:rPr>
          <w:rFonts w:hint="default" w:ascii="Times New Roman" w:hAnsi="Times New Roman" w:cs="Times New Roman"/>
        </w:rPr>
      </w:pP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使用ROST语义网络分析来探究魔道祖师谷子评论主题。语义网络分析是一种文本分析方法，通过识别文本中的关键词和它们之间的共现关系（关键词在文本中一起出现的频率）来构建一个网络图，使用箭头进行连接。有助于理解文本的主题结构，本课题分析结果如下：</w:t>
      </w:r>
    </w:p>
    <w:p w14:paraId="1B1F7B9D">
      <w:pPr>
        <w:keepNext w:val="0"/>
        <w:keepLines w:val="0"/>
        <w:pageBreakBefore w:val="0"/>
        <w:widowControl w:val="0"/>
        <w:kinsoku/>
        <w:wordWrap/>
        <w:overflowPunct/>
        <w:topLinePunct w:val="0"/>
        <w:autoSpaceDE/>
        <w:autoSpaceDN/>
        <w:bidi w:val="0"/>
        <w:adjustRightInd/>
        <w:snapToGrid/>
        <w:spacing w:before="156" w:beforeLines="50" w:line="360" w:lineRule="auto"/>
        <w:textAlignment w:val="auto"/>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pPr>
      <w:r>
        <w:rPr>
          <w:rFonts w:hint="default" w:ascii="Times New Roman" w:hAnsi="Times New Roman" w:cs="Times New Roman"/>
        </w:rPr>
        <w:drawing>
          <wp:inline distT="0" distB="0" distL="114300" distR="114300">
            <wp:extent cx="5271135" cy="260413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135" cy="2604135"/>
                    </a:xfrm>
                    <a:prstGeom prst="rect">
                      <a:avLst/>
                    </a:prstGeom>
                  </pic:spPr>
                </pic:pic>
              </a:graphicData>
            </a:graphic>
          </wp:inline>
        </w:drawing>
      </w:r>
    </w:p>
    <w:p w14:paraId="6A4AEBE4">
      <w:pPr>
        <w:keepNext w:val="0"/>
        <w:keepLines w:val="0"/>
        <w:pageBreakBefore w:val="0"/>
        <w:kinsoku/>
        <w:wordWrap/>
        <w:overflowPunct/>
        <w:topLinePunct w:val="0"/>
        <w:autoSpaceDE/>
        <w:autoSpaceDN/>
        <w:bidi w:val="0"/>
        <w:adjustRightInd/>
        <w:snapToGrid/>
        <w:spacing w:before="156" w:beforeLines="50" w:line="400" w:lineRule="exact"/>
        <w:ind w:firstLine="420" w:firstLineChars="200"/>
        <w:jc w:val="center"/>
        <w:rPr>
          <w:rFonts w:hint="default" w:ascii="Times New Roman" w:hAnsi="Times New Roman" w:eastAsia="宋体" w:cs="Times New Roman"/>
          <w:color w:val="000000" w:themeColor="text1"/>
          <w:kern w:val="0"/>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kern w:val="0"/>
          <w:sz w:val="21"/>
          <w:szCs w:val="21"/>
          <w:lang w:val="en-US" w:eastAsia="zh-CN"/>
          <w14:textFill>
            <w14:solidFill>
              <w14:schemeClr w14:val="tx1"/>
            </w14:solidFill>
          </w14:textFill>
        </w:rPr>
        <w:t>图2-1 魔道祖师谷子消费现状</w:t>
      </w:r>
    </w:p>
    <w:p w14:paraId="2DFBFAA9">
      <w:pPr>
        <w:keepNext w:val="0"/>
        <w:keepLines w:val="0"/>
        <w:pageBreakBefore w:val="0"/>
        <w:kinsoku/>
        <w:wordWrap/>
        <w:overflowPunct/>
        <w:topLinePunct w:val="0"/>
        <w:autoSpaceDE/>
        <w:autoSpaceDN/>
        <w:bidi w:val="0"/>
        <w:adjustRightInd/>
        <w:snapToGrid/>
        <w:spacing w:before="156" w:beforeLines="50" w:line="400" w:lineRule="exact"/>
        <w:ind w:firstLine="480" w:firstLineChars="200"/>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结合具体评论分析，关于谷子的消费现状的主题是讨论为什么要购买谷子的原因，与联名相连接有</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好看</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周边</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开心</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沪上阿姨</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好喝</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等关键词，因为魔道祖师经常与餐饮行业联名，如沪上阿姨、古茗和觅星社，发行的周边（皮牌、吧唧）柄图好看品质高且价格便宜，如</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觅星社出了新谷还没线上通贩，上海大悦城有快闪店你可以去看看，那个柄图和三折叠的卡很好看</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芙蕖风和苍雪林宿，卯跃坤灵，红衣骑行，沪上阿姨联名吧唧，少年如故，春花系列，都超好看，前两个最好看</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p>
    <w:p w14:paraId="0279E055">
      <w:pPr>
        <w:keepNext w:val="0"/>
        <w:keepLines w:val="0"/>
        <w:pageBreakBefore w:val="0"/>
        <w:kinsoku/>
        <w:wordWrap/>
        <w:overflowPunct/>
        <w:topLinePunct w:val="0"/>
        <w:autoSpaceDE/>
        <w:autoSpaceDN/>
        <w:bidi w:val="0"/>
        <w:adjustRightInd/>
        <w:snapToGrid/>
        <w:spacing w:before="156" w:beforeLines="50" w:line="400" w:lineRule="exact"/>
        <w:ind w:firstLine="480" w:firstLineChars="200"/>
        <w:rPr>
          <w:rFonts w:hint="default" w:ascii="Times New Roman" w:hAnsi="Times New Roman" w:eastAsia="宋体" w:cs="Times New Roman"/>
          <w:b/>
          <w:bCs/>
          <w:color w:val="000000" w:themeColor="text1"/>
          <w:kern w:val="0"/>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另一个主题为</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好看</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，相连接关键词有</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飞花甘露</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齿轮太太</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立牌</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，其中</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立牌</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为次核心主题，与</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枇杷</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乐队</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等关键词高度相关。这些关键词和</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少年如故</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一样，</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反光</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一样，描述了喜欢魔道祖师谷子的原因。其一是谷子画质精美，</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飞花甘露</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乐队</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少年如故</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都是公认神图系列，体现了IP人物形象或意境美。如</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日谷啊，那肯定是飞花甘露系列和执事系列没跑了</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乐队长发真的巨美，越吃越喜欢那种</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国谷少年如故，……日谷百鬼，龙狐，飞花甘露（都必买）</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齿轮太太是其中画风最受好评的画师，有评论提到</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齿轮大大的谷都超好看</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齿轮的每个柄都很好，只喜欢她的</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p>
    <w:p w14:paraId="0D4C5D2B">
      <w:pPr>
        <w:keepNext w:val="0"/>
        <w:keepLines w:val="0"/>
        <w:pageBreakBefore w:val="0"/>
        <w:kinsoku/>
        <w:wordWrap/>
        <w:overflowPunct/>
        <w:topLinePunct w:val="0"/>
        <w:autoSpaceDE/>
        <w:autoSpaceDN/>
        <w:bidi w:val="0"/>
        <w:adjustRightInd/>
        <w:snapToGrid/>
        <w:spacing w:before="156" w:beforeLines="50" w:line="400" w:lineRule="exact"/>
        <w:ind w:firstLine="480" w:firstLineChars="200"/>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另外，与原著IP名场面相关的谷子更受读者欢迎，如日谷百凤山、枇杷、大婚都是读者津津乐道的谷子。谷子特殊的工艺，如烫金、拉丝、白瓷底、镭射等比普通谷子更受欢迎，如</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超爱下面这个光栅吧唧</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反光吧唧太漂亮啦</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p>
    <w:p w14:paraId="3A3248DB">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firstLineChars="20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252345" cy="2815590"/>
            <wp:effectExtent l="0" t="0" r="5080"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252345" cy="281559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548255" cy="2823210"/>
            <wp:effectExtent l="0" t="0" r="4445"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2548255" cy="2823210"/>
                    </a:xfrm>
                    <a:prstGeom prst="rect">
                      <a:avLst/>
                    </a:prstGeom>
                    <a:noFill/>
                    <a:ln>
                      <a:noFill/>
                    </a:ln>
                  </pic:spPr>
                </pic:pic>
              </a:graphicData>
            </a:graphic>
          </wp:inline>
        </w:drawing>
      </w:r>
    </w:p>
    <w:p w14:paraId="1116B40F">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firstLineChars="200"/>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 xml:space="preserve">图2-2 </w:t>
      </w:r>
      <w:r>
        <w:rPr>
          <w:rFonts w:hint="eastAsia" w:ascii="Times New Roman" w:hAnsi="Times New Roman" w:cs="Times New Roman"/>
          <w:lang w:val="en-US" w:eastAsia="zh-CN"/>
        </w:rPr>
        <w:t>魔道祖师</w:t>
      </w:r>
      <w:r>
        <w:rPr>
          <w:rFonts w:hint="default" w:ascii="Times New Roman" w:hAnsi="Times New Roman" w:cs="Times New Roman"/>
          <w:lang w:val="en-US" w:eastAsia="zh-CN"/>
        </w:rPr>
        <w:t>飞花甘露系列与少年如故系列谷子</w:t>
      </w:r>
    </w:p>
    <w:p w14:paraId="016CBF6D">
      <w:pPr>
        <w:keepNext w:val="0"/>
        <w:keepLines w:val="0"/>
        <w:pageBreakBefore w:val="0"/>
        <w:widowControl w:val="0"/>
        <w:kinsoku/>
        <w:wordWrap/>
        <w:overflowPunct/>
        <w:topLinePunct w:val="0"/>
        <w:autoSpaceDE/>
        <w:autoSpaceDN/>
        <w:bidi w:val="0"/>
        <w:adjustRightInd/>
        <w:snapToGrid/>
        <w:spacing w:before="156" w:beforeLines="50" w:line="360" w:lineRule="auto"/>
        <w:textAlignment w:val="auto"/>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pPr>
      <w:r>
        <w:rPr>
          <w:rFonts w:hint="default" w:ascii="Times New Roman" w:hAnsi="Times New Roman" w:cs="Times New Roman"/>
        </w:rPr>
        <w:drawing>
          <wp:inline distT="0" distB="0" distL="114300" distR="114300">
            <wp:extent cx="5274310" cy="3140075"/>
            <wp:effectExtent l="0" t="0" r="2540" b="3175"/>
            <wp:docPr id="8261649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64925"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140075"/>
                    </a:xfrm>
                    <a:prstGeom prst="rect">
                      <a:avLst/>
                    </a:prstGeom>
                  </pic:spPr>
                </pic:pic>
              </a:graphicData>
            </a:graphic>
          </wp:inline>
        </w:drawing>
      </w:r>
    </w:p>
    <w:p w14:paraId="5DDB9993">
      <w:pPr>
        <w:keepNext w:val="0"/>
        <w:keepLines w:val="0"/>
        <w:pageBreakBefore w:val="0"/>
        <w:kinsoku/>
        <w:wordWrap/>
        <w:overflowPunct/>
        <w:topLinePunct w:val="0"/>
        <w:autoSpaceDE/>
        <w:autoSpaceDN/>
        <w:bidi w:val="0"/>
        <w:adjustRightInd/>
        <w:snapToGrid/>
        <w:spacing w:before="156" w:beforeLines="50" w:line="400" w:lineRule="exact"/>
        <w:ind w:firstLine="420" w:firstLineChars="200"/>
        <w:jc w:val="cente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kern w:val="0"/>
          <w:sz w:val="21"/>
          <w:szCs w:val="21"/>
          <w:lang w:val="en-US" w:eastAsia="zh-CN"/>
          <w14:textFill>
            <w14:solidFill>
              <w14:schemeClr w14:val="tx1"/>
            </w14:solidFill>
          </w14:textFill>
        </w:rPr>
        <w:t>图</w:t>
      </w:r>
      <w:r>
        <w:rPr>
          <w:rFonts w:hint="eastAsia" w:ascii="Times New Roman" w:hAnsi="Times New Roman" w:eastAsia="宋体" w:cs="Times New Roman"/>
          <w:color w:val="000000" w:themeColor="text1"/>
          <w:kern w:val="0"/>
          <w:sz w:val="21"/>
          <w:szCs w:val="21"/>
          <w:lang w:val="en-US" w:eastAsia="zh-CN"/>
          <w14:textFill>
            <w14:solidFill>
              <w14:schemeClr w14:val="tx1"/>
            </w14:solidFill>
          </w14:textFill>
        </w:rPr>
        <w:t>2</w:t>
      </w:r>
      <w:r>
        <w:rPr>
          <w:rFonts w:hint="default" w:ascii="Times New Roman" w:hAnsi="Times New Roman" w:eastAsia="宋体" w:cs="Times New Roman"/>
          <w:color w:val="000000" w:themeColor="text1"/>
          <w:kern w:val="0"/>
          <w:sz w:val="21"/>
          <w:szCs w:val="21"/>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1"/>
          <w:szCs w:val="21"/>
          <w:lang w:val="en-US" w:eastAsia="zh-CN"/>
          <w14:textFill>
            <w14:solidFill>
              <w14:schemeClr w14:val="tx1"/>
            </w14:solidFill>
          </w14:textFill>
        </w:rPr>
        <w:t>3</w:t>
      </w:r>
      <w:r>
        <w:rPr>
          <w:rFonts w:hint="default" w:ascii="Times New Roman" w:hAnsi="Times New Roman" w:eastAsia="宋体" w:cs="Times New Roman"/>
          <w:color w:val="000000" w:themeColor="text1"/>
          <w:kern w:val="0"/>
          <w:sz w:val="21"/>
          <w:szCs w:val="21"/>
          <w:lang w:val="en-US" w:eastAsia="zh-CN"/>
          <w14:textFill>
            <w14:solidFill>
              <w14:schemeClr w14:val="tx1"/>
            </w14:solidFill>
          </w14:textFill>
        </w:rPr>
        <w:t xml:space="preserve"> 魔道祖师谷子消费陷阱</w:t>
      </w:r>
    </w:p>
    <w:p w14:paraId="736C081E">
      <w:pPr>
        <w:keepNext w:val="0"/>
        <w:keepLines w:val="0"/>
        <w:pageBreakBefore w:val="0"/>
        <w:kinsoku/>
        <w:wordWrap/>
        <w:overflowPunct/>
        <w:topLinePunct w:val="0"/>
        <w:autoSpaceDE/>
        <w:autoSpaceDN/>
        <w:bidi w:val="0"/>
        <w:adjustRightInd/>
        <w:snapToGrid/>
        <w:spacing w:before="156" w:beforeLines="50" w:line="400" w:lineRule="exact"/>
        <w:ind w:firstLine="480" w:firstLineChars="200"/>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结合具体评论分析，关于谷子的消费陷阱的主题是讨论购买谷子遇到的一系列关于实物品质、物流、跟团等问题，与团长相连接有</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管理</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行为</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打包</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吵架</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等关键词，因为团长是帮助购买谷子的人，一人承包沟通，购买，发货等工作，有时会出现不认真打包谷子从而造成谷子运输过程中的损坏，让消费者造成损失。如</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排发的吧唧到手划痕特多，也收到了其他团谷也没这么多划痕，吧唧表面就像钢丝球磨了一样</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其次也有团长收了钱后不发货也不退款，或者直接卷钱消失，欺诈消费者。如</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我十月份排发，还没给我发，一问退款问题就不回复，是不是跑路了，能不能报警</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一问发货问题就消失，还有的没退完款，但是突然把v号改了，大家加不上也找不到，是不是要跑但是还犹豫</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。与</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冷门</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相关的关键词则反映了团长强制捆绑消费问题，如</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而且团长根本不捆 吃的全是好的 当时只要他捆了就解决了 非要我多捆[微笑R] 问他怎么不捆说不是默认无捆的吗[微笑R]谁给你默认了 又没写 团里就是团长是天是吧 后面有次烫倒是吃到了结果冷又爆了又让我捆[微笑R]随机捆呵呵 爆配了也不调价 直接让大冤种捆 谁知道怎么随机的 不还是他让谁捆就捆</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伞立牌和吧唧白菜价，几个捆物让我兜底[大笑R]</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。因部分谷子稀少，价格炒作较高，买谷被称为</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肾款</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，与团长在非购物平台交易（微信等）而导致维权困难，即</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 xml:space="preserve"> 要收钱滴时候就出来了，问退肾的时候就消失了</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p>
    <w:p w14:paraId="790DBF96">
      <w:pPr>
        <w:keepNext w:val="0"/>
        <w:keepLines w:val="0"/>
        <w:pageBreakBefore w:val="0"/>
        <w:kinsoku/>
        <w:wordWrap/>
        <w:overflowPunct/>
        <w:topLinePunct w:val="0"/>
        <w:autoSpaceDE/>
        <w:autoSpaceDN/>
        <w:bidi w:val="0"/>
        <w:adjustRightInd/>
        <w:snapToGrid/>
        <w:spacing w:before="156" w:beforeLines="50" w:line="400" w:lineRule="exact"/>
        <w:ind w:firstLine="480" w:firstLineChars="200"/>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再者，评论区提到的如</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棉花娃娃</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瘪瘪的</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瑕疵</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伤心</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等关键词，体现谷子质量不良也是一个消费陷阱，消费者会购买的谷子质量不好而感到不满的情绪，认为IP开发商在</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割韭菜</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，如</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minidoll的娃质量都好差，我也买了个羡羡的娃，因为腰带的魔术贴歪了，导致衣服被刮坏了，气的我都想打死自己</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迷你豆拉胯也不是一天两天了，出棉花类玩偶的时候质量就很差[叹气R]惨还是毛毛惨，被割最狠的韭菜，完了迷你豆去赚别的ip钱，出了丑娃人家还要骂这是毛店毛全责</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w:t>
      </w:r>
    </w:p>
    <w:p w14:paraId="28D7F81C">
      <w:pPr>
        <w:pStyle w:val="3"/>
        <w:bidi w:val="0"/>
        <w:rPr>
          <w:rFonts w:hint="default" w:ascii="Times New Roman" w:hAnsi="Times New Roman" w:cs="Times New Roman"/>
          <w:lang w:val="en-US" w:eastAsia="zh-CN"/>
        </w:rPr>
      </w:pPr>
      <w:bookmarkStart w:id="12" w:name="_Toc11577"/>
      <w:r>
        <w:rPr>
          <w:rFonts w:hint="default" w:ascii="Times New Roman" w:hAnsi="Times New Roman" w:cs="Times New Roman"/>
          <w:lang w:val="en-US" w:eastAsia="zh-CN"/>
        </w:rPr>
        <w:t>四、结论</w:t>
      </w:r>
      <w:bookmarkEnd w:id="12"/>
    </w:p>
    <w:p w14:paraId="68A42DE4">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本研究通过社媒聆听和ROST语义网络分析，分析了魔道祖师谷子消费现状和消费陷阱。消费者购买魔道祖师谷子是因为其质量精美，人物画面精美、设计或包装独特；还因为相关营销手段，如线下活动、联名周边产品的吸引力、限量发售等。能体现原著IP还有相关的名场面的谷子备受消费者青睐。</w:t>
      </w:r>
    </w:p>
    <w:p w14:paraId="411DA2A9">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消费者在购买过程中面临的一系列消费陷阱主要集中在品质和物流方面。部分团长包装管理不善、欺诈行为及强制捆绑消费引起消费者极大不满，且部分消费者在微信等非购物平台进行交易，导致维权困难。此外，也有部分IP开发商因追求盈利，忽视了产品质量，导致消费者感到被</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割韭菜</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w:t>
      </w:r>
    </w:p>
    <w:p w14:paraId="77E404FC">
      <w:pPr>
        <w:keepNext w:val="0"/>
        <w:keepLines w:val="0"/>
        <w:pageBreakBefore w:val="0"/>
        <w:kinsoku/>
        <w:wordWrap/>
        <w:overflowPunct/>
        <w:topLinePunct w:val="0"/>
        <w:autoSpaceDE/>
        <w:autoSpaceDN/>
        <w:bidi w:val="0"/>
        <w:adjustRightInd/>
        <w:snapToGrid/>
        <w:spacing w:line="400" w:lineRule="exac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br w:type="page"/>
      </w:r>
    </w:p>
    <w:p w14:paraId="41145098">
      <w:pPr>
        <w:pStyle w:val="2"/>
        <w:bidi w:val="0"/>
        <w:rPr>
          <w:rFonts w:hint="default" w:ascii="Times New Roman" w:hAnsi="Times New Roman" w:cs="Times New Roman"/>
          <w:lang w:val="en-US" w:eastAsia="zh-CN"/>
        </w:rPr>
      </w:pPr>
      <w:bookmarkStart w:id="13" w:name="_Toc32445"/>
      <w:r>
        <w:rPr>
          <w:rFonts w:hint="default" w:ascii="Times New Roman" w:hAnsi="Times New Roman" w:cs="Times New Roman"/>
          <w:lang w:val="en-US" w:eastAsia="zh-CN"/>
        </w:rPr>
        <w:t>第三章 谷子消费现状与消费陷阱问卷分析</w:t>
      </w:r>
      <w:bookmarkEnd w:id="13"/>
    </w:p>
    <w:p w14:paraId="48FEE60B">
      <w:pPr>
        <w:pStyle w:val="3"/>
        <w:bidi w:val="0"/>
        <w:rPr>
          <w:rFonts w:hint="default" w:ascii="Times New Roman" w:hAnsi="Times New Roman" w:cs="Times New Roman"/>
          <w:lang w:val="en-US" w:eastAsia="zh-CN"/>
        </w:rPr>
      </w:pPr>
      <w:bookmarkStart w:id="14" w:name="_Toc24108"/>
      <w:r>
        <w:rPr>
          <w:rFonts w:hint="default" w:ascii="Times New Roman" w:hAnsi="Times New Roman" w:cs="Times New Roman"/>
          <w:lang w:val="en-US" w:eastAsia="zh-CN"/>
        </w:rPr>
        <w:t>一、</w:t>
      </w:r>
      <w:r>
        <w:rPr>
          <w:rFonts w:hint="default" w:ascii="Times New Roman" w:hAnsi="Times New Roman" w:cs="Times New Roman"/>
        </w:rPr>
        <w:t>研究对象</w:t>
      </w:r>
      <w:bookmarkEnd w:id="14"/>
      <w:r>
        <w:rPr>
          <w:rFonts w:hint="default" w:ascii="Times New Roman" w:hAnsi="Times New Roman" w:cs="Times New Roman"/>
          <w:lang w:val="en-US" w:eastAsia="zh-CN"/>
        </w:rPr>
        <w:t xml:space="preserve"> </w:t>
      </w:r>
    </w:p>
    <w:p w14:paraId="405D52F1">
      <w:pPr>
        <w:pStyle w:val="10"/>
        <w:keepNext w:val="0"/>
        <w:keepLines w:val="0"/>
        <w:pageBreakBefore w:val="0"/>
        <w:kinsoku/>
        <w:wordWrap/>
        <w:overflowPunct/>
        <w:topLinePunct w:val="0"/>
        <w:autoSpaceDE/>
        <w:autoSpaceDN/>
        <w:bidi w:val="0"/>
        <w:adjustRightInd/>
        <w:snapToGrid/>
        <w:spacing w:line="400" w:lineRule="exact"/>
        <w:ind w:firstLine="420"/>
        <w:jc w:val="both"/>
        <w:rPr>
          <w:rFonts w:hint="default" w:ascii="Times New Roman" w:hAnsi="Times New Roman" w:eastAsia="宋体" w:cs="Times New Roman"/>
          <w:color w:val="000000" w:themeColor="text1"/>
          <w:kern w:val="1"/>
          <w:sz w:val="24"/>
          <w:szCs w:val="24"/>
          <w14:textFill>
            <w14:solidFill>
              <w14:schemeClr w14:val="tx1"/>
            </w14:solidFill>
          </w14:textFill>
        </w:rPr>
      </w:pPr>
      <w:r>
        <w:rPr>
          <w:rFonts w:hint="default" w:ascii="Times New Roman" w:hAnsi="Times New Roman" w:eastAsia="宋体" w:cs="Times New Roman"/>
          <w:color w:val="000000" w:themeColor="text1"/>
          <w:kern w:val="1"/>
          <w:sz w:val="24"/>
          <w:szCs w:val="24"/>
          <w14:textFill>
            <w14:solidFill>
              <w14:schemeClr w14:val="tx1"/>
            </w14:solidFill>
          </w14:textFill>
        </w:rPr>
        <w:t>本研究</w:t>
      </w:r>
      <w:r>
        <w:rPr>
          <w:rFonts w:hint="eastAsia" w:ascii="Times New Roman" w:hAnsi="Times New Roman" w:eastAsia="宋体" w:cs="Times New Roman"/>
          <w:color w:val="000000" w:themeColor="text1"/>
          <w:kern w:val="1"/>
          <w:sz w:val="24"/>
          <w:szCs w:val="24"/>
          <w:lang w:val="en-US" w:eastAsia="zh-CN"/>
          <w14:textFill>
            <w14:solidFill>
              <w14:schemeClr w14:val="tx1"/>
            </w14:solidFill>
          </w14:textFill>
        </w:rPr>
        <w:t>根据魔道祖师谷子消费情况，设计谷子（IP衍生产品）消费情况问卷，旨在调查谷子消费现状和消费陷阱。调查</w:t>
      </w:r>
      <w:r>
        <w:rPr>
          <w:rFonts w:hint="default" w:ascii="Times New Roman" w:hAnsi="Times New Roman" w:eastAsia="宋体" w:cs="Times New Roman"/>
          <w:color w:val="000000" w:themeColor="text1"/>
          <w:kern w:val="1"/>
          <w:sz w:val="24"/>
          <w:szCs w:val="24"/>
          <w14:textFill>
            <w14:solidFill>
              <w14:schemeClr w14:val="tx1"/>
            </w14:solidFill>
          </w14:textFill>
        </w:rPr>
        <w:t>结合概率抽样与非概率抽样，通过问卷星平台设计发放并接收问卷，采用的主要调研</w:t>
      </w:r>
      <w:r>
        <w:rPr>
          <w:rFonts w:hint="default" w:ascii="Times New Roman" w:hAnsi="Times New Roman" w:eastAsia="宋体" w:cs="Times New Roman"/>
          <w:color w:val="000000" w:themeColor="text1"/>
          <w:kern w:val="1"/>
          <w:sz w:val="24"/>
          <w:szCs w:val="24"/>
          <w:lang w:val="en-US" w:eastAsia="zh-CN"/>
          <w14:textFill>
            <w14:solidFill>
              <w14:schemeClr w14:val="tx1"/>
            </w14:solidFill>
          </w14:textFill>
        </w:rPr>
        <w:t>背景</w:t>
      </w:r>
      <w:r>
        <w:rPr>
          <w:rFonts w:hint="default" w:ascii="Times New Roman" w:hAnsi="Times New Roman" w:eastAsia="宋体" w:cs="Times New Roman"/>
          <w:color w:val="000000" w:themeColor="text1"/>
          <w:kern w:val="1"/>
          <w:sz w:val="24"/>
          <w:szCs w:val="24"/>
          <w14:textFill>
            <w14:solidFill>
              <w14:schemeClr w14:val="tx1"/>
            </w14:solidFill>
          </w14:textFill>
        </w:rPr>
        <w:t>有性别，</w:t>
      </w:r>
      <w:r>
        <w:rPr>
          <w:rFonts w:hint="default" w:ascii="Times New Roman" w:hAnsi="Times New Roman" w:eastAsia="宋体" w:cs="Times New Roman"/>
          <w:color w:val="000000" w:themeColor="text1"/>
          <w:kern w:val="1"/>
          <w:sz w:val="24"/>
          <w:szCs w:val="24"/>
          <w:lang w:val="en-US" w:eastAsia="zh-CN"/>
          <w14:textFill>
            <w14:solidFill>
              <w14:schemeClr w14:val="tx1"/>
            </w14:solidFill>
          </w14:textFill>
        </w:rPr>
        <w:t>年龄</w:t>
      </w:r>
      <w:r>
        <w:rPr>
          <w:rFonts w:hint="default" w:ascii="Times New Roman" w:hAnsi="Times New Roman" w:eastAsia="宋体" w:cs="Times New Roman"/>
          <w:color w:val="000000" w:themeColor="text1"/>
          <w:kern w:val="1"/>
          <w:sz w:val="24"/>
          <w:szCs w:val="24"/>
          <w14:textFill>
            <w14:solidFill>
              <w14:schemeClr w14:val="tx1"/>
            </w14:solidFill>
          </w14:textFill>
        </w:rPr>
        <w:t>，</w:t>
      </w:r>
      <w:r>
        <w:rPr>
          <w:rFonts w:hint="default" w:ascii="Times New Roman" w:hAnsi="Times New Roman" w:eastAsia="宋体" w:cs="Times New Roman"/>
          <w:color w:val="000000" w:themeColor="text1"/>
          <w:kern w:val="1"/>
          <w:sz w:val="24"/>
          <w:szCs w:val="24"/>
          <w:lang w:val="en-US" w:eastAsia="zh-CN"/>
          <w14:textFill>
            <w14:solidFill>
              <w14:schemeClr w14:val="tx1"/>
            </w14:solidFill>
          </w14:textFill>
        </w:rPr>
        <w:t>学历，</w:t>
      </w:r>
      <w:r>
        <w:rPr>
          <w:rFonts w:hint="default" w:ascii="Times New Roman" w:hAnsi="Times New Roman" w:eastAsia="宋体" w:cs="Times New Roman"/>
          <w:color w:val="000000" w:themeColor="text1"/>
          <w:kern w:val="1"/>
          <w:sz w:val="24"/>
          <w:szCs w:val="24"/>
          <w14:textFill>
            <w14:solidFill>
              <w14:schemeClr w14:val="tx1"/>
            </w14:solidFill>
          </w14:textFill>
        </w:rPr>
        <w:t>所居住城市等。通过线上问卷采集，累计收回问卷</w:t>
      </w:r>
      <w:r>
        <w:rPr>
          <w:rFonts w:hint="default" w:ascii="Times New Roman" w:hAnsi="Times New Roman" w:eastAsia="宋体" w:cs="Times New Roman"/>
          <w:color w:val="000000" w:themeColor="text1"/>
          <w:kern w:val="1"/>
          <w:sz w:val="24"/>
          <w:szCs w:val="24"/>
          <w:lang w:val="en-US" w:eastAsia="zh-CN"/>
          <w14:textFill>
            <w14:solidFill>
              <w14:schemeClr w14:val="tx1"/>
            </w14:solidFill>
          </w14:textFill>
        </w:rPr>
        <w:t>260份</w:t>
      </w:r>
      <w:r>
        <w:rPr>
          <w:rFonts w:hint="default" w:ascii="Times New Roman" w:hAnsi="Times New Roman" w:eastAsia="宋体" w:cs="Times New Roman"/>
          <w:color w:val="000000" w:themeColor="text1"/>
          <w:kern w:val="1"/>
          <w:sz w:val="24"/>
          <w:szCs w:val="24"/>
          <w14:textFill>
            <w14:solidFill>
              <w14:schemeClr w14:val="tx1"/>
            </w14:solidFill>
          </w14:textFill>
        </w:rPr>
        <w:t>，问卷有效率100%。</w:t>
      </w:r>
    </w:p>
    <w:p w14:paraId="1247FA3B">
      <w:pPr>
        <w:pStyle w:val="10"/>
        <w:keepNext w:val="0"/>
        <w:keepLines w:val="0"/>
        <w:pageBreakBefore w:val="0"/>
        <w:kinsoku/>
        <w:wordWrap/>
        <w:overflowPunct/>
        <w:topLinePunct w:val="0"/>
        <w:autoSpaceDE/>
        <w:autoSpaceDN/>
        <w:bidi w:val="0"/>
        <w:adjustRightInd/>
        <w:snapToGrid/>
        <w:spacing w:line="400" w:lineRule="exact"/>
        <w:ind w:firstLine="420"/>
        <w:jc w:val="both"/>
        <w:rPr>
          <w:rFonts w:hint="default" w:ascii="Times New Roman" w:hAnsi="Times New Roman" w:eastAsia="宋体" w:cs="Times New Roman"/>
          <w:color w:val="000000" w:themeColor="text1"/>
          <w:kern w:val="1"/>
          <w:sz w:val="24"/>
          <w:szCs w:val="24"/>
          <w14:textFill>
            <w14:solidFill>
              <w14:schemeClr w14:val="tx1"/>
            </w14:solidFill>
          </w14:textFill>
        </w:rPr>
      </w:pPr>
      <w:r>
        <w:rPr>
          <w:rFonts w:hint="default" w:ascii="Times New Roman" w:hAnsi="Times New Roman" w:eastAsia="宋体" w:cs="Times New Roman"/>
          <w:color w:val="000000" w:themeColor="text1"/>
          <w:kern w:val="1"/>
          <w:sz w:val="24"/>
          <w:szCs w:val="24"/>
          <w14:textFill>
            <w14:solidFill>
              <w14:schemeClr w14:val="tx1"/>
            </w14:solidFill>
          </w14:textFill>
        </w:rPr>
        <w:t>样本的总体情况见下表。</w:t>
      </w:r>
    </w:p>
    <w:p w14:paraId="35526F7F">
      <w:pPr>
        <w:pStyle w:val="10"/>
        <w:keepNext w:val="0"/>
        <w:keepLines w:val="0"/>
        <w:pageBreakBefore w:val="0"/>
        <w:kinsoku/>
        <w:wordWrap/>
        <w:overflowPunct/>
        <w:topLinePunct w:val="0"/>
        <w:autoSpaceDE/>
        <w:autoSpaceDN/>
        <w:bidi w:val="0"/>
        <w:adjustRightInd/>
        <w:snapToGrid/>
        <w:spacing w:line="400" w:lineRule="exact"/>
        <w:ind w:firstLine="420"/>
        <w:jc w:val="center"/>
        <w:rPr>
          <w:rFonts w:hint="default" w:ascii="Times New Roman" w:hAnsi="Times New Roman" w:eastAsia="宋体" w:cs="Times New Roman"/>
          <w:color w:val="000000" w:themeColor="text1"/>
          <w:kern w:val="1"/>
          <w:sz w:val="22"/>
          <w:szCs w:val="22"/>
          <w:lang w:val="en-US" w:eastAsia="zh-CN"/>
          <w14:textFill>
            <w14:solidFill>
              <w14:schemeClr w14:val="tx1"/>
            </w14:solidFill>
          </w14:textFill>
        </w:rPr>
      </w:pPr>
      <w:r>
        <w:rPr>
          <w:rFonts w:hint="default" w:ascii="Times New Roman" w:hAnsi="Times New Roman" w:eastAsia="宋体" w:cs="Times New Roman"/>
          <w:color w:val="000000" w:themeColor="text1"/>
          <w:kern w:val="1"/>
          <w:sz w:val="22"/>
          <w:szCs w:val="22"/>
          <w:lang w:val="en-US" w:eastAsia="zh-CN"/>
          <w14:textFill>
            <w14:solidFill>
              <w14:schemeClr w14:val="tx1"/>
            </w14:solidFill>
          </w14:textFill>
        </w:rPr>
        <w:t>表3-1 样本统计表</w:t>
      </w:r>
    </w:p>
    <w:tbl>
      <w:tblPr>
        <w:tblStyle w:val="11"/>
        <w:tblpPr w:leftFromText="180" w:rightFromText="180" w:vertAnchor="text" w:horzAnchor="page" w:tblpXSpec="center" w:tblpY="397"/>
        <w:tblOverlap w:val="never"/>
        <w:tblW w:w="4998"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09"/>
        <w:gridCol w:w="2909"/>
        <w:gridCol w:w="1198"/>
        <w:gridCol w:w="1603"/>
      </w:tblGrid>
      <w:tr w14:paraId="5DD524D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bottom w:val="single" w:color="auto" w:sz="6" w:space="0"/>
            </w:tcBorders>
            <w:shd w:val="clear" w:color="auto" w:fill="auto"/>
            <w:noWrap/>
            <w:vAlign w:val="center"/>
          </w:tcPr>
          <w:p w14:paraId="24DAD6BD">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统计量</w:t>
            </w:r>
          </w:p>
        </w:tc>
        <w:tc>
          <w:tcPr>
            <w:tcW w:w="1707" w:type="pct"/>
            <w:tcBorders>
              <w:bottom w:val="single" w:color="auto" w:sz="6" w:space="0"/>
            </w:tcBorders>
            <w:shd w:val="clear" w:color="auto" w:fill="auto"/>
            <w:noWrap/>
            <w:vAlign w:val="center"/>
          </w:tcPr>
          <w:p w14:paraId="7A6CDA9C">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属性</w:t>
            </w:r>
          </w:p>
        </w:tc>
        <w:tc>
          <w:tcPr>
            <w:tcW w:w="703" w:type="pct"/>
            <w:tcBorders>
              <w:bottom w:val="single" w:color="auto" w:sz="6" w:space="0"/>
            </w:tcBorders>
            <w:shd w:val="clear" w:color="auto" w:fill="auto"/>
            <w:noWrap/>
            <w:vAlign w:val="center"/>
          </w:tcPr>
          <w:p w14:paraId="3D0B9D97">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频率</w:t>
            </w:r>
          </w:p>
        </w:tc>
        <w:tc>
          <w:tcPr>
            <w:tcW w:w="940" w:type="pct"/>
            <w:tcBorders>
              <w:bottom w:val="single" w:color="auto" w:sz="6" w:space="0"/>
            </w:tcBorders>
            <w:shd w:val="clear" w:color="auto" w:fill="auto"/>
            <w:noWrap/>
            <w:vAlign w:val="center"/>
          </w:tcPr>
          <w:p w14:paraId="01A97AB5">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百分比</w:t>
            </w:r>
          </w:p>
        </w:tc>
      </w:tr>
      <w:tr w14:paraId="1ABD611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op w:val="single" w:color="auto" w:sz="6" w:space="0"/>
              <w:tl2br w:val="nil"/>
              <w:tr2bl w:val="nil"/>
            </w:tcBorders>
            <w:shd w:val="clear" w:color="auto" w:fill="auto"/>
            <w:noWrap/>
            <w:vAlign w:val="center"/>
          </w:tcPr>
          <w:p w14:paraId="54F3BAC1">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性别</w:t>
            </w:r>
          </w:p>
        </w:tc>
        <w:tc>
          <w:tcPr>
            <w:tcW w:w="1707" w:type="pct"/>
            <w:tcBorders>
              <w:top w:val="single" w:color="auto" w:sz="6" w:space="0"/>
              <w:tl2br w:val="nil"/>
              <w:tr2bl w:val="nil"/>
            </w:tcBorders>
            <w:shd w:val="clear" w:color="auto" w:fill="auto"/>
            <w:noWrap/>
            <w:vAlign w:val="center"/>
          </w:tcPr>
          <w:p w14:paraId="25505136">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男</w:t>
            </w:r>
          </w:p>
        </w:tc>
        <w:tc>
          <w:tcPr>
            <w:tcW w:w="703" w:type="pct"/>
            <w:tcBorders>
              <w:top w:val="single" w:color="auto" w:sz="6" w:space="0"/>
              <w:tl2br w:val="nil"/>
              <w:tr2bl w:val="nil"/>
            </w:tcBorders>
            <w:shd w:val="clear" w:color="auto" w:fill="auto"/>
            <w:noWrap/>
            <w:vAlign w:val="center"/>
          </w:tcPr>
          <w:p w14:paraId="154848F4">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94</w:t>
            </w:r>
          </w:p>
        </w:tc>
        <w:tc>
          <w:tcPr>
            <w:tcW w:w="940" w:type="pct"/>
            <w:tcBorders>
              <w:top w:val="single" w:color="auto" w:sz="6" w:space="0"/>
              <w:tl2br w:val="nil"/>
              <w:tr2bl w:val="nil"/>
            </w:tcBorders>
            <w:shd w:val="clear" w:color="auto" w:fill="auto"/>
            <w:noWrap/>
            <w:vAlign w:val="center"/>
          </w:tcPr>
          <w:p w14:paraId="1123854C">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36.2</w:t>
            </w:r>
          </w:p>
        </w:tc>
      </w:tr>
      <w:tr w14:paraId="3EF32B3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6E4391B0">
            <w:pPr>
              <w:jc w:val="center"/>
              <w:rPr>
                <w:rFonts w:hint="default" w:ascii="Times New Roman" w:hAnsi="Times New Roman" w:cs="Times New Roman"/>
                <w:color w:val="000000"/>
                <w:sz w:val="22"/>
                <w:szCs w:val="22"/>
              </w:rPr>
            </w:pPr>
          </w:p>
        </w:tc>
        <w:tc>
          <w:tcPr>
            <w:tcW w:w="1707" w:type="pct"/>
            <w:tcBorders>
              <w:tl2br w:val="nil"/>
              <w:tr2bl w:val="nil"/>
            </w:tcBorders>
            <w:shd w:val="clear" w:color="auto" w:fill="auto"/>
            <w:noWrap/>
            <w:vAlign w:val="center"/>
          </w:tcPr>
          <w:p w14:paraId="31390C51">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女</w:t>
            </w:r>
          </w:p>
        </w:tc>
        <w:tc>
          <w:tcPr>
            <w:tcW w:w="703" w:type="pct"/>
            <w:tcBorders>
              <w:tl2br w:val="nil"/>
              <w:tr2bl w:val="nil"/>
            </w:tcBorders>
            <w:shd w:val="clear" w:color="auto" w:fill="auto"/>
            <w:noWrap/>
            <w:vAlign w:val="center"/>
          </w:tcPr>
          <w:p w14:paraId="749A512B">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166</w:t>
            </w:r>
          </w:p>
        </w:tc>
        <w:tc>
          <w:tcPr>
            <w:tcW w:w="940" w:type="pct"/>
            <w:tcBorders>
              <w:tl2br w:val="nil"/>
              <w:tr2bl w:val="nil"/>
            </w:tcBorders>
            <w:shd w:val="clear" w:color="auto" w:fill="auto"/>
            <w:noWrap/>
            <w:vAlign w:val="center"/>
          </w:tcPr>
          <w:p w14:paraId="5F28E557">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63.8</w:t>
            </w:r>
          </w:p>
        </w:tc>
      </w:tr>
      <w:tr w14:paraId="78550E1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11CE03C6">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年龄</w:t>
            </w:r>
          </w:p>
        </w:tc>
        <w:tc>
          <w:tcPr>
            <w:tcW w:w="1707" w:type="pct"/>
            <w:tcBorders>
              <w:tl2br w:val="nil"/>
              <w:tr2bl w:val="nil"/>
            </w:tcBorders>
            <w:shd w:val="clear" w:color="auto" w:fill="auto"/>
            <w:noWrap/>
            <w:vAlign w:val="center"/>
          </w:tcPr>
          <w:p w14:paraId="27738325">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18岁以下</w:t>
            </w:r>
          </w:p>
        </w:tc>
        <w:tc>
          <w:tcPr>
            <w:tcW w:w="703" w:type="pct"/>
            <w:tcBorders>
              <w:tl2br w:val="nil"/>
              <w:tr2bl w:val="nil"/>
            </w:tcBorders>
            <w:shd w:val="clear" w:color="auto" w:fill="auto"/>
            <w:noWrap/>
            <w:vAlign w:val="center"/>
          </w:tcPr>
          <w:p w14:paraId="157AEF78">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70</w:t>
            </w:r>
          </w:p>
        </w:tc>
        <w:tc>
          <w:tcPr>
            <w:tcW w:w="940" w:type="pct"/>
            <w:tcBorders>
              <w:tl2br w:val="nil"/>
              <w:tr2bl w:val="nil"/>
            </w:tcBorders>
            <w:shd w:val="clear" w:color="auto" w:fill="auto"/>
            <w:noWrap/>
            <w:vAlign w:val="center"/>
          </w:tcPr>
          <w:p w14:paraId="28419DF2">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26.9</w:t>
            </w:r>
          </w:p>
        </w:tc>
      </w:tr>
      <w:tr w14:paraId="0AFB4F8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720AD655">
            <w:pPr>
              <w:jc w:val="center"/>
              <w:rPr>
                <w:rFonts w:hint="default" w:ascii="Times New Roman" w:hAnsi="Times New Roman" w:cs="Times New Roman"/>
                <w:color w:val="000000"/>
                <w:sz w:val="22"/>
                <w:szCs w:val="22"/>
              </w:rPr>
            </w:pPr>
          </w:p>
        </w:tc>
        <w:tc>
          <w:tcPr>
            <w:tcW w:w="1707" w:type="pct"/>
            <w:tcBorders>
              <w:tl2br w:val="nil"/>
              <w:tr2bl w:val="nil"/>
            </w:tcBorders>
            <w:shd w:val="clear" w:color="auto" w:fill="auto"/>
            <w:noWrap/>
            <w:vAlign w:val="center"/>
          </w:tcPr>
          <w:p w14:paraId="24CD6175">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19-25岁</w:t>
            </w:r>
          </w:p>
        </w:tc>
        <w:tc>
          <w:tcPr>
            <w:tcW w:w="703" w:type="pct"/>
            <w:tcBorders>
              <w:tl2br w:val="nil"/>
              <w:tr2bl w:val="nil"/>
            </w:tcBorders>
            <w:shd w:val="clear" w:color="auto" w:fill="auto"/>
            <w:noWrap/>
            <w:vAlign w:val="center"/>
          </w:tcPr>
          <w:p w14:paraId="7620929A">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65</w:t>
            </w:r>
          </w:p>
        </w:tc>
        <w:tc>
          <w:tcPr>
            <w:tcW w:w="940" w:type="pct"/>
            <w:tcBorders>
              <w:tl2br w:val="nil"/>
              <w:tr2bl w:val="nil"/>
            </w:tcBorders>
            <w:shd w:val="clear" w:color="auto" w:fill="auto"/>
            <w:noWrap/>
            <w:vAlign w:val="center"/>
          </w:tcPr>
          <w:p w14:paraId="5AA51AA0">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25</w:t>
            </w:r>
          </w:p>
        </w:tc>
      </w:tr>
      <w:tr w14:paraId="076092B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6627D5D9">
            <w:pPr>
              <w:jc w:val="center"/>
              <w:rPr>
                <w:rFonts w:hint="default" w:ascii="Times New Roman" w:hAnsi="Times New Roman" w:cs="Times New Roman"/>
                <w:color w:val="000000"/>
                <w:sz w:val="22"/>
                <w:szCs w:val="22"/>
              </w:rPr>
            </w:pPr>
          </w:p>
        </w:tc>
        <w:tc>
          <w:tcPr>
            <w:tcW w:w="1707" w:type="pct"/>
            <w:tcBorders>
              <w:tl2br w:val="nil"/>
              <w:tr2bl w:val="nil"/>
            </w:tcBorders>
            <w:shd w:val="clear" w:color="auto" w:fill="auto"/>
            <w:noWrap/>
            <w:vAlign w:val="center"/>
          </w:tcPr>
          <w:p w14:paraId="2143C8D1">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26-35岁</w:t>
            </w:r>
          </w:p>
        </w:tc>
        <w:tc>
          <w:tcPr>
            <w:tcW w:w="703" w:type="pct"/>
            <w:tcBorders>
              <w:tl2br w:val="nil"/>
              <w:tr2bl w:val="nil"/>
            </w:tcBorders>
            <w:shd w:val="clear" w:color="auto" w:fill="auto"/>
            <w:noWrap/>
            <w:vAlign w:val="center"/>
          </w:tcPr>
          <w:p w14:paraId="407BAB61">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68</w:t>
            </w:r>
          </w:p>
        </w:tc>
        <w:tc>
          <w:tcPr>
            <w:tcW w:w="940" w:type="pct"/>
            <w:tcBorders>
              <w:tl2br w:val="nil"/>
              <w:tr2bl w:val="nil"/>
            </w:tcBorders>
            <w:shd w:val="clear" w:color="auto" w:fill="auto"/>
            <w:noWrap/>
            <w:vAlign w:val="center"/>
          </w:tcPr>
          <w:p w14:paraId="636A7D94">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26.2</w:t>
            </w:r>
          </w:p>
        </w:tc>
      </w:tr>
      <w:tr w14:paraId="1670F2E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1EE8A124">
            <w:pPr>
              <w:jc w:val="center"/>
              <w:rPr>
                <w:rFonts w:hint="default" w:ascii="Times New Roman" w:hAnsi="Times New Roman" w:cs="Times New Roman"/>
                <w:color w:val="000000"/>
                <w:sz w:val="22"/>
                <w:szCs w:val="22"/>
              </w:rPr>
            </w:pPr>
          </w:p>
        </w:tc>
        <w:tc>
          <w:tcPr>
            <w:tcW w:w="1707" w:type="pct"/>
            <w:tcBorders>
              <w:tl2br w:val="nil"/>
              <w:tr2bl w:val="nil"/>
            </w:tcBorders>
            <w:shd w:val="clear" w:color="auto" w:fill="auto"/>
            <w:noWrap/>
            <w:vAlign w:val="center"/>
          </w:tcPr>
          <w:p w14:paraId="5D7A99D3">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36-45岁</w:t>
            </w:r>
          </w:p>
        </w:tc>
        <w:tc>
          <w:tcPr>
            <w:tcW w:w="703" w:type="pct"/>
            <w:tcBorders>
              <w:tl2br w:val="nil"/>
              <w:tr2bl w:val="nil"/>
            </w:tcBorders>
            <w:shd w:val="clear" w:color="auto" w:fill="auto"/>
            <w:noWrap/>
            <w:vAlign w:val="center"/>
          </w:tcPr>
          <w:p w14:paraId="436C12E3">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42</w:t>
            </w:r>
          </w:p>
        </w:tc>
        <w:tc>
          <w:tcPr>
            <w:tcW w:w="940" w:type="pct"/>
            <w:tcBorders>
              <w:tl2br w:val="nil"/>
              <w:tr2bl w:val="nil"/>
            </w:tcBorders>
            <w:shd w:val="clear" w:color="auto" w:fill="auto"/>
            <w:noWrap/>
            <w:vAlign w:val="center"/>
          </w:tcPr>
          <w:p w14:paraId="241D6323">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16.2</w:t>
            </w:r>
          </w:p>
        </w:tc>
      </w:tr>
      <w:tr w14:paraId="435FCD3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06247DAA">
            <w:pPr>
              <w:jc w:val="center"/>
              <w:rPr>
                <w:rFonts w:hint="default" w:ascii="Times New Roman" w:hAnsi="Times New Roman" w:cs="Times New Roman"/>
                <w:color w:val="000000"/>
                <w:sz w:val="22"/>
                <w:szCs w:val="22"/>
              </w:rPr>
            </w:pPr>
          </w:p>
        </w:tc>
        <w:tc>
          <w:tcPr>
            <w:tcW w:w="1707" w:type="pct"/>
            <w:tcBorders>
              <w:tl2br w:val="nil"/>
              <w:tr2bl w:val="nil"/>
            </w:tcBorders>
            <w:shd w:val="clear" w:color="auto" w:fill="auto"/>
            <w:noWrap/>
            <w:vAlign w:val="center"/>
          </w:tcPr>
          <w:p w14:paraId="40F59722">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46岁以后</w:t>
            </w:r>
          </w:p>
        </w:tc>
        <w:tc>
          <w:tcPr>
            <w:tcW w:w="703" w:type="pct"/>
            <w:tcBorders>
              <w:tl2br w:val="nil"/>
              <w:tr2bl w:val="nil"/>
            </w:tcBorders>
            <w:shd w:val="clear" w:color="auto" w:fill="auto"/>
            <w:noWrap/>
            <w:vAlign w:val="center"/>
          </w:tcPr>
          <w:p w14:paraId="28B3CBEB">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15</w:t>
            </w:r>
          </w:p>
        </w:tc>
        <w:tc>
          <w:tcPr>
            <w:tcW w:w="940" w:type="pct"/>
            <w:tcBorders>
              <w:tl2br w:val="nil"/>
              <w:tr2bl w:val="nil"/>
            </w:tcBorders>
            <w:shd w:val="clear" w:color="auto" w:fill="auto"/>
            <w:noWrap/>
            <w:vAlign w:val="center"/>
          </w:tcPr>
          <w:p w14:paraId="14A2C4AD">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5.8</w:t>
            </w:r>
          </w:p>
        </w:tc>
      </w:tr>
      <w:tr w14:paraId="2277A5B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4D50321C">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学历</w:t>
            </w:r>
          </w:p>
        </w:tc>
        <w:tc>
          <w:tcPr>
            <w:tcW w:w="1707" w:type="pct"/>
            <w:tcBorders>
              <w:tl2br w:val="nil"/>
              <w:tr2bl w:val="nil"/>
            </w:tcBorders>
            <w:shd w:val="clear" w:color="auto" w:fill="auto"/>
            <w:noWrap/>
            <w:vAlign w:val="center"/>
          </w:tcPr>
          <w:p w14:paraId="189F3D6E">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高中及以下</w:t>
            </w:r>
          </w:p>
        </w:tc>
        <w:tc>
          <w:tcPr>
            <w:tcW w:w="703" w:type="pct"/>
            <w:tcBorders>
              <w:tl2br w:val="nil"/>
              <w:tr2bl w:val="nil"/>
            </w:tcBorders>
            <w:shd w:val="clear" w:color="auto" w:fill="auto"/>
            <w:noWrap/>
            <w:vAlign w:val="center"/>
          </w:tcPr>
          <w:p w14:paraId="300475F6">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76</w:t>
            </w:r>
          </w:p>
        </w:tc>
        <w:tc>
          <w:tcPr>
            <w:tcW w:w="940" w:type="pct"/>
            <w:tcBorders>
              <w:tl2br w:val="nil"/>
              <w:tr2bl w:val="nil"/>
            </w:tcBorders>
            <w:shd w:val="clear" w:color="auto" w:fill="auto"/>
            <w:noWrap/>
            <w:vAlign w:val="center"/>
          </w:tcPr>
          <w:p w14:paraId="362E1F68">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29.2</w:t>
            </w:r>
          </w:p>
        </w:tc>
      </w:tr>
      <w:tr w14:paraId="4FB6225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631DE5AD">
            <w:pPr>
              <w:jc w:val="center"/>
              <w:rPr>
                <w:rFonts w:hint="default" w:ascii="Times New Roman" w:hAnsi="Times New Roman" w:cs="Times New Roman"/>
                <w:color w:val="000000"/>
                <w:sz w:val="22"/>
                <w:szCs w:val="22"/>
              </w:rPr>
            </w:pPr>
          </w:p>
        </w:tc>
        <w:tc>
          <w:tcPr>
            <w:tcW w:w="1707" w:type="pct"/>
            <w:tcBorders>
              <w:tl2br w:val="nil"/>
              <w:tr2bl w:val="nil"/>
            </w:tcBorders>
            <w:shd w:val="clear" w:color="auto" w:fill="auto"/>
            <w:noWrap/>
            <w:vAlign w:val="center"/>
          </w:tcPr>
          <w:p w14:paraId="0D010986">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大学专科</w:t>
            </w:r>
          </w:p>
        </w:tc>
        <w:tc>
          <w:tcPr>
            <w:tcW w:w="703" w:type="pct"/>
            <w:tcBorders>
              <w:tl2br w:val="nil"/>
              <w:tr2bl w:val="nil"/>
            </w:tcBorders>
            <w:shd w:val="clear" w:color="auto" w:fill="auto"/>
            <w:noWrap/>
            <w:vAlign w:val="center"/>
          </w:tcPr>
          <w:p w14:paraId="7BD70DD4">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36</w:t>
            </w:r>
          </w:p>
        </w:tc>
        <w:tc>
          <w:tcPr>
            <w:tcW w:w="940" w:type="pct"/>
            <w:tcBorders>
              <w:tl2br w:val="nil"/>
              <w:tr2bl w:val="nil"/>
            </w:tcBorders>
            <w:shd w:val="clear" w:color="auto" w:fill="auto"/>
            <w:noWrap/>
            <w:vAlign w:val="center"/>
          </w:tcPr>
          <w:p w14:paraId="043A680B">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13.8</w:t>
            </w:r>
          </w:p>
        </w:tc>
      </w:tr>
      <w:tr w14:paraId="4796F0E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19516F14">
            <w:pPr>
              <w:jc w:val="center"/>
              <w:rPr>
                <w:rFonts w:hint="default" w:ascii="Times New Roman" w:hAnsi="Times New Roman" w:cs="Times New Roman"/>
                <w:color w:val="000000"/>
                <w:sz w:val="22"/>
                <w:szCs w:val="22"/>
              </w:rPr>
            </w:pPr>
          </w:p>
        </w:tc>
        <w:tc>
          <w:tcPr>
            <w:tcW w:w="1707" w:type="pct"/>
            <w:tcBorders>
              <w:tl2br w:val="nil"/>
              <w:tr2bl w:val="nil"/>
            </w:tcBorders>
            <w:shd w:val="clear" w:color="auto" w:fill="auto"/>
            <w:noWrap/>
            <w:vAlign w:val="center"/>
          </w:tcPr>
          <w:p w14:paraId="641F2090">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大学本科</w:t>
            </w:r>
          </w:p>
        </w:tc>
        <w:tc>
          <w:tcPr>
            <w:tcW w:w="703" w:type="pct"/>
            <w:tcBorders>
              <w:tl2br w:val="nil"/>
              <w:tr2bl w:val="nil"/>
            </w:tcBorders>
            <w:shd w:val="clear" w:color="auto" w:fill="auto"/>
            <w:noWrap/>
            <w:vAlign w:val="center"/>
          </w:tcPr>
          <w:p w14:paraId="19312D66">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130</w:t>
            </w:r>
          </w:p>
        </w:tc>
        <w:tc>
          <w:tcPr>
            <w:tcW w:w="940" w:type="pct"/>
            <w:tcBorders>
              <w:tl2br w:val="nil"/>
              <w:tr2bl w:val="nil"/>
            </w:tcBorders>
            <w:shd w:val="clear" w:color="auto" w:fill="auto"/>
            <w:noWrap/>
            <w:vAlign w:val="center"/>
          </w:tcPr>
          <w:p w14:paraId="0EA769EA">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50</w:t>
            </w:r>
          </w:p>
        </w:tc>
      </w:tr>
      <w:tr w14:paraId="255D0C8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04A49EEB">
            <w:pPr>
              <w:jc w:val="center"/>
              <w:rPr>
                <w:rFonts w:hint="default" w:ascii="Times New Roman" w:hAnsi="Times New Roman" w:cs="Times New Roman"/>
                <w:color w:val="000000"/>
                <w:sz w:val="22"/>
                <w:szCs w:val="22"/>
              </w:rPr>
            </w:pPr>
          </w:p>
        </w:tc>
        <w:tc>
          <w:tcPr>
            <w:tcW w:w="1707" w:type="pct"/>
            <w:tcBorders>
              <w:tl2br w:val="nil"/>
              <w:tr2bl w:val="nil"/>
            </w:tcBorders>
            <w:shd w:val="clear" w:color="auto" w:fill="auto"/>
            <w:noWrap/>
            <w:vAlign w:val="center"/>
          </w:tcPr>
          <w:p w14:paraId="3A715E69">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研究生及以上</w:t>
            </w:r>
          </w:p>
        </w:tc>
        <w:tc>
          <w:tcPr>
            <w:tcW w:w="703" w:type="pct"/>
            <w:tcBorders>
              <w:tl2br w:val="nil"/>
              <w:tr2bl w:val="nil"/>
            </w:tcBorders>
            <w:shd w:val="clear" w:color="auto" w:fill="auto"/>
            <w:noWrap/>
            <w:vAlign w:val="center"/>
          </w:tcPr>
          <w:p w14:paraId="2A3FAF19">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18</w:t>
            </w:r>
          </w:p>
        </w:tc>
        <w:tc>
          <w:tcPr>
            <w:tcW w:w="940" w:type="pct"/>
            <w:tcBorders>
              <w:tl2br w:val="nil"/>
              <w:tr2bl w:val="nil"/>
            </w:tcBorders>
            <w:shd w:val="clear" w:color="auto" w:fill="auto"/>
            <w:noWrap/>
            <w:vAlign w:val="center"/>
          </w:tcPr>
          <w:p w14:paraId="682D1A76">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6.9</w:t>
            </w:r>
          </w:p>
        </w:tc>
      </w:tr>
      <w:tr w14:paraId="55EE781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7DB6E4A5">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月可支配收入</w:t>
            </w:r>
          </w:p>
        </w:tc>
        <w:tc>
          <w:tcPr>
            <w:tcW w:w="1707" w:type="pct"/>
            <w:tcBorders>
              <w:tl2br w:val="nil"/>
              <w:tr2bl w:val="nil"/>
            </w:tcBorders>
            <w:shd w:val="clear" w:color="auto" w:fill="auto"/>
            <w:noWrap/>
            <w:vAlign w:val="center"/>
          </w:tcPr>
          <w:p w14:paraId="6C6E77F6">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3000元及以下</w:t>
            </w:r>
          </w:p>
        </w:tc>
        <w:tc>
          <w:tcPr>
            <w:tcW w:w="703" w:type="pct"/>
            <w:tcBorders>
              <w:tl2br w:val="nil"/>
              <w:tr2bl w:val="nil"/>
            </w:tcBorders>
            <w:shd w:val="clear" w:color="auto" w:fill="auto"/>
            <w:noWrap/>
            <w:vAlign w:val="center"/>
          </w:tcPr>
          <w:p w14:paraId="64FD1977">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77</w:t>
            </w:r>
          </w:p>
        </w:tc>
        <w:tc>
          <w:tcPr>
            <w:tcW w:w="940" w:type="pct"/>
            <w:tcBorders>
              <w:tl2br w:val="nil"/>
              <w:tr2bl w:val="nil"/>
            </w:tcBorders>
            <w:shd w:val="clear" w:color="auto" w:fill="auto"/>
            <w:noWrap/>
            <w:vAlign w:val="center"/>
          </w:tcPr>
          <w:p w14:paraId="5CC6E93C">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29.6</w:t>
            </w:r>
          </w:p>
        </w:tc>
      </w:tr>
      <w:tr w14:paraId="68191A9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3880F2C7">
            <w:pPr>
              <w:jc w:val="center"/>
              <w:rPr>
                <w:rFonts w:hint="default" w:ascii="Times New Roman" w:hAnsi="Times New Roman" w:cs="Times New Roman"/>
                <w:color w:val="000000"/>
                <w:sz w:val="22"/>
                <w:szCs w:val="22"/>
              </w:rPr>
            </w:pPr>
          </w:p>
        </w:tc>
        <w:tc>
          <w:tcPr>
            <w:tcW w:w="1707" w:type="pct"/>
            <w:tcBorders>
              <w:tl2br w:val="nil"/>
              <w:tr2bl w:val="nil"/>
            </w:tcBorders>
            <w:shd w:val="clear" w:color="auto" w:fill="auto"/>
            <w:noWrap/>
            <w:vAlign w:val="center"/>
          </w:tcPr>
          <w:p w14:paraId="45EE8486">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3000-5000元</w:t>
            </w:r>
          </w:p>
        </w:tc>
        <w:tc>
          <w:tcPr>
            <w:tcW w:w="703" w:type="pct"/>
            <w:tcBorders>
              <w:tl2br w:val="nil"/>
              <w:tr2bl w:val="nil"/>
            </w:tcBorders>
            <w:shd w:val="clear" w:color="auto" w:fill="auto"/>
            <w:noWrap/>
            <w:vAlign w:val="center"/>
          </w:tcPr>
          <w:p w14:paraId="6A5EE66A">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57</w:t>
            </w:r>
          </w:p>
        </w:tc>
        <w:tc>
          <w:tcPr>
            <w:tcW w:w="940" w:type="pct"/>
            <w:tcBorders>
              <w:tl2br w:val="nil"/>
              <w:tr2bl w:val="nil"/>
            </w:tcBorders>
            <w:shd w:val="clear" w:color="auto" w:fill="auto"/>
            <w:noWrap/>
            <w:vAlign w:val="center"/>
          </w:tcPr>
          <w:p w14:paraId="55BA5343">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21.9</w:t>
            </w:r>
          </w:p>
        </w:tc>
      </w:tr>
      <w:tr w14:paraId="2A4EED6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261EDABE">
            <w:pPr>
              <w:jc w:val="center"/>
              <w:rPr>
                <w:rFonts w:hint="default" w:ascii="Times New Roman" w:hAnsi="Times New Roman" w:cs="Times New Roman"/>
                <w:color w:val="000000"/>
                <w:sz w:val="22"/>
                <w:szCs w:val="22"/>
              </w:rPr>
            </w:pPr>
          </w:p>
        </w:tc>
        <w:tc>
          <w:tcPr>
            <w:tcW w:w="1707" w:type="pct"/>
            <w:tcBorders>
              <w:tl2br w:val="nil"/>
              <w:tr2bl w:val="nil"/>
            </w:tcBorders>
            <w:shd w:val="clear" w:color="auto" w:fill="auto"/>
            <w:noWrap/>
            <w:vAlign w:val="center"/>
          </w:tcPr>
          <w:p w14:paraId="08BA7F79">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5000-8000元</w:t>
            </w:r>
          </w:p>
        </w:tc>
        <w:tc>
          <w:tcPr>
            <w:tcW w:w="703" w:type="pct"/>
            <w:tcBorders>
              <w:tl2br w:val="nil"/>
              <w:tr2bl w:val="nil"/>
            </w:tcBorders>
            <w:shd w:val="clear" w:color="auto" w:fill="auto"/>
            <w:noWrap/>
            <w:vAlign w:val="center"/>
          </w:tcPr>
          <w:p w14:paraId="75B8ED44">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75</w:t>
            </w:r>
          </w:p>
        </w:tc>
        <w:tc>
          <w:tcPr>
            <w:tcW w:w="940" w:type="pct"/>
            <w:tcBorders>
              <w:tl2br w:val="nil"/>
              <w:tr2bl w:val="nil"/>
            </w:tcBorders>
            <w:shd w:val="clear" w:color="auto" w:fill="auto"/>
            <w:noWrap/>
            <w:vAlign w:val="center"/>
          </w:tcPr>
          <w:p w14:paraId="52733F44">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28.8</w:t>
            </w:r>
          </w:p>
        </w:tc>
      </w:tr>
      <w:tr w14:paraId="2D8D6CE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48" w:type="pct"/>
            <w:tcBorders>
              <w:tl2br w:val="nil"/>
              <w:tr2bl w:val="nil"/>
            </w:tcBorders>
            <w:shd w:val="clear" w:color="auto" w:fill="auto"/>
            <w:noWrap/>
            <w:vAlign w:val="center"/>
          </w:tcPr>
          <w:p w14:paraId="30F5FF6E">
            <w:pPr>
              <w:jc w:val="center"/>
              <w:rPr>
                <w:rFonts w:hint="default" w:ascii="Times New Roman" w:hAnsi="Times New Roman" w:cs="Times New Roman"/>
                <w:color w:val="000000"/>
                <w:sz w:val="22"/>
                <w:szCs w:val="22"/>
              </w:rPr>
            </w:pPr>
          </w:p>
        </w:tc>
        <w:tc>
          <w:tcPr>
            <w:tcW w:w="1707" w:type="pct"/>
            <w:tcBorders>
              <w:tl2br w:val="nil"/>
              <w:tr2bl w:val="nil"/>
            </w:tcBorders>
            <w:shd w:val="clear" w:color="auto" w:fill="auto"/>
            <w:noWrap/>
            <w:vAlign w:val="center"/>
          </w:tcPr>
          <w:p w14:paraId="6854DA3A">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8000元及以上</w:t>
            </w:r>
          </w:p>
        </w:tc>
        <w:tc>
          <w:tcPr>
            <w:tcW w:w="703" w:type="pct"/>
            <w:tcBorders>
              <w:tl2br w:val="nil"/>
              <w:tr2bl w:val="nil"/>
            </w:tcBorders>
            <w:shd w:val="clear" w:color="auto" w:fill="auto"/>
            <w:noWrap/>
            <w:vAlign w:val="center"/>
          </w:tcPr>
          <w:p w14:paraId="1A44D6E9">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51</w:t>
            </w:r>
          </w:p>
        </w:tc>
        <w:tc>
          <w:tcPr>
            <w:tcW w:w="940" w:type="pct"/>
            <w:tcBorders>
              <w:tl2br w:val="nil"/>
              <w:tr2bl w:val="nil"/>
            </w:tcBorders>
            <w:shd w:val="clear" w:color="auto" w:fill="auto"/>
            <w:noWrap/>
            <w:vAlign w:val="center"/>
          </w:tcPr>
          <w:p w14:paraId="5DF57B70">
            <w:pPr>
              <w:jc w:val="center"/>
              <w:textAlignment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lang w:bidi="ar"/>
              </w:rPr>
              <w:t>19.6</w:t>
            </w:r>
          </w:p>
        </w:tc>
      </w:tr>
    </w:tbl>
    <w:p w14:paraId="6AA86A91">
      <w:pPr>
        <w:pStyle w:val="10"/>
        <w:keepNext w:val="0"/>
        <w:keepLines w:val="0"/>
        <w:pageBreakBefore w:val="0"/>
        <w:kinsoku/>
        <w:wordWrap/>
        <w:overflowPunct/>
        <w:topLinePunct w:val="0"/>
        <w:autoSpaceDE/>
        <w:autoSpaceDN/>
        <w:bidi w:val="0"/>
        <w:adjustRightInd/>
        <w:snapToGrid/>
        <w:spacing w:line="400" w:lineRule="exact"/>
        <w:jc w:val="left"/>
        <w:rPr>
          <w:rFonts w:hint="default" w:ascii="Times New Roman" w:hAnsi="Times New Roman" w:eastAsia="宋体" w:cs="Times New Roman"/>
          <w:color w:val="000000" w:themeColor="text1"/>
          <w:kern w:val="1"/>
          <w:sz w:val="22"/>
          <w:szCs w:val="22"/>
          <w:lang w:val="en-US" w:eastAsia="zh-CN"/>
          <w14:textFill>
            <w14:solidFill>
              <w14:schemeClr w14:val="tx1"/>
            </w14:solidFill>
          </w14:textFill>
        </w:rPr>
      </w:pPr>
    </w:p>
    <w:p w14:paraId="612AC6F8">
      <w:pPr>
        <w:pStyle w:val="3"/>
        <w:bidi w:val="0"/>
        <w:rPr>
          <w:rFonts w:hint="default" w:ascii="Times New Roman" w:hAnsi="Times New Roman" w:cs="Times New Roman"/>
        </w:rPr>
      </w:pPr>
      <w:bookmarkStart w:id="15" w:name="_Toc13276"/>
      <w:r>
        <w:rPr>
          <w:rFonts w:hint="default" w:ascii="Times New Roman" w:hAnsi="Times New Roman" w:cs="Times New Roman"/>
          <w:lang w:val="en-US" w:eastAsia="zh-CN"/>
        </w:rPr>
        <w:t>二、</w:t>
      </w:r>
      <w:r>
        <w:rPr>
          <w:rFonts w:hint="default" w:ascii="Times New Roman" w:hAnsi="Times New Roman" w:cs="Times New Roman"/>
        </w:rPr>
        <w:t>信效度汇报</w:t>
      </w:r>
      <w:bookmarkEnd w:id="15"/>
    </w:p>
    <w:p w14:paraId="65A507D9">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信度报告是用Cronbach’s Alpha 信度系数来对问卷的可信程度做评判，通过SPSS信度分析，问卷的信效度检验结果如下表：</w:t>
      </w:r>
    </w:p>
    <w:p w14:paraId="30DB28F0">
      <w:pPr>
        <w:pStyle w:val="10"/>
        <w:keepNext w:val="0"/>
        <w:keepLines w:val="0"/>
        <w:pageBreakBefore w:val="0"/>
        <w:kinsoku/>
        <w:wordWrap/>
        <w:overflowPunct/>
        <w:topLinePunct w:val="0"/>
        <w:autoSpaceDE/>
        <w:autoSpaceDN/>
        <w:bidi w:val="0"/>
        <w:adjustRightInd/>
        <w:snapToGrid/>
        <w:spacing w:line="400" w:lineRule="exact"/>
        <w:ind w:firstLine="420"/>
        <w:jc w:val="center"/>
        <w:rPr>
          <w:rFonts w:hint="default" w:ascii="Times New Roman" w:hAnsi="Times New Roman" w:eastAsia="宋体" w:cs="Times New Roman"/>
          <w:color w:val="000000" w:themeColor="text1"/>
          <w:sz w:val="22"/>
          <w:szCs w:val="22"/>
          <w:lang w:val="en-US"/>
          <w14:textFill>
            <w14:solidFill>
              <w14:schemeClr w14:val="tx1"/>
            </w14:solidFill>
          </w14:textFill>
        </w:rPr>
      </w:pPr>
      <w:r>
        <w:rPr>
          <w:rFonts w:hint="default" w:ascii="Times New Roman" w:hAnsi="Times New Roman" w:eastAsia="宋体" w:cs="Times New Roman"/>
          <w:color w:val="000000" w:themeColor="text1"/>
          <w:kern w:val="1"/>
          <w:sz w:val="21"/>
          <w:szCs w:val="21"/>
          <w:lang w:val="en-US" w:eastAsia="zh-CN"/>
          <w14:textFill>
            <w14:solidFill>
              <w14:schemeClr w14:val="tx1"/>
            </w14:solidFill>
          </w14:textFill>
        </w:rPr>
        <w:t>表3-2 信度分析</w:t>
      </w:r>
    </w:p>
    <w:tbl>
      <w:tblPr>
        <w:tblStyle w:val="11"/>
        <w:tblW w:w="885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50"/>
      </w:tblGrid>
      <w:tr w14:paraId="54A9B51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0" w:type="dxa"/>
            <w:tcBorders>
              <w:bottom w:val="single" w:color="auto" w:sz="6" w:space="0"/>
            </w:tcBorders>
          </w:tcPr>
          <w:p w14:paraId="5CCDB77B">
            <w:pPr>
              <w:keepNext w:val="0"/>
              <w:keepLines w:val="0"/>
              <w:pageBreakBefore w:val="0"/>
              <w:widowControl w:val="0"/>
              <w:kinsoku/>
              <w:wordWrap/>
              <w:overflowPunct/>
              <w:topLinePunct w:val="0"/>
              <w:autoSpaceDE/>
              <w:autoSpaceDN/>
              <w:bidi w:val="0"/>
              <w:adjustRightInd/>
              <w:snapToGrid/>
              <w:spacing w:before="12" w:line="240" w:lineRule="auto"/>
              <w:ind w:firstLine="1476" w:firstLineChars="700"/>
              <w:jc w:val="both"/>
              <w:textAlignment w:val="auto"/>
              <w:rPr>
                <w:rFonts w:hint="default" w:ascii="Times New Roman" w:hAnsi="Times New Roman" w:eastAsia="宋体" w:cs="Times New Roman"/>
                <w:b/>
                <w:bCs/>
                <w:color w:val="000000" w:themeColor="text1"/>
                <w:sz w:val="21"/>
                <w:szCs w:val="21"/>
                <w14:textFill>
                  <w14:solidFill>
                    <w14:schemeClr w14:val="tx1"/>
                  </w14:solidFill>
                </w14:textFill>
              </w:rPr>
            </w:pPr>
            <w:r>
              <w:rPr>
                <w:rFonts w:hint="default" w:ascii="Times New Roman" w:hAnsi="Times New Roman" w:eastAsia="宋体" w:cs="Times New Roman"/>
                <w:b/>
                <w:bCs/>
                <w:color w:val="000000" w:themeColor="text1"/>
                <w:sz w:val="21"/>
                <w:szCs w:val="21"/>
                <w14:textFill>
                  <w14:solidFill>
                    <w14:schemeClr w14:val="tx1"/>
                  </w14:solidFill>
                </w14:textFill>
              </w:rPr>
              <w:t>Cronbach’s Alpha                      项数</w:t>
            </w:r>
          </w:p>
        </w:tc>
      </w:tr>
      <w:tr w14:paraId="0B39709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0" w:type="dxa"/>
            <w:tcBorders>
              <w:top w:val="single" w:color="auto" w:sz="6" w:space="0"/>
              <w:tl2br w:val="nil"/>
              <w:tr2bl w:val="nil"/>
            </w:tcBorders>
          </w:tcPr>
          <w:p w14:paraId="2E966196">
            <w:pPr>
              <w:keepNext w:val="0"/>
              <w:keepLines w:val="0"/>
              <w:pageBreakBefore w:val="0"/>
              <w:widowControl w:val="0"/>
              <w:kinsoku/>
              <w:wordWrap/>
              <w:overflowPunct/>
              <w:topLinePunct w:val="0"/>
              <w:autoSpaceDE/>
              <w:autoSpaceDN/>
              <w:bidi w:val="0"/>
              <w:adjustRightInd/>
              <w:snapToGrid/>
              <w:spacing w:before="12" w:line="240" w:lineRule="auto"/>
              <w:jc w:val="center"/>
              <w:textAlignment w:val="auto"/>
              <w:rPr>
                <w:rFonts w:hint="default" w:ascii="Times New Roman" w:hAnsi="Times New Roman" w:eastAsia="宋体" w:cs="Times New Roman"/>
                <w:b/>
                <w:bCs/>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t>0.9</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23</w:t>
            </w:r>
            <w:r>
              <w:rPr>
                <w:rFonts w:hint="default" w:ascii="Times New Roman" w:hAnsi="Times New Roman" w:eastAsia="宋体" w:cs="Times New Roman"/>
                <w:color w:val="000000" w:themeColor="text1"/>
                <w:sz w:val="21"/>
                <w:szCs w:val="21"/>
                <w14:textFill>
                  <w14:solidFill>
                    <w14:schemeClr w14:val="tx1"/>
                  </w14:solidFill>
                </w14:textFill>
              </w:rPr>
              <w:t xml:space="preserve">                                   </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15</w:t>
            </w:r>
          </w:p>
        </w:tc>
      </w:tr>
    </w:tbl>
    <w:p w14:paraId="35F2EA6C">
      <w:pPr>
        <w:keepNext w:val="0"/>
        <w:keepLines w:val="0"/>
        <w:pageBreakBefore w:val="0"/>
        <w:shd w:val="clear" w:color="auto" w:fill="FFFFFF"/>
        <w:kinsoku/>
        <w:wordWrap/>
        <w:overflowPunct/>
        <w:topLinePunct w:val="0"/>
        <w:autoSpaceDE/>
        <w:autoSpaceDN/>
        <w:bidi w:val="0"/>
        <w:adjustRightInd/>
        <w:snapToGrid/>
        <w:spacing w:before="12" w:line="400" w:lineRule="exact"/>
        <w:jc w:val="both"/>
        <w:rPr>
          <w:rFonts w:hint="default" w:ascii="Times New Roman" w:hAnsi="Times New Roman" w:eastAsia="宋体" w:cs="Times New Roman"/>
          <w:b/>
          <w:bCs/>
          <w:color w:val="000000" w:themeColor="text1"/>
          <w:sz w:val="24"/>
          <w:szCs w:val="24"/>
          <w14:textFill>
            <w14:solidFill>
              <w14:schemeClr w14:val="tx1"/>
            </w14:solidFill>
          </w14:textFill>
        </w:rPr>
      </w:pPr>
    </w:p>
    <w:p w14:paraId="6755455C">
      <w:pPr>
        <w:keepNext w:val="0"/>
        <w:keepLines w:val="0"/>
        <w:pageBreakBefore w:val="0"/>
        <w:shd w:val="clear" w:color="auto" w:fill="FFFFFF"/>
        <w:kinsoku/>
        <w:wordWrap/>
        <w:overflowPunct/>
        <w:topLinePunct w:val="0"/>
        <w:autoSpaceDE/>
        <w:autoSpaceDN/>
        <w:bidi w:val="0"/>
        <w:adjustRightInd/>
        <w:snapToGrid/>
        <w:spacing w:before="12" w:line="400" w:lineRule="exact"/>
        <w:ind w:firstLine="480" w:firstLineChars="200"/>
        <w:jc w:val="both"/>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从上表得出问卷整体的Cronbach’s Alpha=0.9</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23</w:t>
      </w:r>
      <w:r>
        <w:rPr>
          <w:rFonts w:hint="default" w:ascii="Times New Roman" w:hAnsi="Times New Roman" w:eastAsia="宋体" w:cs="Times New Roman"/>
          <w:color w:val="000000" w:themeColor="text1"/>
          <w:sz w:val="24"/>
          <w:szCs w:val="24"/>
          <w14:textFill>
            <w14:solidFill>
              <w14:schemeClr w14:val="tx1"/>
            </w14:solidFill>
          </w14:textFill>
        </w:rPr>
        <w:t>，Cronbach’s Alpha&gt;0.</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9</w:t>
      </w:r>
      <w:r>
        <w:rPr>
          <w:rFonts w:hint="default" w:ascii="Times New Roman" w:hAnsi="Times New Roman" w:eastAsia="宋体" w:cs="Times New Roman"/>
          <w:color w:val="000000" w:themeColor="text1"/>
          <w:sz w:val="24"/>
          <w:szCs w:val="24"/>
          <w14:textFill>
            <w14:solidFill>
              <w14:schemeClr w14:val="tx1"/>
            </w14:solidFill>
          </w14:textFill>
        </w:rPr>
        <w:t>说明问卷具有较好的内部一致性和稳定性，信度较高。</w:t>
      </w:r>
    </w:p>
    <w:p w14:paraId="31247F39">
      <w:pPr>
        <w:pStyle w:val="10"/>
        <w:keepNext w:val="0"/>
        <w:keepLines w:val="0"/>
        <w:pageBreakBefore w:val="0"/>
        <w:kinsoku/>
        <w:wordWrap/>
        <w:overflowPunct/>
        <w:topLinePunct w:val="0"/>
        <w:autoSpaceDE/>
        <w:autoSpaceDN/>
        <w:bidi w:val="0"/>
        <w:adjustRightInd/>
        <w:snapToGrid/>
        <w:spacing w:line="400" w:lineRule="exact"/>
        <w:ind w:firstLine="420"/>
        <w:jc w:val="center"/>
        <w:rPr>
          <w:rFonts w:hint="default" w:ascii="Times New Roman" w:hAnsi="Times New Roman" w:eastAsia="宋体" w:cs="Times New Roman"/>
          <w:color w:val="000000" w:themeColor="text1"/>
          <w:sz w:val="24"/>
          <w:szCs w:val="24"/>
          <w:lang w:val="en-US"/>
          <w14:textFill>
            <w14:solidFill>
              <w14:schemeClr w14:val="tx1"/>
            </w14:solidFill>
          </w14:textFill>
        </w:rPr>
      </w:pPr>
      <w:r>
        <w:rPr>
          <w:rFonts w:hint="default" w:ascii="Times New Roman" w:hAnsi="Times New Roman" w:eastAsia="宋体" w:cs="Times New Roman"/>
          <w:color w:val="000000" w:themeColor="text1"/>
          <w:kern w:val="1"/>
          <w:sz w:val="21"/>
          <w:szCs w:val="21"/>
          <w:lang w:val="en-US" w:eastAsia="zh-CN"/>
          <w14:textFill>
            <w14:solidFill>
              <w14:schemeClr w14:val="tx1"/>
            </w14:solidFill>
          </w14:textFill>
        </w:rPr>
        <w:t>表3-3 效度分析</w:t>
      </w:r>
    </w:p>
    <w:tbl>
      <w:tblPr>
        <w:tblStyle w:val="11"/>
        <w:tblW w:w="8850"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6577"/>
        <w:gridCol w:w="2273"/>
      </w:tblGrid>
      <w:tr w14:paraId="0292C430">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c>
          <w:tcPr>
            <w:tcW w:w="8850" w:type="dxa"/>
            <w:gridSpan w:val="2"/>
            <w:tcBorders>
              <w:tl2br w:val="nil"/>
              <w:tr2bl w:val="nil"/>
            </w:tcBorders>
          </w:tcPr>
          <w:p w14:paraId="4DECE13C">
            <w:pPr>
              <w:keepNext w:val="0"/>
              <w:keepLines w:val="0"/>
              <w:pageBreakBefore w:val="0"/>
              <w:widowControl w:val="0"/>
              <w:kinsoku/>
              <w:wordWrap/>
              <w:overflowPunct/>
              <w:topLinePunct w:val="0"/>
              <w:autoSpaceDE/>
              <w:autoSpaceDN/>
              <w:bidi w:val="0"/>
              <w:adjustRightInd/>
              <w:snapToGrid/>
              <w:spacing w:before="12" w:line="240" w:lineRule="auto"/>
              <w:jc w:val="both"/>
              <w:textAlignment w:val="auto"/>
              <w:rPr>
                <w:rFonts w:hint="default" w:ascii="Times New Roman" w:hAnsi="Times New Roman" w:eastAsia="宋体" w:cs="Times New Roman"/>
                <w:b/>
                <w:bCs/>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00" w:themeColor="text1"/>
                <w:sz w:val="21"/>
                <w:szCs w:val="21"/>
                <w14:textFill>
                  <w14:solidFill>
                    <w14:schemeClr w14:val="tx1"/>
                  </w14:solidFill>
                </w14:textFill>
              </w:rPr>
              <w:t xml:space="preserve">    取样足够度的Kaiser-Meyer-Olkin 度量          </w:t>
            </w:r>
            <w:r>
              <w:rPr>
                <w:rFonts w:hint="eastAsia" w:ascii="Times New Roman" w:hAnsi="Times New Roman" w:eastAsia="宋体" w:cs="Times New Roman"/>
                <w:b/>
                <w:bCs/>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bCs/>
                <w:color w:val="000000" w:themeColor="text1"/>
                <w:sz w:val="21"/>
                <w:szCs w:val="21"/>
                <w14:textFill>
                  <w14:solidFill>
                    <w14:schemeClr w14:val="tx1"/>
                  </w14:solidFill>
                </w14:textFill>
              </w:rPr>
              <w:t xml:space="preserve">      </w:t>
            </w:r>
            <w:r>
              <w:rPr>
                <w:rFonts w:hint="default" w:ascii="Times New Roman" w:hAnsi="Times New Roman" w:eastAsia="宋体" w:cs="Times New Roman"/>
                <w:b/>
                <w:bCs/>
                <w:color w:val="000000" w:themeColor="text1"/>
                <w:sz w:val="21"/>
                <w:szCs w:val="21"/>
                <w:lang w:val="en-US" w:eastAsia="zh-CN"/>
                <w14:textFill>
                  <w14:solidFill>
                    <w14:schemeClr w14:val="tx1"/>
                  </w14:solidFill>
                </w14:textFill>
              </w:rPr>
              <w:t>0</w:t>
            </w:r>
            <w:r>
              <w:rPr>
                <w:rFonts w:hint="default" w:ascii="Times New Roman" w:hAnsi="Times New Roman" w:eastAsia="宋体" w:cs="Times New Roman"/>
                <w:color w:val="000000" w:themeColor="text1"/>
                <w:sz w:val="21"/>
                <w:szCs w:val="21"/>
                <w14:textFill>
                  <w14:solidFill>
                    <w14:schemeClr w14:val="tx1"/>
                  </w14:solidFill>
                </w14:textFill>
              </w:rPr>
              <w:t>.9</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32</w:t>
            </w:r>
          </w:p>
        </w:tc>
      </w:tr>
      <w:tr w14:paraId="19C40FB9">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94" w:hRule="atLeast"/>
        </w:trPr>
        <w:tc>
          <w:tcPr>
            <w:tcW w:w="6577" w:type="dxa"/>
            <w:tcBorders>
              <w:tl2br w:val="nil"/>
              <w:tr2bl w:val="nil"/>
            </w:tcBorders>
          </w:tcPr>
          <w:p w14:paraId="1A085880">
            <w:pPr>
              <w:keepNext w:val="0"/>
              <w:keepLines w:val="0"/>
              <w:pageBreakBefore w:val="0"/>
              <w:widowControl w:val="0"/>
              <w:kinsoku/>
              <w:wordWrap/>
              <w:overflowPunct/>
              <w:topLinePunct w:val="0"/>
              <w:autoSpaceDE/>
              <w:autoSpaceDN/>
              <w:bidi w:val="0"/>
              <w:adjustRightInd/>
              <w:snapToGrid/>
              <w:spacing w:before="12" w:line="240" w:lineRule="auto"/>
              <w:jc w:val="both"/>
              <w:textAlignment w:val="auto"/>
              <w:rPr>
                <w:rFonts w:hint="default" w:ascii="Times New Roman" w:hAnsi="Times New Roman" w:eastAsia="宋体" w:cs="Times New Roman"/>
                <w:b/>
                <w:bCs/>
                <w:color w:val="000000" w:themeColor="text1"/>
                <w:sz w:val="21"/>
                <w:szCs w:val="21"/>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t>Barlett 的球形度检验</w:t>
            </w:r>
            <w:r>
              <w:rPr>
                <w:rFonts w:hint="default" w:ascii="Times New Roman" w:hAnsi="Times New Roman" w:eastAsia="宋体" w:cs="Times New Roman"/>
                <w:b/>
                <w:bCs/>
                <w:color w:val="000000" w:themeColor="text1"/>
                <w:sz w:val="21"/>
                <w:szCs w:val="21"/>
                <w14:textFill>
                  <w14:solidFill>
                    <w14:schemeClr w14:val="tx1"/>
                  </w14:solidFill>
                </w14:textFill>
              </w:rPr>
              <w:t xml:space="preserve">        </w:t>
            </w:r>
            <w:r>
              <w:rPr>
                <w:rFonts w:hint="default" w:ascii="Times New Roman" w:hAnsi="Times New Roman" w:eastAsia="宋体" w:cs="Times New Roman"/>
                <w:color w:val="000000" w:themeColor="text1"/>
                <w:sz w:val="21"/>
                <w:szCs w:val="21"/>
                <w14:textFill>
                  <w14:solidFill>
                    <w14:schemeClr w14:val="tx1"/>
                  </w14:solidFill>
                </w14:textFill>
              </w:rPr>
              <w:t>近似卡方</w:t>
            </w:r>
            <w:r>
              <w:rPr>
                <w:rFonts w:hint="default" w:ascii="Times New Roman" w:hAnsi="Times New Roman" w:eastAsia="宋体" w:cs="Times New Roman"/>
                <w:b/>
                <w:bCs/>
                <w:color w:val="000000" w:themeColor="text1"/>
                <w:sz w:val="21"/>
                <w:szCs w:val="21"/>
                <w14:textFill>
                  <w14:solidFill>
                    <w14:schemeClr w14:val="tx1"/>
                  </w14:solidFill>
                </w14:textFill>
              </w:rPr>
              <w:t xml:space="preserve">           </w:t>
            </w:r>
            <w:r>
              <w:rPr>
                <w:rFonts w:hint="default" w:ascii="Times New Roman" w:hAnsi="Times New Roman" w:eastAsia="宋体" w:cs="Times New Roman"/>
                <w:color w:val="000000" w:themeColor="text1"/>
                <w:sz w:val="21"/>
                <w:szCs w:val="21"/>
                <w14:textFill>
                  <w14:solidFill>
                    <w14:schemeClr w14:val="tx1"/>
                  </w14:solidFill>
                </w14:textFill>
              </w:rPr>
              <w:t xml:space="preserve"> </w:t>
            </w:r>
          </w:p>
          <w:p w14:paraId="2CC099B7">
            <w:pPr>
              <w:keepNext w:val="0"/>
              <w:keepLines w:val="0"/>
              <w:pageBreakBefore w:val="0"/>
              <w:widowControl w:val="0"/>
              <w:kinsoku/>
              <w:wordWrap/>
              <w:overflowPunct/>
              <w:topLinePunct w:val="0"/>
              <w:autoSpaceDE/>
              <w:autoSpaceDN/>
              <w:bidi w:val="0"/>
              <w:adjustRightInd/>
              <w:snapToGrid/>
              <w:spacing w:before="12" w:line="240" w:lineRule="auto"/>
              <w:jc w:val="both"/>
              <w:textAlignment w:val="auto"/>
              <w:rPr>
                <w:rFonts w:hint="default" w:ascii="Times New Roman" w:hAnsi="Times New Roman" w:eastAsia="宋体" w:cs="Times New Roman"/>
                <w:color w:val="000000" w:themeColor="text1"/>
                <w:sz w:val="21"/>
                <w:szCs w:val="21"/>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t>df</w:t>
            </w:r>
          </w:p>
          <w:p w14:paraId="27F17834">
            <w:pPr>
              <w:keepNext w:val="0"/>
              <w:keepLines w:val="0"/>
              <w:pageBreakBefore w:val="0"/>
              <w:widowControl w:val="0"/>
              <w:kinsoku/>
              <w:wordWrap/>
              <w:overflowPunct/>
              <w:topLinePunct w:val="0"/>
              <w:autoSpaceDE/>
              <w:autoSpaceDN/>
              <w:bidi w:val="0"/>
              <w:adjustRightInd/>
              <w:snapToGrid/>
              <w:spacing w:before="12" w:line="240" w:lineRule="auto"/>
              <w:jc w:val="both"/>
              <w:textAlignment w:val="auto"/>
              <w:rPr>
                <w:rFonts w:hint="default" w:ascii="Times New Roman" w:hAnsi="Times New Roman" w:eastAsia="宋体" w:cs="Times New Roman"/>
                <w:b/>
                <w:bCs/>
                <w:color w:val="000000" w:themeColor="text1"/>
                <w:sz w:val="21"/>
                <w:szCs w:val="21"/>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t>Sig.</w:t>
            </w:r>
            <w:r>
              <w:rPr>
                <w:rFonts w:hint="default" w:ascii="Times New Roman" w:hAnsi="Times New Roman" w:eastAsia="宋体" w:cs="Times New Roman"/>
                <w:b/>
                <w:bCs/>
                <w:color w:val="000000" w:themeColor="text1"/>
                <w:sz w:val="21"/>
                <w:szCs w:val="21"/>
                <w14:textFill>
                  <w14:solidFill>
                    <w14:schemeClr w14:val="tx1"/>
                  </w14:solidFill>
                </w14:textFill>
              </w:rPr>
              <w:t xml:space="preserve">              </w:t>
            </w:r>
            <w:r>
              <w:rPr>
                <w:rFonts w:hint="default" w:ascii="Times New Roman" w:hAnsi="Times New Roman" w:eastAsia="宋体" w:cs="Times New Roman"/>
                <w:color w:val="000000" w:themeColor="text1"/>
                <w:sz w:val="21"/>
                <w:szCs w:val="21"/>
                <w14:textFill>
                  <w14:solidFill>
                    <w14:schemeClr w14:val="tx1"/>
                  </w14:solidFill>
                </w14:textFill>
              </w:rPr>
              <w:t xml:space="preserve"> </w:t>
            </w:r>
          </w:p>
        </w:tc>
        <w:tc>
          <w:tcPr>
            <w:tcW w:w="2273" w:type="dxa"/>
            <w:tcBorders>
              <w:tl2br w:val="nil"/>
              <w:tr2bl w:val="nil"/>
            </w:tcBorders>
          </w:tcPr>
          <w:p w14:paraId="35FC5C7B">
            <w:pPr>
              <w:keepNext w:val="0"/>
              <w:keepLines w:val="0"/>
              <w:pageBreakBefore w:val="0"/>
              <w:widowControl w:val="0"/>
              <w:kinsoku/>
              <w:wordWrap/>
              <w:overflowPunct/>
              <w:topLinePunct w:val="0"/>
              <w:autoSpaceDE/>
              <w:autoSpaceDN/>
              <w:bidi w:val="0"/>
              <w:adjustRightInd/>
              <w:snapToGrid/>
              <w:spacing w:before="12" w:line="240" w:lineRule="auto"/>
              <w:jc w:val="both"/>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2478.831</w:t>
            </w:r>
          </w:p>
          <w:p w14:paraId="46B71568">
            <w:pPr>
              <w:keepNext w:val="0"/>
              <w:keepLines w:val="0"/>
              <w:pageBreakBefore w:val="0"/>
              <w:widowControl w:val="0"/>
              <w:kinsoku/>
              <w:wordWrap/>
              <w:overflowPunct/>
              <w:topLinePunct w:val="0"/>
              <w:autoSpaceDE/>
              <w:autoSpaceDN/>
              <w:bidi w:val="0"/>
              <w:adjustRightInd/>
              <w:snapToGrid/>
              <w:spacing w:before="12" w:line="240" w:lineRule="auto"/>
              <w:jc w:val="both"/>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105</w:t>
            </w:r>
          </w:p>
          <w:p w14:paraId="7066DD60">
            <w:pPr>
              <w:keepNext w:val="0"/>
              <w:keepLines w:val="0"/>
              <w:pageBreakBefore w:val="0"/>
              <w:widowControl w:val="0"/>
              <w:kinsoku/>
              <w:wordWrap/>
              <w:overflowPunct/>
              <w:topLinePunct w:val="0"/>
              <w:autoSpaceDE/>
              <w:autoSpaceDN/>
              <w:bidi w:val="0"/>
              <w:adjustRightInd/>
              <w:snapToGrid/>
              <w:spacing w:before="12" w:line="240" w:lineRule="auto"/>
              <w:jc w:val="both"/>
              <w:textAlignment w:val="auto"/>
              <w:rPr>
                <w:rFonts w:hint="default" w:ascii="Times New Roman" w:hAnsi="Times New Roman" w:eastAsia="宋体" w:cs="Times New Roman"/>
                <w:b/>
                <w:bCs/>
                <w:color w:val="000000" w:themeColor="text1"/>
                <w:sz w:val="21"/>
                <w:szCs w:val="21"/>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.000</w:t>
            </w:r>
          </w:p>
        </w:tc>
      </w:tr>
    </w:tbl>
    <w:p w14:paraId="0EDAD3DF">
      <w:pPr>
        <w:keepNext w:val="0"/>
        <w:keepLines w:val="0"/>
        <w:pageBreakBefore w:val="0"/>
        <w:shd w:val="clear" w:color="auto" w:fill="FFFFFF"/>
        <w:kinsoku/>
        <w:wordWrap/>
        <w:overflowPunct/>
        <w:topLinePunct w:val="0"/>
        <w:autoSpaceDE/>
        <w:autoSpaceDN/>
        <w:bidi w:val="0"/>
        <w:adjustRightInd/>
        <w:snapToGrid/>
        <w:spacing w:before="12" w:line="400" w:lineRule="exact"/>
        <w:jc w:val="both"/>
        <w:rPr>
          <w:rFonts w:hint="default" w:ascii="Times New Roman" w:hAnsi="Times New Roman" w:eastAsia="宋体" w:cs="Times New Roman"/>
          <w:b/>
          <w:bCs/>
          <w:color w:val="000000" w:themeColor="text1"/>
          <w:sz w:val="24"/>
          <w:szCs w:val="24"/>
          <w14:textFill>
            <w14:solidFill>
              <w14:schemeClr w14:val="tx1"/>
            </w14:solidFill>
          </w14:textFill>
        </w:rPr>
      </w:pPr>
    </w:p>
    <w:p w14:paraId="1BA59A1A">
      <w:pPr>
        <w:keepNext w:val="0"/>
        <w:keepLines w:val="0"/>
        <w:pageBreakBefore w:val="0"/>
        <w:shd w:val="clear" w:color="auto" w:fill="FFFFFF"/>
        <w:kinsoku/>
        <w:wordWrap/>
        <w:overflowPunct/>
        <w:topLinePunct w:val="0"/>
        <w:autoSpaceDE/>
        <w:autoSpaceDN/>
        <w:bidi w:val="0"/>
        <w:adjustRightInd/>
        <w:snapToGrid/>
        <w:spacing w:before="12" w:line="400" w:lineRule="exact"/>
        <w:ind w:firstLine="480" w:firstLineChars="200"/>
        <w:jc w:val="both"/>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由上表得出，KMO值为0.9</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51</w:t>
      </w:r>
      <w:r>
        <w:rPr>
          <w:rFonts w:hint="default" w:ascii="Times New Roman" w:hAnsi="Times New Roman" w:eastAsia="宋体" w:cs="Times New Roman"/>
          <w:color w:val="000000" w:themeColor="text1"/>
          <w:sz w:val="24"/>
          <w:szCs w:val="24"/>
          <w14:textFill>
            <w14:solidFill>
              <w14:schemeClr w14:val="tx1"/>
            </w14:solidFill>
          </w14:textFill>
        </w:rPr>
        <w:t>&gt;0.6,Bartlett 球形度Sig.&lt;0.001,证明变量之间有良好的相关性，可以对样本数据进行因子分析。</w:t>
      </w:r>
    </w:p>
    <w:p w14:paraId="3DDB717F">
      <w:pPr>
        <w:pStyle w:val="3"/>
        <w:bidi w:val="0"/>
        <w:rPr>
          <w:rFonts w:hint="default" w:ascii="Times New Roman" w:hAnsi="Times New Roman" w:cs="Times New Roman"/>
        </w:rPr>
      </w:pPr>
      <w:bookmarkStart w:id="16" w:name="_Toc18177"/>
      <w:r>
        <w:rPr>
          <w:rFonts w:hint="default" w:ascii="Times New Roman" w:hAnsi="Times New Roman" w:cs="Times New Roman"/>
          <w:lang w:val="en-US" w:eastAsia="zh-CN"/>
        </w:rPr>
        <w:t>三、</w:t>
      </w:r>
      <w:r>
        <w:rPr>
          <w:rFonts w:hint="default" w:ascii="Times New Roman" w:hAnsi="Times New Roman" w:cs="Times New Roman"/>
        </w:rPr>
        <w:t>描述统计</w:t>
      </w:r>
      <w:bookmarkEnd w:id="16"/>
    </w:p>
    <w:p w14:paraId="7B3E5491">
      <w:pPr>
        <w:keepNext w:val="0"/>
        <w:keepLines w:val="0"/>
        <w:pageBreakBefore w:val="0"/>
        <w:shd w:val="clear" w:color="auto" w:fill="FFFFFF"/>
        <w:kinsoku/>
        <w:wordWrap/>
        <w:overflowPunct/>
        <w:topLinePunct w:val="0"/>
        <w:autoSpaceDE/>
        <w:autoSpaceDN/>
        <w:bidi w:val="0"/>
        <w:adjustRightInd/>
        <w:snapToGrid/>
        <w:spacing w:before="12" w:line="400" w:lineRule="exact"/>
        <w:ind w:firstLine="480" w:firstLineChars="200"/>
        <w:jc w:val="both"/>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问卷分析使用IBM SPSS V.2</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3</w:t>
      </w:r>
      <w:r>
        <w:rPr>
          <w:rFonts w:hint="default" w:ascii="Times New Roman" w:hAnsi="Times New Roman" w:eastAsia="宋体" w:cs="Times New Roman"/>
          <w:color w:val="000000" w:themeColor="text1"/>
          <w:sz w:val="24"/>
          <w:szCs w:val="24"/>
          <w14:textFill>
            <w14:solidFill>
              <w14:schemeClr w14:val="tx1"/>
            </w14:solidFill>
          </w14:textFill>
        </w:rPr>
        <w:t>.0软件</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和问卷星</w:t>
      </w:r>
      <w:r>
        <w:rPr>
          <w:rFonts w:hint="default" w:ascii="Times New Roman" w:hAnsi="Times New Roman" w:eastAsia="宋体" w:cs="Times New Roman"/>
          <w:color w:val="000000" w:themeColor="text1"/>
          <w:sz w:val="24"/>
          <w:szCs w:val="24"/>
          <w14:textFill>
            <w14:solidFill>
              <w14:schemeClr w14:val="tx1"/>
            </w14:solidFill>
          </w14:textFill>
        </w:rPr>
        <w:t>进行分析，</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包括描述分析、</w:t>
      </w:r>
      <w:r>
        <w:rPr>
          <w:rFonts w:hint="default" w:ascii="Times New Roman" w:hAnsi="Times New Roman" w:eastAsia="宋体" w:cs="Times New Roman"/>
          <w:color w:val="000000" w:themeColor="text1"/>
          <w:sz w:val="24"/>
          <w:szCs w:val="24"/>
          <w14:textFill>
            <w14:solidFill>
              <w14:schemeClr w14:val="tx1"/>
            </w14:solidFill>
          </w14:textFill>
        </w:rPr>
        <w:t>相关性分析，多元线性回归分析，差异性分析对数据进行统计分析，以双侧概念</w:t>
      </w:r>
      <w:r>
        <w:rPr>
          <w:rFonts w:hint="default" w:ascii="Times New Roman" w:hAnsi="Times New Roman" w:eastAsia="宋体" w:cs="Times New Roman"/>
          <w:i/>
          <w:iCs/>
          <w:color w:val="000000" w:themeColor="text1"/>
          <w:sz w:val="24"/>
          <w:szCs w:val="24"/>
          <w14:textFill>
            <w14:solidFill>
              <w14:schemeClr w14:val="tx1"/>
            </w14:solidFill>
          </w14:textFill>
        </w:rPr>
        <w:t>P</w:t>
      </w:r>
      <w:r>
        <w:rPr>
          <w:rFonts w:hint="default" w:ascii="Times New Roman" w:hAnsi="Times New Roman" w:eastAsia="宋体" w:cs="Times New Roman"/>
          <w:color w:val="000000" w:themeColor="text1"/>
          <w:sz w:val="24"/>
          <w:szCs w:val="24"/>
          <w14:textFill>
            <w14:solidFill>
              <w14:schemeClr w14:val="tx1"/>
            </w14:solidFill>
          </w14:textFill>
        </w:rPr>
        <w:t>&lt;0.05作为存在差异具有统计学意义的检验水准。</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均值</w:t>
      </w:r>
      <w:r>
        <w:rPr>
          <w:rFonts w:hint="default" w:ascii="Times New Roman" w:hAnsi="Times New Roman" w:eastAsia="宋体" w:cs="Times New Roman"/>
          <w:color w:val="000000" w:themeColor="text1"/>
          <w:sz w:val="24"/>
          <w:szCs w:val="24"/>
          <w14:textFill>
            <w14:solidFill>
              <w14:schemeClr w14:val="tx1"/>
            </w14:solidFill>
          </w14:textFill>
        </w:rPr>
        <w:t>具体见表 3-</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4</w:t>
      </w:r>
      <w:r>
        <w:rPr>
          <w:rFonts w:hint="default" w:ascii="Times New Roman" w:hAnsi="Times New Roman" w:eastAsia="宋体" w:cs="Times New Roman"/>
          <w:color w:val="000000" w:themeColor="text1"/>
          <w:sz w:val="24"/>
          <w:szCs w:val="24"/>
          <w14:textFill>
            <w14:solidFill>
              <w14:schemeClr w14:val="tx1"/>
            </w14:solidFill>
          </w14:textFill>
        </w:rPr>
        <w:t>。</w:t>
      </w:r>
    </w:p>
    <w:p w14:paraId="056CD86B">
      <w:pPr>
        <w:spacing w:line="400" w:lineRule="exact"/>
        <w:jc w:val="center"/>
        <w:rPr>
          <w:rFonts w:hint="default" w:ascii="Times New Roman" w:hAnsi="Times New Roman" w:cs="Times New Roman"/>
        </w:rPr>
      </w:pPr>
      <w:r>
        <w:rPr>
          <w:rFonts w:hint="eastAsia" w:ascii="Times New Roman" w:hAnsi="Times New Roman" w:cs="Times New Roman"/>
          <w:lang w:val="en-US" w:eastAsia="zh-CN"/>
        </w:rPr>
        <w:t>表</w:t>
      </w:r>
      <w:r>
        <w:rPr>
          <w:rFonts w:hint="default" w:ascii="Times New Roman" w:hAnsi="Times New Roman" w:cs="Times New Roman"/>
        </w:rPr>
        <w:t>3-</w:t>
      </w:r>
      <w:r>
        <w:rPr>
          <w:rFonts w:hint="eastAsia" w:ascii="Times New Roman" w:hAnsi="Times New Roman" w:cs="Times New Roman"/>
          <w:lang w:val="en-US" w:eastAsia="zh-CN"/>
        </w:rPr>
        <w:t>4</w:t>
      </w:r>
      <w:r>
        <w:rPr>
          <w:rFonts w:hint="default" w:ascii="Times New Roman" w:hAnsi="Times New Roman" w:cs="Times New Roman"/>
        </w:rPr>
        <w:t>均值分析报告</w:t>
      </w:r>
    </w:p>
    <w:tbl>
      <w:tblPr>
        <w:tblStyle w:val="11"/>
        <w:tblW w:w="4998"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8"/>
        <w:gridCol w:w="1418"/>
        <w:gridCol w:w="1420"/>
        <w:gridCol w:w="1420"/>
        <w:gridCol w:w="1420"/>
        <w:gridCol w:w="1423"/>
      </w:tblGrid>
      <w:tr w14:paraId="55C3400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32" w:type="pct"/>
            <w:tcBorders>
              <w:bottom w:val="single" w:color="auto" w:sz="6" w:space="0"/>
            </w:tcBorders>
            <w:shd w:val="clear" w:color="auto" w:fill="auto"/>
            <w:noWrap/>
            <w:vAlign w:val="center"/>
          </w:tcPr>
          <w:p w14:paraId="3BB734B9">
            <w:pPr>
              <w:jc w:val="center"/>
              <w:textAlignment w:val="center"/>
              <w:rPr>
                <w:rFonts w:hint="default" w:ascii="Times New Roman" w:hAnsi="Times New Roman" w:cs="Times New Roman"/>
                <w:color w:val="000000"/>
                <w:sz w:val="24"/>
                <w:szCs w:val="24"/>
                <w:lang w:bidi="ar"/>
              </w:rPr>
            </w:pPr>
          </w:p>
        </w:tc>
        <w:tc>
          <w:tcPr>
            <w:tcW w:w="832" w:type="pct"/>
            <w:tcBorders>
              <w:bottom w:val="single" w:color="auto" w:sz="6" w:space="0"/>
            </w:tcBorders>
            <w:shd w:val="clear" w:color="auto" w:fill="auto"/>
            <w:noWrap/>
            <w:vAlign w:val="center"/>
          </w:tcPr>
          <w:p w14:paraId="7E6E6B5B">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IP价值</w:t>
            </w:r>
          </w:p>
        </w:tc>
        <w:tc>
          <w:tcPr>
            <w:tcW w:w="833" w:type="pct"/>
            <w:tcBorders>
              <w:bottom w:val="single" w:color="auto" w:sz="6" w:space="0"/>
            </w:tcBorders>
            <w:shd w:val="clear" w:color="auto" w:fill="auto"/>
            <w:noWrap/>
            <w:vAlign w:val="center"/>
          </w:tcPr>
          <w:p w14:paraId="6D196D34">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IP营销</w:t>
            </w:r>
          </w:p>
        </w:tc>
        <w:tc>
          <w:tcPr>
            <w:tcW w:w="833" w:type="pct"/>
            <w:tcBorders>
              <w:bottom w:val="single" w:color="auto" w:sz="6" w:space="0"/>
            </w:tcBorders>
            <w:shd w:val="clear" w:color="auto" w:fill="auto"/>
            <w:noWrap/>
            <w:vAlign w:val="center"/>
          </w:tcPr>
          <w:p w14:paraId="037F5A82">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谷子质量</w:t>
            </w:r>
          </w:p>
        </w:tc>
        <w:tc>
          <w:tcPr>
            <w:tcW w:w="833" w:type="pct"/>
            <w:tcBorders>
              <w:bottom w:val="single" w:color="auto" w:sz="6" w:space="0"/>
            </w:tcBorders>
            <w:shd w:val="clear" w:color="auto" w:fill="auto"/>
            <w:noWrap/>
            <w:vAlign w:val="center"/>
          </w:tcPr>
          <w:p w14:paraId="47BFCF05">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理性消费</w:t>
            </w:r>
          </w:p>
        </w:tc>
        <w:tc>
          <w:tcPr>
            <w:tcW w:w="834" w:type="pct"/>
            <w:tcBorders>
              <w:bottom w:val="single" w:color="auto" w:sz="6" w:space="0"/>
            </w:tcBorders>
            <w:shd w:val="clear" w:color="auto" w:fill="auto"/>
            <w:noWrap/>
            <w:vAlign w:val="center"/>
          </w:tcPr>
          <w:p w14:paraId="2475C996">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冲动消费</w:t>
            </w:r>
          </w:p>
        </w:tc>
      </w:tr>
      <w:tr w14:paraId="58556C7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32" w:type="pct"/>
            <w:tcBorders>
              <w:top w:val="single" w:color="auto" w:sz="6" w:space="0"/>
              <w:tl2br w:val="nil"/>
              <w:tr2bl w:val="nil"/>
            </w:tcBorders>
            <w:shd w:val="clear" w:color="auto" w:fill="auto"/>
            <w:noWrap/>
            <w:vAlign w:val="center"/>
          </w:tcPr>
          <w:p w14:paraId="3E7B4F43">
            <w:pPr>
              <w:jc w:val="center"/>
              <w:textAlignment w:val="center"/>
              <w:rPr>
                <w:rFonts w:hint="default" w:ascii="Times New Roman" w:hAnsi="Times New Roman" w:cs="Times New Roman"/>
                <w:color w:val="000000"/>
                <w:sz w:val="24"/>
                <w:szCs w:val="24"/>
                <w:lang w:bidi="ar"/>
              </w:rPr>
            </w:pPr>
            <w:r>
              <w:rPr>
                <w:rFonts w:hint="default" w:ascii="Times New Roman" w:hAnsi="Times New Roman" w:cs="Times New Roman"/>
                <w:color w:val="000000"/>
                <w:sz w:val="24"/>
                <w:szCs w:val="24"/>
                <w:lang w:bidi="ar"/>
              </w:rPr>
              <w:t>均值</w:t>
            </w:r>
          </w:p>
        </w:tc>
        <w:tc>
          <w:tcPr>
            <w:tcW w:w="832" w:type="pct"/>
            <w:tcBorders>
              <w:top w:val="single" w:color="auto" w:sz="6" w:space="0"/>
              <w:tl2br w:val="nil"/>
              <w:tr2bl w:val="nil"/>
            </w:tcBorders>
            <w:shd w:val="clear" w:color="auto" w:fill="auto"/>
            <w:noWrap/>
            <w:vAlign w:val="center"/>
          </w:tcPr>
          <w:p w14:paraId="1B9CA292">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3.89</w:t>
            </w:r>
          </w:p>
        </w:tc>
        <w:tc>
          <w:tcPr>
            <w:tcW w:w="833" w:type="pct"/>
            <w:tcBorders>
              <w:top w:val="single" w:color="auto" w:sz="6" w:space="0"/>
              <w:tl2br w:val="nil"/>
              <w:tr2bl w:val="nil"/>
            </w:tcBorders>
            <w:shd w:val="clear" w:color="auto" w:fill="auto"/>
            <w:noWrap/>
            <w:vAlign w:val="center"/>
          </w:tcPr>
          <w:p w14:paraId="63157DB9">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3.76</w:t>
            </w:r>
          </w:p>
        </w:tc>
        <w:tc>
          <w:tcPr>
            <w:tcW w:w="833" w:type="pct"/>
            <w:tcBorders>
              <w:top w:val="single" w:color="auto" w:sz="6" w:space="0"/>
              <w:tl2br w:val="nil"/>
              <w:tr2bl w:val="nil"/>
            </w:tcBorders>
            <w:shd w:val="clear" w:color="auto" w:fill="auto"/>
            <w:noWrap/>
            <w:vAlign w:val="center"/>
          </w:tcPr>
          <w:p w14:paraId="4A85155F">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4.02</w:t>
            </w:r>
          </w:p>
        </w:tc>
        <w:tc>
          <w:tcPr>
            <w:tcW w:w="833" w:type="pct"/>
            <w:tcBorders>
              <w:top w:val="single" w:color="auto" w:sz="6" w:space="0"/>
              <w:tl2br w:val="nil"/>
              <w:tr2bl w:val="nil"/>
            </w:tcBorders>
            <w:shd w:val="clear" w:color="auto" w:fill="auto"/>
            <w:noWrap/>
            <w:vAlign w:val="center"/>
          </w:tcPr>
          <w:p w14:paraId="6E91BE51">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3.89</w:t>
            </w:r>
          </w:p>
        </w:tc>
        <w:tc>
          <w:tcPr>
            <w:tcW w:w="834" w:type="pct"/>
            <w:tcBorders>
              <w:top w:val="single" w:color="auto" w:sz="6" w:space="0"/>
              <w:tl2br w:val="nil"/>
              <w:tr2bl w:val="nil"/>
            </w:tcBorders>
            <w:shd w:val="clear" w:color="auto" w:fill="auto"/>
            <w:noWrap/>
            <w:vAlign w:val="center"/>
          </w:tcPr>
          <w:p w14:paraId="683F1D56">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3.33</w:t>
            </w:r>
          </w:p>
        </w:tc>
      </w:tr>
      <w:tr w14:paraId="706940C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32" w:type="pct"/>
            <w:tcBorders>
              <w:tl2br w:val="nil"/>
              <w:tr2bl w:val="nil"/>
            </w:tcBorders>
            <w:shd w:val="clear" w:color="auto" w:fill="auto"/>
            <w:noWrap/>
            <w:vAlign w:val="center"/>
          </w:tcPr>
          <w:p w14:paraId="602E2316">
            <w:pPr>
              <w:jc w:val="center"/>
              <w:textAlignment w:val="center"/>
              <w:rPr>
                <w:rFonts w:hint="default" w:ascii="Times New Roman" w:hAnsi="Times New Roman" w:cs="Times New Roman"/>
                <w:color w:val="000000"/>
                <w:sz w:val="24"/>
                <w:szCs w:val="24"/>
                <w:lang w:bidi="ar"/>
              </w:rPr>
            </w:pPr>
            <w:r>
              <w:rPr>
                <w:rFonts w:hint="default" w:ascii="Times New Roman" w:hAnsi="Times New Roman" w:cs="Times New Roman"/>
                <w:color w:val="000000"/>
                <w:sz w:val="24"/>
                <w:szCs w:val="24"/>
                <w:lang w:bidi="ar"/>
              </w:rPr>
              <w:t>标准差</w:t>
            </w:r>
          </w:p>
        </w:tc>
        <w:tc>
          <w:tcPr>
            <w:tcW w:w="832" w:type="pct"/>
            <w:tcBorders>
              <w:tl2br w:val="nil"/>
              <w:tr2bl w:val="nil"/>
            </w:tcBorders>
            <w:shd w:val="clear" w:color="auto" w:fill="auto"/>
            <w:noWrap/>
            <w:vAlign w:val="center"/>
          </w:tcPr>
          <w:p w14:paraId="6504DC61">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0.80</w:t>
            </w:r>
          </w:p>
        </w:tc>
        <w:tc>
          <w:tcPr>
            <w:tcW w:w="833" w:type="pct"/>
            <w:tcBorders>
              <w:tl2br w:val="nil"/>
              <w:tr2bl w:val="nil"/>
            </w:tcBorders>
            <w:shd w:val="clear" w:color="auto" w:fill="auto"/>
            <w:noWrap/>
            <w:vAlign w:val="center"/>
          </w:tcPr>
          <w:p w14:paraId="068769D5">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0.85</w:t>
            </w:r>
          </w:p>
        </w:tc>
        <w:tc>
          <w:tcPr>
            <w:tcW w:w="833" w:type="pct"/>
            <w:tcBorders>
              <w:tl2br w:val="nil"/>
              <w:tr2bl w:val="nil"/>
            </w:tcBorders>
            <w:shd w:val="clear" w:color="auto" w:fill="auto"/>
            <w:noWrap/>
            <w:vAlign w:val="center"/>
          </w:tcPr>
          <w:p w14:paraId="13F3B5C5">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0.78</w:t>
            </w:r>
          </w:p>
        </w:tc>
        <w:tc>
          <w:tcPr>
            <w:tcW w:w="833" w:type="pct"/>
            <w:tcBorders>
              <w:tl2br w:val="nil"/>
              <w:tr2bl w:val="nil"/>
            </w:tcBorders>
            <w:shd w:val="clear" w:color="auto" w:fill="auto"/>
            <w:noWrap/>
            <w:vAlign w:val="center"/>
          </w:tcPr>
          <w:p w14:paraId="0791128C">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0.78</w:t>
            </w:r>
          </w:p>
        </w:tc>
        <w:tc>
          <w:tcPr>
            <w:tcW w:w="834" w:type="pct"/>
            <w:tcBorders>
              <w:tl2br w:val="nil"/>
              <w:tr2bl w:val="nil"/>
            </w:tcBorders>
            <w:shd w:val="clear" w:color="auto" w:fill="auto"/>
            <w:noWrap/>
            <w:vAlign w:val="center"/>
          </w:tcPr>
          <w:p w14:paraId="63813F60">
            <w:pPr>
              <w:jc w:val="center"/>
              <w:textAlignment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bidi="ar"/>
              </w:rPr>
              <w:t>1.07</w:t>
            </w:r>
          </w:p>
        </w:tc>
      </w:tr>
    </w:tbl>
    <w:p w14:paraId="10E6281F">
      <w:pPr>
        <w:rPr>
          <w:rFonts w:hint="default" w:ascii="Times New Roman" w:hAnsi="Times New Roman" w:cs="Times New Roman"/>
        </w:rPr>
      </w:pPr>
    </w:p>
    <w:p w14:paraId="689DF86A">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由表3-1可得到：IP价值，IP营销，谷子质量和理性消费均值都偏高，说明消费者购买谷子看中的是IP价值和谷子品质，其中谷子质量很高，均值为4.02，IP价值和理性消费次之，均值为3.89，其次IP营销、冲动消费均值分别为3.76，3.33。</w:t>
      </w:r>
    </w:p>
    <w:p w14:paraId="39309AEE">
      <w:pPr>
        <w:ind w:firstLine="480" w:firstLineChars="200"/>
        <w:rPr>
          <w:rFonts w:hint="default" w:ascii="Times New Roman" w:hAnsi="Times New Roman" w:cs="Times New Roman"/>
          <w:sz w:val="24"/>
          <w:szCs w:val="24"/>
        </w:rPr>
      </w:pPr>
    </w:p>
    <w:p w14:paraId="1917795A">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rPr>
        <w:drawing>
          <wp:inline distT="0" distB="0" distL="114300" distR="114300">
            <wp:extent cx="5271770" cy="2332355"/>
            <wp:effectExtent l="0" t="0" r="5080" b="12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tretch>
                      <a:fillRect/>
                    </a:stretch>
                  </pic:blipFill>
                  <pic:spPr>
                    <a:xfrm>
                      <a:off x="0" y="0"/>
                      <a:ext cx="5271770" cy="2332355"/>
                    </a:xfrm>
                    <a:prstGeom prst="rect">
                      <a:avLst/>
                    </a:prstGeom>
                    <a:noFill/>
                    <a:ln>
                      <a:noFill/>
                    </a:ln>
                  </pic:spPr>
                </pic:pic>
              </a:graphicData>
            </a:graphic>
          </wp:inline>
        </w:drawing>
      </w:r>
    </w:p>
    <w:p w14:paraId="0B662CA6">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color w:val="000000" w:themeColor="text1"/>
          <w:sz w:val="24"/>
          <w:szCs w:val="24"/>
          <w:lang w:val="en-US" w:eastAsia="zh-CN"/>
          <w14:textFill>
            <w14:solidFill>
              <w14:schemeClr w14:val="tx1"/>
            </w14:solidFill>
          </w14:textFill>
        </w:rPr>
        <w:t>图3-1 谷子消费陷阱</w:t>
      </w:r>
    </w:p>
    <w:p w14:paraId="39A92973">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根据调查数据，消费者在购买谷子时面临多种常见问题，其中最突出的是购买渠道不正规被骗钱或收到假货（50.38%）和产品质量不佳，有瑕疵或损坏（46.92%）。此外，39.23%的消费者反映实物与图片存在色差或细节差异，41.54%的人对发货速度慢表示不满。售后服务不佳（32.69%）和价格虚高（33.46%）也是重要问题，而19.62%的消费者表示抢不到想要的谷子。由此可见，改进产品质量、规范购买渠道、提升发货效率和售后服务，是提高消费者满意度和信任度的关键。</w:t>
      </w:r>
    </w:p>
    <w:p w14:paraId="5519DF1F">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29580" cy="3421380"/>
            <wp:effectExtent l="0" t="0" r="4445" b="762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0"/>
                    <a:stretch>
                      <a:fillRect/>
                    </a:stretch>
                  </pic:blipFill>
                  <pic:spPr>
                    <a:xfrm>
                      <a:off x="0" y="0"/>
                      <a:ext cx="5529580" cy="3421380"/>
                    </a:xfrm>
                    <a:prstGeom prst="rect">
                      <a:avLst/>
                    </a:prstGeom>
                    <a:noFill/>
                    <a:ln>
                      <a:noFill/>
                    </a:ln>
                  </pic:spPr>
                </pic:pic>
              </a:graphicData>
            </a:graphic>
          </wp:inline>
        </w:drawing>
      </w:r>
    </w:p>
    <w:p w14:paraId="7D0B2EEC">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4"/>
          <w:lang w:val="en-US" w:eastAsia="zh-CN"/>
        </w:rPr>
      </w:pPr>
      <w:r>
        <w:rPr>
          <w:rFonts w:hint="eastAsia" w:ascii="Times New Roman" w:hAnsi="Times New Roman" w:eastAsia="宋体" w:cs="Times New Roman"/>
          <w:color w:val="000000" w:themeColor="text1"/>
          <w:sz w:val="21"/>
          <w:szCs w:val="21"/>
          <w:lang w:val="en-US" w:eastAsia="zh-CN"/>
          <w14:textFill>
            <w14:solidFill>
              <w14:schemeClr w14:val="tx1"/>
            </w14:solidFill>
          </w14:textFill>
        </w:rPr>
        <w:t>图3-2 谷子消费陷阱与年龄交叉分析</w:t>
      </w:r>
    </w:p>
    <w:p w14:paraId="01C2E0F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18岁以下群体对</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产品质量不佳</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（57.14%）和</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价格虚高</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（51.43%）的反馈最为突出，同时近半数的受访者表示遭遇过</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购买渠道不正规</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（48.57%）和</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发货速度慢</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（45.71%）问题。19-25岁群体同样面临较高的</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购买渠道不正规</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（50.77%）和</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发货速度慢</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（46.15%）问题，但对</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抢不到谷子</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（20%）的抱怨显著低于年轻群体。26-35岁群体中，</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购买渠道不正规</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（48.53%）和</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发货速度慢</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（44.12%）仍是主要痛点，但对售后服务和价格问题的反馈比例明显下降。36-45岁群体则更关注</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产品质量不佳</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（50%）和</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实物与图片不符</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（42.86%），而发货和售后问题的比例相对较低。值得注意的是，46岁以上群体对</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实物与图片不符</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（66.67%）和</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购买渠道不正规</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（73.33%）的远超其他年龄段，但对</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抢不到谷子</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的反馈最低（6.67%）。总体来看，年轻消费者对价格和质量的敏感度较高，中青年群体更容易遇到购物渠道不正规、被骗钱买假货和物流问题。</w:t>
      </w:r>
    </w:p>
    <w:p w14:paraId="22009F41">
      <w:pPr>
        <w:shd w:val="clear" w:color="auto" w:fill="FFFFFF"/>
        <w:spacing w:before="12" w:line="12" w:lineRule="atLeast"/>
        <w:rPr>
          <w:rFonts w:hint="default" w:ascii="Times New Roman" w:hAnsi="Times New Roman" w:cs="Times New Roman"/>
        </w:rPr>
      </w:pPr>
      <w:r>
        <w:rPr>
          <w:rFonts w:hint="default" w:ascii="Times New Roman" w:hAnsi="Times New Roman" w:cs="Times New Roman"/>
        </w:rPr>
        <w:drawing>
          <wp:inline distT="0" distB="0" distL="114300" distR="114300">
            <wp:extent cx="5274310" cy="3427095"/>
            <wp:effectExtent l="0" t="0" r="2540" b="19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74310" cy="3427095"/>
                    </a:xfrm>
                    <a:prstGeom prst="rect">
                      <a:avLst/>
                    </a:prstGeom>
                    <a:noFill/>
                    <a:ln>
                      <a:noFill/>
                    </a:ln>
                  </pic:spPr>
                </pic:pic>
              </a:graphicData>
            </a:graphic>
          </wp:inline>
        </w:drawing>
      </w:r>
    </w:p>
    <w:p w14:paraId="27AAFE8A">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color w:val="000000" w:themeColor="text1"/>
          <w:kern w:val="1"/>
          <w:sz w:val="21"/>
          <w:szCs w:val="21"/>
          <w:lang w:val="en-US" w:eastAsia="zh-CN" w:bidi="ar-SA"/>
          <w14:textFill>
            <w14:solidFill>
              <w14:schemeClr w14:val="tx1"/>
            </w14:solidFill>
          </w14:textFill>
        </w:rPr>
      </w:pPr>
      <w:r>
        <w:rPr>
          <w:rFonts w:hint="eastAsia" w:ascii="Times New Roman" w:hAnsi="Times New Roman" w:eastAsia="宋体" w:cs="Times New Roman"/>
          <w:color w:val="000000" w:themeColor="text1"/>
          <w:sz w:val="21"/>
          <w:szCs w:val="21"/>
          <w:lang w:val="en-US" w:eastAsia="zh-CN"/>
          <w14:textFill>
            <w14:solidFill>
              <w14:schemeClr w14:val="tx1"/>
            </w14:solidFill>
          </w14:textFill>
        </w:rPr>
        <w:t>图3-3 谷子消费价格区间与年龄交叉分析</w:t>
      </w:r>
    </w:p>
    <w:p w14:paraId="5382703D">
      <w:pPr>
        <w:keepNext w:val="0"/>
        <w:keepLines w:val="0"/>
        <w:pageBreakBefore w:val="0"/>
        <w:widowControl w:val="0"/>
        <w:shd w:val="clear" w:color="auto" w:fill="FFFFFF"/>
        <w:kinsoku/>
        <w:wordWrap/>
        <w:overflowPunct/>
        <w:topLinePunct w:val="0"/>
        <w:autoSpaceDE/>
        <w:autoSpaceDN/>
        <w:bidi w:val="0"/>
        <w:adjustRightInd/>
        <w:snapToGrid/>
        <w:spacing w:before="12" w:line="400" w:lineRule="exact"/>
        <w:ind w:firstLine="480" w:firstLineChars="200"/>
        <w:textAlignment w:val="auto"/>
        <w:rPr>
          <w:rFonts w:hint="default" w:ascii="Times New Roman" w:hAnsi="Times New Roman" w:eastAsia="宋体" w:cs="Times New Roman"/>
          <w:color w:val="000000" w:themeColor="text1"/>
          <w:kern w:val="1"/>
          <w:sz w:val="24"/>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1"/>
          <w:sz w:val="24"/>
          <w:szCs w:val="24"/>
          <w:lang w:val="en-US" w:eastAsia="zh-CN" w:bidi="ar-SA"/>
          <w14:textFill>
            <w14:solidFill>
              <w14:schemeClr w14:val="tx1"/>
            </w14:solidFill>
          </w14:textFill>
        </w:rPr>
        <w:t>年龄在18岁以下和年龄在46岁以后的人群认为超低和超高消费是合理的，46岁以后认为单次谷子消费在50元以下的人群占比最大，占26.67%，18岁以下赞同单次购买谷子消费在50元以下的人群占比24.9%，其他群体都较少。中青年认为中高端谷子消费是合理的，单次消费分布在51到1000元之间。中高端消费人群在19-25岁中占比约为84.6%，在26-36岁人群内占比约为89.7%，在36-45岁人群中占比最高，约为90.5%。</w:t>
      </w:r>
    </w:p>
    <w:p w14:paraId="1888954C">
      <w:pPr>
        <w:keepNext w:val="0"/>
        <w:keepLines w:val="0"/>
        <w:pageBreakBefore w:val="0"/>
        <w:widowControl w:val="0"/>
        <w:shd w:val="clear" w:color="auto" w:fill="FFFFFF"/>
        <w:kinsoku/>
        <w:wordWrap/>
        <w:overflowPunct/>
        <w:topLinePunct w:val="0"/>
        <w:autoSpaceDE/>
        <w:autoSpaceDN/>
        <w:bidi w:val="0"/>
        <w:adjustRightInd/>
        <w:snapToGrid/>
        <w:spacing w:before="12" w:line="400" w:lineRule="exact"/>
        <w:ind w:firstLine="480" w:firstLineChars="200"/>
        <w:textAlignment w:val="auto"/>
        <w:rPr>
          <w:rFonts w:hint="default" w:ascii="Times New Roman" w:hAnsi="Times New Roman" w:eastAsia="宋体" w:cs="Times New Roman"/>
          <w:color w:val="000000" w:themeColor="text1"/>
          <w:kern w:val="1"/>
          <w:sz w:val="24"/>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1"/>
          <w:sz w:val="24"/>
          <w:szCs w:val="24"/>
          <w:lang w:val="en-US" w:eastAsia="zh-CN" w:bidi="ar-SA"/>
          <w14:textFill>
            <w14:solidFill>
              <w14:schemeClr w14:val="tx1"/>
            </w14:solidFill>
          </w14:textFill>
        </w:rPr>
        <w:t>总体来看，年轻消费者更注重性价比，青年群体对中高价位的接受度较高，而中老年群体样本较少，参考价值较低。</w:t>
      </w:r>
    </w:p>
    <w:p w14:paraId="02FA2697">
      <w:pPr>
        <w:shd w:val="clear" w:color="auto" w:fill="FFFFFF"/>
        <w:spacing w:before="12" w:line="12" w:lineRule="atLeast"/>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087495" cy="4443095"/>
            <wp:effectExtent l="0" t="0" r="8255" b="50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4087495" cy="4443095"/>
                    </a:xfrm>
                    <a:prstGeom prst="rect">
                      <a:avLst/>
                    </a:prstGeom>
                    <a:noFill/>
                    <a:ln>
                      <a:noFill/>
                    </a:ln>
                  </pic:spPr>
                </pic:pic>
              </a:graphicData>
            </a:graphic>
          </wp:inline>
        </w:drawing>
      </w:r>
    </w:p>
    <w:p w14:paraId="3CC7A3D8">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rPr>
      </w:pPr>
      <w:r>
        <w:rPr>
          <w:rFonts w:hint="eastAsia" w:ascii="Times New Roman" w:hAnsi="Times New Roman" w:eastAsia="宋体" w:cs="Times New Roman"/>
          <w:color w:val="000000" w:themeColor="text1"/>
          <w:sz w:val="21"/>
          <w:szCs w:val="21"/>
          <w:lang w:val="en-US" w:eastAsia="zh-CN"/>
          <w14:textFill>
            <w14:solidFill>
              <w14:schemeClr w14:val="tx1"/>
            </w14:solidFill>
          </w14:textFill>
        </w:rPr>
        <w:t>图3-4 谷子消费价格区间与收入交叉分析</w:t>
      </w:r>
    </w:p>
    <w:p w14:paraId="36C4BB2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cs="Times New Roman"/>
          <w:sz w:val="24"/>
          <w:szCs w:val="24"/>
        </w:rPr>
        <w:t>月可支配收入为3000元以下的人群中认为单次购买谷子在50元内是合理的人群占总体的25.97%，比其余年龄段的都高。在月可支配收入为3000-5000元内的人群中，单次消费在101-300元的人最多，占总体的40.35%，其次是301-500元，占22.81%。在月可支配收入为5000-8000元内的人群中，单次消费在301-500元的人最多，占总体37.33%，其次是101-300元，占30.67%。整体趋势显示，月可支配收入越高，消费者在消费谷子上的可支配金额越大。</w:t>
      </w:r>
    </w:p>
    <w:p w14:paraId="05319907">
      <w:pPr>
        <w:pStyle w:val="3"/>
        <w:bidi w:val="0"/>
        <w:rPr>
          <w:rFonts w:hint="default" w:ascii="Times New Roman" w:hAnsi="Times New Roman" w:cs="Times New Roman"/>
        </w:rPr>
      </w:pPr>
      <w:bookmarkStart w:id="17" w:name="_Toc16482"/>
      <w:r>
        <w:rPr>
          <w:rFonts w:hint="default" w:ascii="Times New Roman" w:hAnsi="Times New Roman" w:cs="Times New Roman"/>
          <w:lang w:val="en-US" w:eastAsia="zh-CN"/>
        </w:rPr>
        <w:t>四、</w:t>
      </w:r>
      <w:r>
        <w:rPr>
          <w:rFonts w:hint="default" w:ascii="Times New Roman" w:hAnsi="Times New Roman" w:cs="Times New Roman"/>
        </w:rPr>
        <w:t>相关性分析</w:t>
      </w:r>
      <w:bookmarkEnd w:id="17"/>
      <w:r>
        <w:rPr>
          <w:rFonts w:hint="default" w:ascii="Times New Roman" w:hAnsi="Times New Roman" w:cs="Times New Roman"/>
        </w:rPr>
        <w:t xml:space="preserve"> </w:t>
      </w:r>
    </w:p>
    <w:p w14:paraId="05A33FB9">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本研究采用SPSS软件中的Pearson相关系数对样本数据中的</w:t>
      </w:r>
      <w:r>
        <w:rPr>
          <w:rFonts w:hint="default" w:ascii="Times New Roman" w:hAnsi="Times New Roman" w:cs="Times New Roman"/>
          <w:color w:val="auto"/>
          <w:sz w:val="24"/>
          <w:szCs w:val="24"/>
          <w:highlight w:val="none"/>
        </w:rPr>
        <w:t>IP价值</w:t>
      </w:r>
      <w:r>
        <w:rPr>
          <w:rFonts w:hint="default" w:ascii="Times New Roman" w:hAnsi="Times New Roman" w:cs="Times New Roman"/>
          <w:color w:val="auto"/>
          <w:sz w:val="24"/>
          <w:szCs w:val="24"/>
          <w:highlight w:val="none"/>
          <w:lang w:eastAsia="zh-CN"/>
        </w:rPr>
        <w:t>、</w:t>
      </w:r>
      <w:r>
        <w:rPr>
          <w:rFonts w:hint="default" w:ascii="Times New Roman" w:hAnsi="Times New Roman" w:cs="Times New Roman"/>
          <w:color w:val="auto"/>
          <w:sz w:val="24"/>
          <w:szCs w:val="24"/>
          <w:highlight w:val="none"/>
        </w:rPr>
        <w:t>IP营销、谷子质量</w:t>
      </w:r>
      <w:r>
        <w:rPr>
          <w:rFonts w:hint="default" w:ascii="Times New Roman" w:hAnsi="Times New Roman" w:cs="Times New Roman"/>
          <w:color w:val="auto"/>
          <w:sz w:val="24"/>
          <w:szCs w:val="24"/>
          <w:highlight w:val="none"/>
          <w:lang w:val="en-US" w:eastAsia="zh-CN"/>
        </w:rPr>
        <w:t>和谷子理性消费、冲动消费</w:t>
      </w:r>
      <w:r>
        <w:rPr>
          <w:rFonts w:hint="default" w:ascii="Times New Roman" w:hAnsi="Times New Roman" w:cs="Times New Roman"/>
          <w:sz w:val="24"/>
          <w:szCs w:val="24"/>
          <w:highlight w:val="none"/>
        </w:rPr>
        <w:t>进行了相关性分析，检验结果如下:</w:t>
      </w:r>
    </w:p>
    <w:p w14:paraId="62D0475D">
      <w:pPr>
        <w:jc w:val="center"/>
        <w:rPr>
          <w:rFonts w:hint="default" w:ascii="Times New Roman" w:hAnsi="Times New Roman" w:cs="Times New Roman"/>
          <w:sz w:val="21"/>
          <w:szCs w:val="21"/>
          <w:highlight w:val="none"/>
        </w:rPr>
      </w:pPr>
      <w:r>
        <w:rPr>
          <w:rFonts w:hint="default" w:ascii="Times New Roman" w:hAnsi="Times New Roman" w:cs="Times New Roman"/>
          <w:sz w:val="21"/>
          <w:szCs w:val="21"/>
          <w:highlight w:val="none"/>
        </w:rPr>
        <w:t>表3-</w:t>
      </w:r>
      <w:r>
        <w:rPr>
          <w:rFonts w:hint="eastAsia" w:ascii="Times New Roman" w:hAnsi="Times New Roman" w:cs="Times New Roman"/>
          <w:sz w:val="21"/>
          <w:szCs w:val="21"/>
          <w:highlight w:val="none"/>
          <w:lang w:val="en-US" w:eastAsia="zh-CN"/>
        </w:rPr>
        <w:t>5</w:t>
      </w:r>
      <w:r>
        <w:rPr>
          <w:rFonts w:hint="default" w:ascii="Times New Roman" w:hAnsi="Times New Roman" w:cs="Times New Roman"/>
          <w:sz w:val="21"/>
          <w:szCs w:val="21"/>
          <w:highlight w:val="none"/>
        </w:rPr>
        <w:t>各维度之间的相关性分析</w:t>
      </w:r>
    </w:p>
    <w:tbl>
      <w:tblPr>
        <w:tblStyle w:val="11"/>
        <w:tblW w:w="4997"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6"/>
        <w:gridCol w:w="1402"/>
        <w:gridCol w:w="1402"/>
        <w:gridCol w:w="1402"/>
        <w:gridCol w:w="1402"/>
        <w:gridCol w:w="1403"/>
      </w:tblGrid>
      <w:tr w14:paraId="7A231FA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84" w:type="pct"/>
            <w:tcBorders>
              <w:bottom w:val="single" w:color="auto" w:sz="6" w:space="0"/>
            </w:tcBorders>
            <w:shd w:val="clear" w:color="auto" w:fill="auto"/>
            <w:noWrap/>
            <w:vAlign w:val="center"/>
          </w:tcPr>
          <w:p w14:paraId="6B4EAC99">
            <w:pPr>
              <w:rPr>
                <w:rFonts w:hint="default" w:ascii="Times New Roman" w:hAnsi="Times New Roman" w:cs="Times New Roman"/>
                <w:color w:val="000000"/>
                <w:sz w:val="21"/>
                <w:szCs w:val="21"/>
                <w:highlight w:val="none"/>
              </w:rPr>
            </w:pPr>
          </w:p>
        </w:tc>
        <w:tc>
          <w:tcPr>
            <w:tcW w:w="823" w:type="pct"/>
            <w:tcBorders>
              <w:bottom w:val="single" w:color="auto" w:sz="6" w:space="0"/>
            </w:tcBorders>
            <w:shd w:val="clear" w:color="auto" w:fill="auto"/>
            <w:noWrap/>
            <w:vAlign w:val="center"/>
          </w:tcPr>
          <w:p w14:paraId="4440666A">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IP价值</w:t>
            </w:r>
          </w:p>
        </w:tc>
        <w:tc>
          <w:tcPr>
            <w:tcW w:w="823" w:type="pct"/>
            <w:tcBorders>
              <w:bottom w:val="single" w:color="auto" w:sz="6" w:space="0"/>
            </w:tcBorders>
            <w:shd w:val="clear" w:color="auto" w:fill="auto"/>
            <w:noWrap/>
            <w:vAlign w:val="center"/>
          </w:tcPr>
          <w:p w14:paraId="75A5BBA8">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IP营销</w:t>
            </w:r>
          </w:p>
        </w:tc>
        <w:tc>
          <w:tcPr>
            <w:tcW w:w="823" w:type="pct"/>
            <w:tcBorders>
              <w:bottom w:val="single" w:color="auto" w:sz="6" w:space="0"/>
            </w:tcBorders>
            <w:shd w:val="clear" w:color="auto" w:fill="auto"/>
            <w:noWrap/>
            <w:vAlign w:val="center"/>
          </w:tcPr>
          <w:p w14:paraId="721D2359">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谷子质量</w:t>
            </w:r>
          </w:p>
        </w:tc>
        <w:tc>
          <w:tcPr>
            <w:tcW w:w="823" w:type="pct"/>
            <w:tcBorders>
              <w:bottom w:val="single" w:color="auto" w:sz="6" w:space="0"/>
            </w:tcBorders>
            <w:shd w:val="clear" w:color="auto" w:fill="auto"/>
            <w:noWrap/>
            <w:vAlign w:val="center"/>
          </w:tcPr>
          <w:p w14:paraId="62E20F55">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理性消费</w:t>
            </w:r>
          </w:p>
        </w:tc>
        <w:tc>
          <w:tcPr>
            <w:tcW w:w="823" w:type="pct"/>
            <w:tcBorders>
              <w:bottom w:val="single" w:color="auto" w:sz="6" w:space="0"/>
            </w:tcBorders>
            <w:shd w:val="clear" w:color="auto" w:fill="auto"/>
            <w:noWrap/>
            <w:vAlign w:val="center"/>
          </w:tcPr>
          <w:p w14:paraId="15730F6A">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冲动消费</w:t>
            </w:r>
          </w:p>
        </w:tc>
      </w:tr>
      <w:tr w14:paraId="288F5C8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84" w:type="pct"/>
            <w:tcBorders>
              <w:top w:val="single" w:color="auto" w:sz="6" w:space="0"/>
              <w:tl2br w:val="nil"/>
              <w:tr2bl w:val="nil"/>
            </w:tcBorders>
            <w:shd w:val="clear" w:color="auto" w:fill="auto"/>
            <w:noWrap/>
            <w:vAlign w:val="center"/>
          </w:tcPr>
          <w:p w14:paraId="30837609">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IP价值</w:t>
            </w:r>
          </w:p>
        </w:tc>
        <w:tc>
          <w:tcPr>
            <w:tcW w:w="823" w:type="pct"/>
            <w:tcBorders>
              <w:top w:val="single" w:color="auto" w:sz="6" w:space="0"/>
              <w:tl2br w:val="nil"/>
              <w:tr2bl w:val="nil"/>
            </w:tcBorders>
            <w:shd w:val="clear" w:color="auto" w:fill="auto"/>
            <w:noWrap/>
            <w:vAlign w:val="center"/>
          </w:tcPr>
          <w:p w14:paraId="3E53FBAE">
            <w:pPr>
              <w:jc w:val="left"/>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1</w:t>
            </w:r>
          </w:p>
        </w:tc>
        <w:tc>
          <w:tcPr>
            <w:tcW w:w="823" w:type="pct"/>
            <w:tcBorders>
              <w:top w:val="single" w:color="auto" w:sz="6" w:space="0"/>
              <w:tl2br w:val="nil"/>
              <w:tr2bl w:val="nil"/>
            </w:tcBorders>
            <w:shd w:val="clear" w:color="auto" w:fill="auto"/>
            <w:noWrap/>
            <w:vAlign w:val="center"/>
          </w:tcPr>
          <w:p w14:paraId="36EB15D5">
            <w:pPr>
              <w:jc w:val="left"/>
              <w:rPr>
                <w:rFonts w:hint="default" w:ascii="Times New Roman" w:hAnsi="Times New Roman" w:cs="Times New Roman"/>
                <w:color w:val="000000"/>
                <w:sz w:val="21"/>
                <w:szCs w:val="21"/>
                <w:highlight w:val="none"/>
              </w:rPr>
            </w:pPr>
          </w:p>
        </w:tc>
        <w:tc>
          <w:tcPr>
            <w:tcW w:w="823" w:type="pct"/>
            <w:tcBorders>
              <w:top w:val="single" w:color="auto" w:sz="6" w:space="0"/>
              <w:tl2br w:val="nil"/>
              <w:tr2bl w:val="nil"/>
            </w:tcBorders>
            <w:shd w:val="clear" w:color="auto" w:fill="auto"/>
            <w:noWrap/>
            <w:vAlign w:val="center"/>
          </w:tcPr>
          <w:p w14:paraId="73B15B20">
            <w:pPr>
              <w:jc w:val="left"/>
              <w:rPr>
                <w:rFonts w:hint="default" w:ascii="Times New Roman" w:hAnsi="Times New Roman" w:cs="Times New Roman"/>
                <w:color w:val="000000"/>
                <w:sz w:val="21"/>
                <w:szCs w:val="21"/>
                <w:highlight w:val="none"/>
              </w:rPr>
            </w:pPr>
          </w:p>
        </w:tc>
        <w:tc>
          <w:tcPr>
            <w:tcW w:w="823" w:type="pct"/>
            <w:tcBorders>
              <w:top w:val="single" w:color="auto" w:sz="6" w:space="0"/>
              <w:tl2br w:val="nil"/>
              <w:tr2bl w:val="nil"/>
            </w:tcBorders>
            <w:shd w:val="clear" w:color="auto" w:fill="auto"/>
            <w:noWrap/>
            <w:vAlign w:val="center"/>
          </w:tcPr>
          <w:p w14:paraId="7601D727">
            <w:pPr>
              <w:jc w:val="left"/>
              <w:rPr>
                <w:rFonts w:hint="default" w:ascii="Times New Roman" w:hAnsi="Times New Roman" w:cs="Times New Roman"/>
                <w:color w:val="000000"/>
                <w:sz w:val="21"/>
                <w:szCs w:val="21"/>
                <w:highlight w:val="none"/>
              </w:rPr>
            </w:pPr>
          </w:p>
        </w:tc>
        <w:tc>
          <w:tcPr>
            <w:tcW w:w="823" w:type="pct"/>
            <w:tcBorders>
              <w:top w:val="single" w:color="auto" w:sz="6" w:space="0"/>
              <w:tl2br w:val="nil"/>
              <w:tr2bl w:val="nil"/>
            </w:tcBorders>
            <w:shd w:val="clear" w:color="auto" w:fill="auto"/>
            <w:noWrap/>
            <w:vAlign w:val="center"/>
          </w:tcPr>
          <w:p w14:paraId="3FA7EF2D">
            <w:pPr>
              <w:jc w:val="left"/>
              <w:rPr>
                <w:rFonts w:hint="default" w:ascii="Times New Roman" w:hAnsi="Times New Roman" w:cs="Times New Roman"/>
                <w:color w:val="000000"/>
                <w:sz w:val="21"/>
                <w:szCs w:val="21"/>
                <w:highlight w:val="none"/>
              </w:rPr>
            </w:pPr>
          </w:p>
        </w:tc>
      </w:tr>
      <w:tr w14:paraId="3FC7636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84" w:type="pct"/>
            <w:tcBorders>
              <w:tl2br w:val="nil"/>
              <w:tr2bl w:val="nil"/>
            </w:tcBorders>
            <w:shd w:val="clear" w:color="auto" w:fill="auto"/>
            <w:noWrap/>
            <w:vAlign w:val="center"/>
          </w:tcPr>
          <w:p w14:paraId="1EDC7B76">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IP营销</w:t>
            </w:r>
          </w:p>
        </w:tc>
        <w:tc>
          <w:tcPr>
            <w:tcW w:w="823" w:type="pct"/>
            <w:tcBorders>
              <w:tl2br w:val="nil"/>
              <w:tr2bl w:val="nil"/>
            </w:tcBorders>
            <w:shd w:val="clear" w:color="auto" w:fill="auto"/>
            <w:noWrap/>
            <w:vAlign w:val="center"/>
          </w:tcPr>
          <w:p w14:paraId="0B7912FF">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0.63</w:t>
            </w:r>
            <w:r>
              <w:rPr>
                <w:rFonts w:hint="default" w:ascii="Times New Roman" w:hAnsi="Times New Roman" w:cs="Times New Roman"/>
                <w:color w:val="000000"/>
                <w:sz w:val="21"/>
                <w:szCs w:val="21"/>
                <w:highlight w:val="none"/>
                <w:vertAlign w:val="superscript"/>
                <w:lang w:bidi="ar"/>
              </w:rPr>
              <w:t>***</w:t>
            </w:r>
          </w:p>
        </w:tc>
        <w:tc>
          <w:tcPr>
            <w:tcW w:w="823" w:type="pct"/>
            <w:tcBorders>
              <w:tl2br w:val="nil"/>
              <w:tr2bl w:val="nil"/>
            </w:tcBorders>
            <w:shd w:val="clear" w:color="auto" w:fill="auto"/>
            <w:noWrap/>
            <w:vAlign w:val="center"/>
          </w:tcPr>
          <w:p w14:paraId="3EDA6BCC">
            <w:pPr>
              <w:jc w:val="left"/>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1</w:t>
            </w:r>
          </w:p>
        </w:tc>
        <w:tc>
          <w:tcPr>
            <w:tcW w:w="823" w:type="pct"/>
            <w:tcBorders>
              <w:tl2br w:val="nil"/>
              <w:tr2bl w:val="nil"/>
            </w:tcBorders>
            <w:shd w:val="clear" w:color="auto" w:fill="auto"/>
            <w:noWrap/>
            <w:vAlign w:val="center"/>
          </w:tcPr>
          <w:p w14:paraId="5C663C90">
            <w:pPr>
              <w:jc w:val="left"/>
              <w:rPr>
                <w:rFonts w:hint="default" w:ascii="Times New Roman" w:hAnsi="Times New Roman" w:cs="Times New Roman"/>
                <w:color w:val="000000"/>
                <w:sz w:val="21"/>
                <w:szCs w:val="21"/>
                <w:highlight w:val="none"/>
              </w:rPr>
            </w:pPr>
          </w:p>
        </w:tc>
        <w:tc>
          <w:tcPr>
            <w:tcW w:w="823" w:type="pct"/>
            <w:tcBorders>
              <w:tl2br w:val="nil"/>
              <w:tr2bl w:val="nil"/>
            </w:tcBorders>
            <w:shd w:val="clear" w:color="auto" w:fill="auto"/>
            <w:noWrap/>
            <w:vAlign w:val="center"/>
          </w:tcPr>
          <w:p w14:paraId="592E36C7">
            <w:pPr>
              <w:jc w:val="left"/>
              <w:rPr>
                <w:rFonts w:hint="default" w:ascii="Times New Roman" w:hAnsi="Times New Roman" w:cs="Times New Roman"/>
                <w:color w:val="000000"/>
                <w:sz w:val="21"/>
                <w:szCs w:val="21"/>
                <w:highlight w:val="none"/>
              </w:rPr>
            </w:pPr>
          </w:p>
        </w:tc>
        <w:tc>
          <w:tcPr>
            <w:tcW w:w="823" w:type="pct"/>
            <w:tcBorders>
              <w:tl2br w:val="nil"/>
              <w:tr2bl w:val="nil"/>
            </w:tcBorders>
            <w:shd w:val="clear" w:color="auto" w:fill="auto"/>
            <w:noWrap/>
            <w:vAlign w:val="center"/>
          </w:tcPr>
          <w:p w14:paraId="5CF861A8">
            <w:pPr>
              <w:jc w:val="left"/>
              <w:rPr>
                <w:rFonts w:hint="default" w:ascii="Times New Roman" w:hAnsi="Times New Roman" w:cs="Times New Roman"/>
                <w:color w:val="000000"/>
                <w:sz w:val="21"/>
                <w:szCs w:val="21"/>
                <w:highlight w:val="none"/>
              </w:rPr>
            </w:pPr>
          </w:p>
        </w:tc>
      </w:tr>
      <w:tr w14:paraId="2A81F05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84" w:type="pct"/>
            <w:tcBorders>
              <w:tl2br w:val="nil"/>
              <w:tr2bl w:val="nil"/>
            </w:tcBorders>
            <w:shd w:val="clear" w:color="auto" w:fill="auto"/>
            <w:noWrap/>
            <w:vAlign w:val="center"/>
          </w:tcPr>
          <w:p w14:paraId="5F3DBD3C">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谷子质量</w:t>
            </w:r>
          </w:p>
        </w:tc>
        <w:tc>
          <w:tcPr>
            <w:tcW w:w="823" w:type="pct"/>
            <w:tcBorders>
              <w:tl2br w:val="nil"/>
              <w:tr2bl w:val="nil"/>
            </w:tcBorders>
            <w:shd w:val="clear" w:color="auto" w:fill="auto"/>
            <w:noWrap/>
            <w:vAlign w:val="center"/>
          </w:tcPr>
          <w:p w14:paraId="5E919DEE">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0.80</w:t>
            </w:r>
            <w:r>
              <w:rPr>
                <w:rFonts w:hint="default" w:ascii="Times New Roman" w:hAnsi="Times New Roman" w:cs="Times New Roman"/>
                <w:color w:val="000000"/>
                <w:sz w:val="21"/>
                <w:szCs w:val="21"/>
                <w:highlight w:val="none"/>
                <w:vertAlign w:val="superscript"/>
                <w:lang w:bidi="ar"/>
              </w:rPr>
              <w:t>***</w:t>
            </w:r>
          </w:p>
        </w:tc>
        <w:tc>
          <w:tcPr>
            <w:tcW w:w="823" w:type="pct"/>
            <w:tcBorders>
              <w:tl2br w:val="nil"/>
              <w:tr2bl w:val="nil"/>
            </w:tcBorders>
            <w:shd w:val="clear" w:color="auto" w:fill="auto"/>
            <w:noWrap/>
            <w:vAlign w:val="center"/>
          </w:tcPr>
          <w:p w14:paraId="1364AC53">
            <w:pPr>
              <w:jc w:val="left"/>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0.63**</w:t>
            </w:r>
          </w:p>
        </w:tc>
        <w:tc>
          <w:tcPr>
            <w:tcW w:w="823" w:type="pct"/>
            <w:tcBorders>
              <w:tl2br w:val="nil"/>
              <w:tr2bl w:val="nil"/>
            </w:tcBorders>
            <w:shd w:val="clear" w:color="auto" w:fill="auto"/>
            <w:noWrap/>
            <w:vAlign w:val="center"/>
          </w:tcPr>
          <w:p w14:paraId="18339F1B">
            <w:pPr>
              <w:jc w:val="left"/>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1</w:t>
            </w:r>
          </w:p>
        </w:tc>
        <w:tc>
          <w:tcPr>
            <w:tcW w:w="823" w:type="pct"/>
            <w:tcBorders>
              <w:tl2br w:val="nil"/>
              <w:tr2bl w:val="nil"/>
            </w:tcBorders>
            <w:shd w:val="clear" w:color="auto" w:fill="auto"/>
            <w:noWrap/>
            <w:vAlign w:val="center"/>
          </w:tcPr>
          <w:p w14:paraId="0F6B9612">
            <w:pPr>
              <w:jc w:val="left"/>
              <w:rPr>
                <w:rFonts w:hint="default" w:ascii="Times New Roman" w:hAnsi="Times New Roman" w:cs="Times New Roman"/>
                <w:color w:val="000000"/>
                <w:sz w:val="21"/>
                <w:szCs w:val="21"/>
                <w:highlight w:val="none"/>
              </w:rPr>
            </w:pPr>
          </w:p>
        </w:tc>
        <w:tc>
          <w:tcPr>
            <w:tcW w:w="823" w:type="pct"/>
            <w:tcBorders>
              <w:tl2br w:val="nil"/>
              <w:tr2bl w:val="nil"/>
            </w:tcBorders>
            <w:shd w:val="clear" w:color="auto" w:fill="auto"/>
            <w:noWrap/>
            <w:vAlign w:val="center"/>
          </w:tcPr>
          <w:p w14:paraId="2D68DA0D">
            <w:pPr>
              <w:jc w:val="left"/>
              <w:rPr>
                <w:rFonts w:hint="default" w:ascii="Times New Roman" w:hAnsi="Times New Roman" w:cs="Times New Roman"/>
                <w:color w:val="000000"/>
                <w:sz w:val="21"/>
                <w:szCs w:val="21"/>
                <w:highlight w:val="none"/>
              </w:rPr>
            </w:pPr>
          </w:p>
        </w:tc>
      </w:tr>
      <w:tr w14:paraId="168627D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84" w:type="pct"/>
            <w:tcBorders>
              <w:tl2br w:val="nil"/>
              <w:tr2bl w:val="nil"/>
            </w:tcBorders>
            <w:shd w:val="clear" w:color="auto" w:fill="auto"/>
            <w:noWrap/>
            <w:vAlign w:val="center"/>
          </w:tcPr>
          <w:p w14:paraId="55ED848E">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理性消费</w:t>
            </w:r>
          </w:p>
        </w:tc>
        <w:tc>
          <w:tcPr>
            <w:tcW w:w="823" w:type="pct"/>
            <w:tcBorders>
              <w:tl2br w:val="nil"/>
              <w:tr2bl w:val="nil"/>
            </w:tcBorders>
            <w:shd w:val="clear" w:color="auto" w:fill="auto"/>
            <w:noWrap/>
            <w:vAlign w:val="center"/>
          </w:tcPr>
          <w:p w14:paraId="140324B7">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0.74</w:t>
            </w:r>
            <w:r>
              <w:rPr>
                <w:rFonts w:hint="default" w:ascii="Times New Roman" w:hAnsi="Times New Roman" w:cs="Times New Roman"/>
                <w:color w:val="000000"/>
                <w:sz w:val="21"/>
                <w:szCs w:val="21"/>
                <w:highlight w:val="none"/>
                <w:vertAlign w:val="superscript"/>
                <w:lang w:bidi="ar"/>
              </w:rPr>
              <w:t>***</w:t>
            </w:r>
          </w:p>
        </w:tc>
        <w:tc>
          <w:tcPr>
            <w:tcW w:w="823" w:type="pct"/>
            <w:tcBorders>
              <w:tl2br w:val="nil"/>
              <w:tr2bl w:val="nil"/>
            </w:tcBorders>
            <w:shd w:val="clear" w:color="auto" w:fill="auto"/>
            <w:noWrap/>
            <w:vAlign w:val="center"/>
          </w:tcPr>
          <w:p w14:paraId="57A42DE3">
            <w:pPr>
              <w:jc w:val="left"/>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0.69**</w:t>
            </w:r>
          </w:p>
        </w:tc>
        <w:tc>
          <w:tcPr>
            <w:tcW w:w="823" w:type="pct"/>
            <w:tcBorders>
              <w:tl2br w:val="nil"/>
              <w:tr2bl w:val="nil"/>
            </w:tcBorders>
            <w:shd w:val="clear" w:color="auto" w:fill="auto"/>
            <w:noWrap/>
            <w:vAlign w:val="center"/>
          </w:tcPr>
          <w:p w14:paraId="50813A27">
            <w:pPr>
              <w:jc w:val="left"/>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0.78**</w:t>
            </w:r>
          </w:p>
        </w:tc>
        <w:tc>
          <w:tcPr>
            <w:tcW w:w="823" w:type="pct"/>
            <w:tcBorders>
              <w:tl2br w:val="nil"/>
              <w:tr2bl w:val="nil"/>
            </w:tcBorders>
            <w:shd w:val="clear" w:color="auto" w:fill="auto"/>
            <w:noWrap/>
            <w:vAlign w:val="center"/>
          </w:tcPr>
          <w:p w14:paraId="08A0B819">
            <w:pPr>
              <w:jc w:val="left"/>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1</w:t>
            </w:r>
          </w:p>
        </w:tc>
        <w:tc>
          <w:tcPr>
            <w:tcW w:w="823" w:type="pct"/>
            <w:tcBorders>
              <w:tl2br w:val="nil"/>
              <w:tr2bl w:val="nil"/>
            </w:tcBorders>
            <w:shd w:val="clear" w:color="auto" w:fill="auto"/>
            <w:noWrap/>
            <w:vAlign w:val="center"/>
          </w:tcPr>
          <w:p w14:paraId="18C346F7">
            <w:pPr>
              <w:jc w:val="left"/>
              <w:rPr>
                <w:rFonts w:hint="default" w:ascii="Times New Roman" w:hAnsi="Times New Roman" w:cs="Times New Roman"/>
                <w:color w:val="000000"/>
                <w:sz w:val="21"/>
                <w:szCs w:val="21"/>
                <w:highlight w:val="none"/>
              </w:rPr>
            </w:pPr>
          </w:p>
        </w:tc>
      </w:tr>
      <w:tr w14:paraId="765D8A4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84" w:type="pct"/>
            <w:tcBorders>
              <w:tl2br w:val="nil"/>
              <w:tr2bl w:val="nil"/>
            </w:tcBorders>
            <w:shd w:val="clear" w:color="auto" w:fill="auto"/>
            <w:noWrap/>
            <w:vAlign w:val="center"/>
          </w:tcPr>
          <w:p w14:paraId="33B2CF67">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冲动消费</w:t>
            </w:r>
          </w:p>
        </w:tc>
        <w:tc>
          <w:tcPr>
            <w:tcW w:w="823" w:type="pct"/>
            <w:tcBorders>
              <w:tl2br w:val="nil"/>
              <w:tr2bl w:val="nil"/>
            </w:tcBorders>
            <w:shd w:val="clear" w:color="auto" w:fill="auto"/>
            <w:noWrap/>
            <w:vAlign w:val="center"/>
          </w:tcPr>
          <w:p w14:paraId="6DCB5EA8">
            <w:pPr>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0.33</w:t>
            </w:r>
            <w:r>
              <w:rPr>
                <w:rFonts w:hint="default" w:ascii="Times New Roman" w:hAnsi="Times New Roman" w:cs="Times New Roman"/>
                <w:color w:val="000000"/>
                <w:sz w:val="21"/>
                <w:szCs w:val="21"/>
                <w:highlight w:val="none"/>
                <w:vertAlign w:val="superscript"/>
                <w:lang w:bidi="ar"/>
              </w:rPr>
              <w:t>***</w:t>
            </w:r>
          </w:p>
        </w:tc>
        <w:tc>
          <w:tcPr>
            <w:tcW w:w="823" w:type="pct"/>
            <w:tcBorders>
              <w:tl2br w:val="nil"/>
              <w:tr2bl w:val="nil"/>
            </w:tcBorders>
            <w:shd w:val="clear" w:color="auto" w:fill="auto"/>
            <w:noWrap/>
            <w:vAlign w:val="center"/>
          </w:tcPr>
          <w:p w14:paraId="2DFB54BC">
            <w:pPr>
              <w:jc w:val="left"/>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0.56**</w:t>
            </w:r>
          </w:p>
        </w:tc>
        <w:tc>
          <w:tcPr>
            <w:tcW w:w="823" w:type="pct"/>
            <w:tcBorders>
              <w:tl2br w:val="nil"/>
              <w:tr2bl w:val="nil"/>
            </w:tcBorders>
            <w:shd w:val="clear" w:color="auto" w:fill="auto"/>
            <w:noWrap/>
            <w:vAlign w:val="center"/>
          </w:tcPr>
          <w:p w14:paraId="1DEE73F6">
            <w:pPr>
              <w:jc w:val="left"/>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0.30**</w:t>
            </w:r>
          </w:p>
        </w:tc>
        <w:tc>
          <w:tcPr>
            <w:tcW w:w="823" w:type="pct"/>
            <w:tcBorders>
              <w:tl2br w:val="nil"/>
              <w:tr2bl w:val="nil"/>
            </w:tcBorders>
            <w:shd w:val="clear" w:color="auto" w:fill="auto"/>
            <w:noWrap/>
            <w:vAlign w:val="center"/>
          </w:tcPr>
          <w:p w14:paraId="5FE358AA">
            <w:pPr>
              <w:jc w:val="left"/>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0.39**</w:t>
            </w:r>
          </w:p>
        </w:tc>
        <w:tc>
          <w:tcPr>
            <w:tcW w:w="823" w:type="pct"/>
            <w:tcBorders>
              <w:tl2br w:val="nil"/>
              <w:tr2bl w:val="nil"/>
            </w:tcBorders>
            <w:shd w:val="clear" w:color="auto" w:fill="auto"/>
            <w:noWrap/>
            <w:vAlign w:val="center"/>
          </w:tcPr>
          <w:p w14:paraId="2FCD69B8">
            <w:pPr>
              <w:jc w:val="left"/>
              <w:textAlignment w:val="center"/>
              <w:rPr>
                <w:rFonts w:hint="default" w:ascii="Times New Roman" w:hAnsi="Times New Roman" w:cs="Times New Roman"/>
                <w:color w:val="000000"/>
                <w:sz w:val="21"/>
                <w:szCs w:val="21"/>
                <w:highlight w:val="none"/>
              </w:rPr>
            </w:pPr>
            <w:r>
              <w:rPr>
                <w:rFonts w:hint="default" w:ascii="Times New Roman" w:hAnsi="Times New Roman" w:cs="Times New Roman"/>
                <w:color w:val="000000"/>
                <w:sz w:val="21"/>
                <w:szCs w:val="21"/>
                <w:highlight w:val="none"/>
                <w:lang w:bidi="ar"/>
              </w:rPr>
              <w:t>1</w:t>
            </w:r>
          </w:p>
        </w:tc>
      </w:tr>
    </w:tbl>
    <w:p w14:paraId="7D8E250C">
      <w:pPr>
        <w:rPr>
          <w:rFonts w:hint="default" w:ascii="Times New Roman" w:hAnsi="Times New Roman" w:cs="Times New Roman"/>
          <w:sz w:val="21"/>
          <w:szCs w:val="21"/>
          <w:highlight w:val="none"/>
        </w:rPr>
      </w:pPr>
      <w:r>
        <w:rPr>
          <w:rFonts w:hint="default" w:ascii="Times New Roman" w:hAnsi="Times New Roman" w:cs="Times New Roman"/>
          <w:sz w:val="21"/>
          <w:szCs w:val="21"/>
          <w:highlight w:val="none"/>
        </w:rPr>
        <w:t>*** 在 0.001 水平（双侧）上显著相关。</w:t>
      </w:r>
      <w:r>
        <w:rPr>
          <w:rFonts w:hint="default" w:ascii="Times New Roman" w:hAnsi="Times New Roman" w:cs="Times New Roman"/>
          <w:sz w:val="21"/>
          <w:szCs w:val="21"/>
          <w:highlight w:val="none"/>
        </w:rPr>
        <w:tab/>
      </w:r>
      <w:r>
        <w:rPr>
          <w:rFonts w:hint="default" w:ascii="Times New Roman" w:hAnsi="Times New Roman" w:cs="Times New Roman"/>
          <w:sz w:val="21"/>
          <w:szCs w:val="21"/>
          <w:highlight w:val="none"/>
        </w:rPr>
        <w:tab/>
      </w:r>
      <w:r>
        <w:rPr>
          <w:rFonts w:hint="default" w:ascii="Times New Roman" w:hAnsi="Times New Roman" w:cs="Times New Roman"/>
          <w:sz w:val="21"/>
          <w:szCs w:val="21"/>
          <w:highlight w:val="none"/>
        </w:rPr>
        <w:tab/>
      </w:r>
      <w:r>
        <w:rPr>
          <w:rFonts w:hint="default" w:ascii="Times New Roman" w:hAnsi="Times New Roman" w:cs="Times New Roman"/>
          <w:sz w:val="21"/>
          <w:szCs w:val="21"/>
          <w:highlight w:val="none"/>
        </w:rPr>
        <w:tab/>
      </w:r>
      <w:r>
        <w:rPr>
          <w:rFonts w:hint="default" w:ascii="Times New Roman" w:hAnsi="Times New Roman" w:cs="Times New Roman"/>
          <w:sz w:val="21"/>
          <w:szCs w:val="21"/>
          <w:highlight w:val="none"/>
        </w:rPr>
        <w:tab/>
      </w:r>
      <w:r>
        <w:rPr>
          <w:rFonts w:hint="default" w:ascii="Times New Roman" w:hAnsi="Times New Roman" w:cs="Times New Roman"/>
          <w:sz w:val="21"/>
          <w:szCs w:val="21"/>
          <w:highlight w:val="none"/>
        </w:rPr>
        <w:tab/>
      </w:r>
    </w:p>
    <w:p w14:paraId="51302F2D">
      <w:pPr>
        <w:ind w:firstLine="480" w:firstLineChars="200"/>
        <w:jc w:val="both"/>
        <w:rPr>
          <w:rFonts w:hint="default" w:ascii="Times New Roman" w:hAnsi="Times New Roman" w:cs="Times New Roman"/>
          <w:sz w:val="24"/>
          <w:szCs w:val="24"/>
        </w:rPr>
      </w:pPr>
    </w:p>
    <w:p w14:paraId="408EA7E4">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eastAsiaTheme="minorEastAsia"/>
          <w:color w:val="C00000"/>
          <w:sz w:val="24"/>
          <w:szCs w:val="24"/>
          <w:lang w:val="en-US" w:eastAsia="zh-CN"/>
        </w:rPr>
      </w:pPr>
      <w:r>
        <w:rPr>
          <w:rFonts w:hint="default" w:ascii="Times New Roman" w:hAnsi="Times New Roman" w:cs="Times New Roman"/>
          <w:sz w:val="24"/>
          <w:szCs w:val="24"/>
        </w:rPr>
        <w:t>表 3-2 数据分析结果表明：</w:t>
      </w:r>
      <w:r>
        <w:rPr>
          <w:rFonts w:hint="default" w:ascii="Times New Roman" w:hAnsi="Times New Roman" w:cs="Times New Roman"/>
          <w:sz w:val="24"/>
          <w:szCs w:val="24"/>
          <w:lang w:val="en-US" w:eastAsia="zh-CN"/>
        </w:rPr>
        <w:t>谷子的理性消费与</w:t>
      </w:r>
      <w:r>
        <w:rPr>
          <w:rFonts w:hint="default" w:ascii="Times New Roman" w:hAnsi="Times New Roman" w:cs="Times New Roman"/>
          <w:color w:val="auto"/>
          <w:sz w:val="24"/>
          <w:szCs w:val="24"/>
        </w:rPr>
        <w:t>IP价值</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rPr>
        <w:t>IP营销、谷子质量的相关系数分别为0.</w:t>
      </w:r>
      <w:r>
        <w:rPr>
          <w:rFonts w:hint="default" w:ascii="Times New Roman" w:hAnsi="Times New Roman" w:cs="Times New Roman"/>
          <w:color w:val="auto"/>
          <w:sz w:val="24"/>
          <w:szCs w:val="24"/>
          <w:lang w:val="en-US" w:eastAsia="zh-CN"/>
        </w:rPr>
        <w:t>74</w:t>
      </w:r>
      <w:r>
        <w:rPr>
          <w:rFonts w:hint="default" w:ascii="Times New Roman" w:hAnsi="Times New Roman" w:cs="Times New Roman"/>
          <w:color w:val="auto"/>
          <w:sz w:val="24"/>
          <w:szCs w:val="24"/>
        </w:rPr>
        <w:t>、0.</w:t>
      </w:r>
      <w:r>
        <w:rPr>
          <w:rFonts w:hint="default" w:ascii="Times New Roman" w:hAnsi="Times New Roman" w:cs="Times New Roman"/>
          <w:color w:val="auto"/>
          <w:sz w:val="24"/>
          <w:szCs w:val="24"/>
          <w:lang w:val="en-US" w:eastAsia="zh-CN"/>
        </w:rPr>
        <w:t>69</w:t>
      </w:r>
      <w:r>
        <w:rPr>
          <w:rFonts w:hint="default" w:ascii="Times New Roman" w:hAnsi="Times New Roman" w:cs="Times New Roman"/>
          <w:color w:val="auto"/>
          <w:sz w:val="24"/>
          <w:szCs w:val="24"/>
        </w:rPr>
        <w:t>、0.</w:t>
      </w:r>
      <w:r>
        <w:rPr>
          <w:rFonts w:hint="default" w:ascii="Times New Roman" w:hAnsi="Times New Roman" w:cs="Times New Roman"/>
          <w:color w:val="auto"/>
          <w:sz w:val="24"/>
          <w:szCs w:val="24"/>
          <w:lang w:val="en-US" w:eastAsia="zh-CN"/>
        </w:rPr>
        <w:t>78</w:t>
      </w:r>
      <w:r>
        <w:rPr>
          <w:rFonts w:hint="default" w:ascii="Times New Roman" w:hAnsi="Times New Roman" w:cs="Times New Roman"/>
          <w:color w:val="auto"/>
          <w:sz w:val="24"/>
          <w:szCs w:val="24"/>
        </w:rPr>
        <w:t>，并且在0.01水平上显著相关。</w:t>
      </w:r>
      <w:r>
        <w:rPr>
          <w:rFonts w:hint="default" w:ascii="Times New Roman" w:hAnsi="Times New Roman" w:cs="Times New Roman"/>
          <w:color w:val="auto"/>
          <w:sz w:val="24"/>
          <w:szCs w:val="24"/>
          <w:lang w:val="en-US" w:eastAsia="zh-CN"/>
        </w:rPr>
        <w:t>谷子的冲动消费与</w:t>
      </w:r>
      <w:r>
        <w:rPr>
          <w:rFonts w:hint="default" w:ascii="Times New Roman" w:hAnsi="Times New Roman" w:cs="Times New Roman"/>
          <w:color w:val="auto"/>
          <w:sz w:val="24"/>
          <w:szCs w:val="24"/>
        </w:rPr>
        <w:t>IP价值</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rPr>
        <w:t>IP营销、谷子质量的相关系数分别为0.</w:t>
      </w:r>
      <w:r>
        <w:rPr>
          <w:rFonts w:hint="default" w:ascii="Times New Roman" w:hAnsi="Times New Roman" w:cs="Times New Roman"/>
          <w:color w:val="auto"/>
          <w:sz w:val="24"/>
          <w:szCs w:val="24"/>
          <w:lang w:val="en-US" w:eastAsia="zh-CN"/>
        </w:rPr>
        <w:t>3</w:t>
      </w:r>
      <w:r>
        <w:rPr>
          <w:rFonts w:hint="default" w:ascii="Times New Roman" w:hAnsi="Times New Roman" w:cs="Times New Roman"/>
          <w:color w:val="auto"/>
          <w:sz w:val="24"/>
          <w:szCs w:val="24"/>
        </w:rPr>
        <w:t>3、0.</w:t>
      </w:r>
      <w:r>
        <w:rPr>
          <w:rFonts w:hint="default" w:ascii="Times New Roman" w:hAnsi="Times New Roman" w:cs="Times New Roman"/>
          <w:color w:val="auto"/>
          <w:sz w:val="24"/>
          <w:szCs w:val="24"/>
          <w:lang w:val="en-US" w:eastAsia="zh-CN"/>
        </w:rPr>
        <w:t>56</w:t>
      </w:r>
      <w:r>
        <w:rPr>
          <w:rFonts w:hint="default" w:ascii="Times New Roman" w:hAnsi="Times New Roman" w:cs="Times New Roman"/>
          <w:color w:val="auto"/>
          <w:sz w:val="24"/>
          <w:szCs w:val="24"/>
        </w:rPr>
        <w:t>和0.</w:t>
      </w:r>
      <w:r>
        <w:rPr>
          <w:rFonts w:hint="default" w:ascii="Times New Roman" w:hAnsi="Times New Roman" w:cs="Times New Roman"/>
          <w:color w:val="auto"/>
          <w:sz w:val="24"/>
          <w:szCs w:val="24"/>
          <w:lang w:val="en-US" w:eastAsia="zh-CN"/>
        </w:rPr>
        <w:t>30</w:t>
      </w:r>
      <w:r>
        <w:rPr>
          <w:rFonts w:hint="default" w:ascii="Times New Roman" w:hAnsi="Times New Roman" w:cs="Times New Roman"/>
          <w:color w:val="auto"/>
          <w:sz w:val="24"/>
          <w:szCs w:val="24"/>
        </w:rPr>
        <w:t>，并且在0.01水平上显著相关</w:t>
      </w:r>
      <w:r>
        <w:rPr>
          <w:rFonts w:hint="default" w:ascii="Times New Roman" w:hAnsi="Times New Roman" w:cs="Times New Roman"/>
          <w:color w:val="auto"/>
          <w:sz w:val="24"/>
          <w:szCs w:val="24"/>
          <w:lang w:eastAsia="zh-CN"/>
        </w:rPr>
        <w:t>。</w:t>
      </w:r>
    </w:p>
    <w:p w14:paraId="14BFC4DA">
      <w:pPr>
        <w:keepNext w:val="0"/>
        <w:keepLines w:val="0"/>
        <w:pageBreakBefore w:val="0"/>
        <w:kinsoku/>
        <w:wordWrap/>
        <w:overflowPunct/>
        <w:topLinePunct w:val="0"/>
        <w:autoSpaceDE/>
        <w:autoSpaceDN/>
        <w:bidi w:val="0"/>
        <w:adjustRightInd/>
        <w:snapToGrid/>
        <w:spacing w:line="400" w:lineRule="exact"/>
        <w:ind w:firstLine="480" w:firstLineChars="200"/>
        <w:jc w:val="both"/>
        <w:rPr>
          <w:rFonts w:hint="default" w:ascii="Times New Roman" w:hAnsi="Times New Roman" w:eastAsia="宋体" w:cs="Times New Roman"/>
          <w:color w:val="000000" w:themeColor="text1"/>
          <w:sz w:val="24"/>
          <w:szCs w:val="24"/>
          <w:lang w:eastAsia="zh-CN"/>
          <w14:textFill>
            <w14:solidFill>
              <w14:schemeClr w14:val="tx1"/>
            </w14:solidFill>
          </w14:textFill>
        </w:rPr>
      </w:pPr>
    </w:p>
    <w:p w14:paraId="259252ED">
      <w:pPr>
        <w:pStyle w:val="3"/>
        <w:bidi w:val="0"/>
        <w:rPr>
          <w:rFonts w:hint="default" w:ascii="Times New Roman" w:hAnsi="Times New Roman" w:cs="Times New Roman"/>
        </w:rPr>
      </w:pPr>
      <w:bookmarkStart w:id="18" w:name="_Toc11646"/>
      <w:r>
        <w:rPr>
          <w:rFonts w:hint="default" w:ascii="Times New Roman" w:hAnsi="Times New Roman" w:cs="Times New Roman"/>
          <w:lang w:val="en-US" w:eastAsia="zh-CN"/>
        </w:rPr>
        <w:t>五、回归</w:t>
      </w:r>
      <w:r>
        <w:rPr>
          <w:rFonts w:hint="default" w:ascii="Times New Roman" w:hAnsi="Times New Roman" w:cs="Times New Roman"/>
        </w:rPr>
        <w:t>分析</w:t>
      </w:r>
      <w:bookmarkEnd w:id="18"/>
    </w:p>
    <w:p w14:paraId="0EFD4009">
      <w:pPr>
        <w:keepNext w:val="0"/>
        <w:keepLines w:val="0"/>
        <w:pageBreakBefore w:val="0"/>
        <w:kinsoku/>
        <w:wordWrap/>
        <w:overflowPunct/>
        <w:topLinePunct w:val="0"/>
        <w:autoSpaceDE/>
        <w:autoSpaceDN/>
        <w:bidi w:val="0"/>
        <w:adjustRightInd/>
        <w:snapToGrid/>
        <w:spacing w:line="400" w:lineRule="exact"/>
        <w:ind w:firstLine="480" w:firstLineChars="200"/>
        <w:jc w:val="both"/>
        <w:rPr>
          <w:rFonts w:hint="default" w:ascii="Times New Roman" w:hAnsi="Times New Roman" w:eastAsia="宋体"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auto"/>
          <w:sz w:val="24"/>
          <w:szCs w:val="24"/>
          <w:lang w:val="en-US" w:eastAsia="zh-CN"/>
        </w:rPr>
        <w:t>谷子的</w:t>
      </w:r>
      <w:r>
        <w:rPr>
          <w:rFonts w:hint="default" w:ascii="Times New Roman" w:hAnsi="Times New Roman" w:cs="Times New Roman"/>
          <w:color w:val="auto"/>
          <w:sz w:val="24"/>
          <w:szCs w:val="24"/>
        </w:rPr>
        <w:t>IP价值</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rPr>
        <w:t>IP营销、质量</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都与消费者对谷子的理性消费和冲动消费</w:t>
      </w:r>
      <w:r>
        <w:rPr>
          <w:rFonts w:hint="default" w:ascii="Times New Roman" w:hAnsi="Times New Roman" w:eastAsia="宋体" w:cs="Times New Roman"/>
          <w:color w:val="000000" w:themeColor="text1"/>
          <w:sz w:val="24"/>
          <w:szCs w:val="24"/>
          <w14:textFill>
            <w14:solidFill>
              <w14:schemeClr w14:val="tx1"/>
            </w14:solidFill>
          </w14:textFill>
        </w:rPr>
        <w:t>显著相关，那么考虑不同</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影响因素</w:t>
      </w:r>
      <w:r>
        <w:rPr>
          <w:rFonts w:hint="default" w:ascii="Times New Roman" w:hAnsi="Times New Roman" w:eastAsia="宋体" w:cs="Times New Roman"/>
          <w:color w:val="000000" w:themeColor="text1"/>
          <w:sz w:val="24"/>
          <w:szCs w:val="24"/>
          <w14:textFill>
            <w14:solidFill>
              <w14:schemeClr w14:val="tx1"/>
            </w14:solidFill>
          </w14:textFill>
        </w:rPr>
        <w:t>对</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谷子消费</w:t>
      </w:r>
      <w:r>
        <w:rPr>
          <w:rFonts w:hint="default" w:ascii="Times New Roman" w:hAnsi="Times New Roman" w:eastAsia="宋体" w:cs="Times New Roman"/>
          <w:color w:val="000000" w:themeColor="text1"/>
          <w:sz w:val="24"/>
          <w:szCs w:val="24"/>
          <w14:textFill>
            <w14:solidFill>
              <w14:schemeClr w14:val="tx1"/>
            </w14:solidFill>
          </w14:textFill>
        </w:rPr>
        <w:t>预测作用，</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使用</w:t>
      </w:r>
      <w:r>
        <w:rPr>
          <w:rFonts w:hint="default" w:ascii="Times New Roman" w:hAnsi="Times New Roman" w:eastAsia="宋体" w:cs="Times New Roman"/>
          <w:color w:val="000000" w:themeColor="text1"/>
          <w:sz w:val="24"/>
          <w:szCs w:val="24"/>
          <w14:textFill>
            <w14:solidFill>
              <w14:schemeClr w14:val="tx1"/>
            </w14:solidFill>
          </w14:textFill>
        </w:rPr>
        <w:t>多元线性回归的方法进一步探讨变量之间的关系</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详见表</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3-</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6</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w:t>
      </w:r>
    </w:p>
    <w:p w14:paraId="10A31F0B">
      <w:pPr>
        <w:keepNext w:val="0"/>
        <w:keepLines w:val="0"/>
        <w:pageBreakBefore w:val="0"/>
        <w:kinsoku/>
        <w:wordWrap/>
        <w:overflowPunct/>
        <w:topLinePunct w:val="0"/>
        <w:autoSpaceDE/>
        <w:autoSpaceDN/>
        <w:bidi w:val="0"/>
        <w:adjustRightInd/>
        <w:snapToGrid/>
        <w:spacing w:line="240" w:lineRule="auto"/>
        <w:ind w:firstLine="420" w:firstLineChars="200"/>
        <w:jc w:val="center"/>
        <w:rPr>
          <w:rFonts w:hint="default" w:ascii="Times New Roman" w:hAnsi="Times New Roman" w:eastAsia="宋体" w:cs="Times New Roman"/>
          <w:b w:val="0"/>
          <w:bCs/>
          <w:color w:val="000000" w:themeColor="text1"/>
          <w:kern w:val="0"/>
          <w:sz w:val="21"/>
          <w:szCs w:val="21"/>
          <w14:textFill>
            <w14:solidFill>
              <w14:schemeClr w14:val="tx1"/>
            </w14:solidFill>
          </w14:textFill>
        </w:rPr>
      </w:pPr>
      <w:r>
        <w:rPr>
          <w:rFonts w:hint="default" w:ascii="Times New Roman" w:hAnsi="Times New Roman" w:eastAsia="宋体" w:cs="Times New Roman"/>
          <w:b w:val="0"/>
          <w:bCs/>
          <w:color w:val="000000" w:themeColor="text1"/>
          <w:kern w:val="0"/>
          <w:sz w:val="21"/>
          <w:szCs w:val="21"/>
          <w14:textFill>
            <w14:solidFill>
              <w14:schemeClr w14:val="tx1"/>
            </w14:solidFill>
          </w14:textFill>
        </w:rPr>
        <w:t>表</w:t>
      </w:r>
      <w:r>
        <w:rPr>
          <w:rFonts w:hint="default" w:ascii="Times New Roman" w:hAnsi="Times New Roman" w:eastAsia="宋体" w:cs="Times New Roman"/>
          <w:b w:val="0"/>
          <w:bCs/>
          <w:color w:val="000000" w:themeColor="text1"/>
          <w:kern w:val="0"/>
          <w:sz w:val="21"/>
          <w:szCs w:val="21"/>
          <w:lang w:val="en-US" w:eastAsia="zh-CN"/>
          <w14:textFill>
            <w14:solidFill>
              <w14:schemeClr w14:val="tx1"/>
            </w14:solidFill>
          </w14:textFill>
        </w:rPr>
        <w:t>3-</w:t>
      </w:r>
      <w:r>
        <w:rPr>
          <w:rFonts w:hint="eastAsia" w:ascii="Times New Roman" w:hAnsi="Times New Roman" w:eastAsia="宋体" w:cs="Times New Roman"/>
          <w:b w:val="0"/>
          <w:bCs/>
          <w:color w:val="000000" w:themeColor="text1"/>
          <w:kern w:val="0"/>
          <w:sz w:val="21"/>
          <w:szCs w:val="21"/>
          <w:lang w:val="en-US" w:eastAsia="zh-CN"/>
          <w14:textFill>
            <w14:solidFill>
              <w14:schemeClr w14:val="tx1"/>
            </w14:solidFill>
          </w14:textFill>
        </w:rPr>
        <w:t>6</w:t>
      </w:r>
      <w:r>
        <w:rPr>
          <w:rFonts w:hint="default" w:ascii="Times New Roman" w:hAnsi="Times New Roman" w:eastAsia="宋体" w:cs="Times New Roman"/>
          <w:b w:val="0"/>
          <w:bCs/>
          <w:color w:val="000000" w:themeColor="text1"/>
          <w:kern w:val="0"/>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color w:val="000000" w:themeColor="text1"/>
          <w:kern w:val="0"/>
          <w:sz w:val="21"/>
          <w:szCs w:val="21"/>
          <w14:textFill>
            <w14:solidFill>
              <w14:schemeClr w14:val="tx1"/>
            </w14:solidFill>
          </w14:textFill>
        </w:rPr>
        <w:t>回归分析</w:t>
      </w:r>
    </w:p>
    <w:tbl>
      <w:tblPr>
        <w:tblStyle w:val="11"/>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71"/>
        <w:gridCol w:w="1773"/>
        <w:gridCol w:w="350"/>
        <w:gridCol w:w="875"/>
        <w:gridCol w:w="1118"/>
        <w:gridCol w:w="1881"/>
        <w:gridCol w:w="1154"/>
      </w:tblGrid>
      <w:tr w14:paraId="3022304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844" w:type="pct"/>
            <w:gridSpan w:val="2"/>
            <w:shd w:val="clear" w:color="auto" w:fill="auto"/>
            <w:vAlign w:val="bottom"/>
          </w:tcPr>
          <w:p w14:paraId="6D37B922">
            <w:pPr>
              <w:jc w:val="both"/>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回归方程</w:t>
            </w:r>
          </w:p>
        </w:tc>
        <w:tc>
          <w:tcPr>
            <w:tcW w:w="205" w:type="pct"/>
          </w:tcPr>
          <w:p w14:paraId="0DC64FBB">
            <w:pPr>
              <w:jc w:val="both"/>
              <w:rPr>
                <w:rFonts w:hint="default" w:ascii="Times New Roman" w:hAnsi="Times New Roman" w:cs="Times New Roman"/>
                <w:color w:val="000000" w:themeColor="text1"/>
                <w:sz w:val="21"/>
                <w:szCs w:val="21"/>
                <w14:textFill>
                  <w14:solidFill>
                    <w14:schemeClr w14:val="tx1"/>
                  </w14:solidFill>
                </w14:textFill>
              </w:rPr>
            </w:pPr>
          </w:p>
        </w:tc>
        <w:tc>
          <w:tcPr>
            <w:tcW w:w="1169" w:type="pct"/>
            <w:gridSpan w:val="2"/>
            <w:shd w:val="clear" w:color="auto" w:fill="auto"/>
            <w:vAlign w:val="bottom"/>
          </w:tcPr>
          <w:p w14:paraId="0BED7CE6">
            <w:pPr>
              <w:jc w:val="both"/>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整体拟合指数</w:t>
            </w:r>
          </w:p>
        </w:tc>
        <w:tc>
          <w:tcPr>
            <w:tcW w:w="1780" w:type="pct"/>
            <w:gridSpan w:val="2"/>
            <w:shd w:val="clear" w:color="auto" w:fill="auto"/>
            <w:vAlign w:val="bottom"/>
          </w:tcPr>
          <w:p w14:paraId="30DD2D5E">
            <w:pPr>
              <w:jc w:val="both"/>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回归系数显著性</w:t>
            </w:r>
          </w:p>
        </w:tc>
      </w:tr>
      <w:tr w14:paraId="3FD7628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804" w:type="pct"/>
            <w:tcBorders>
              <w:bottom w:val="single" w:color="auto" w:sz="6" w:space="0"/>
            </w:tcBorders>
            <w:shd w:val="clear" w:color="auto" w:fill="auto"/>
            <w:vAlign w:val="bottom"/>
          </w:tcPr>
          <w:p w14:paraId="2AA24E43">
            <w:pPr>
              <w:jc w:val="both"/>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结果变量</w:t>
            </w:r>
          </w:p>
        </w:tc>
        <w:tc>
          <w:tcPr>
            <w:tcW w:w="1040" w:type="pct"/>
            <w:tcBorders>
              <w:bottom w:val="single" w:color="auto" w:sz="6" w:space="0"/>
            </w:tcBorders>
            <w:shd w:val="clear" w:color="auto" w:fill="auto"/>
            <w:vAlign w:val="bottom"/>
          </w:tcPr>
          <w:p w14:paraId="2FA1249A">
            <w:pPr>
              <w:jc w:val="both"/>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预测变量</w:t>
            </w:r>
          </w:p>
        </w:tc>
        <w:tc>
          <w:tcPr>
            <w:tcW w:w="205" w:type="pct"/>
            <w:tcBorders>
              <w:bottom w:val="single" w:color="auto" w:sz="6" w:space="0"/>
            </w:tcBorders>
          </w:tcPr>
          <w:p w14:paraId="5405EDA1">
            <w:pPr>
              <w:jc w:val="both"/>
              <w:rPr>
                <w:rFonts w:hint="default" w:ascii="Times New Roman" w:hAnsi="Times New Roman" w:cs="Times New Roman"/>
                <w:color w:val="000000" w:themeColor="text1"/>
                <w:sz w:val="21"/>
                <w:szCs w:val="21"/>
                <w14:textFill>
                  <w14:solidFill>
                    <w14:schemeClr w14:val="tx1"/>
                  </w14:solidFill>
                </w14:textFill>
              </w:rPr>
            </w:pPr>
          </w:p>
        </w:tc>
        <w:tc>
          <w:tcPr>
            <w:tcW w:w="513" w:type="pct"/>
            <w:tcBorders>
              <w:bottom w:val="single" w:color="auto" w:sz="6" w:space="0"/>
            </w:tcBorders>
            <w:shd w:val="clear" w:color="auto" w:fill="auto"/>
            <w:vAlign w:val="bottom"/>
          </w:tcPr>
          <w:p w14:paraId="027A107C">
            <w:pPr>
              <w:jc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i/>
                <w:color w:val="000000" w:themeColor="text1"/>
                <w:sz w:val="21"/>
                <w:szCs w:val="21"/>
                <w14:textFill>
                  <w14:solidFill>
                    <w14:schemeClr w14:val="tx1"/>
                  </w14:solidFill>
                </w14:textFill>
              </w:rPr>
              <w:t>R</w:t>
            </w:r>
            <w:r>
              <w:rPr>
                <w:rFonts w:hint="default" w:ascii="Times New Roman" w:hAnsi="Times New Roman" w:cs="Times New Roman"/>
                <w:i/>
                <w:color w:val="000000" w:themeColor="text1"/>
                <w:sz w:val="21"/>
                <w:szCs w:val="21"/>
                <w:vertAlign w:val="superscript"/>
                <w14:textFill>
                  <w14:solidFill>
                    <w14:schemeClr w14:val="tx1"/>
                  </w14:solidFill>
                </w14:textFill>
              </w:rPr>
              <w:t>2</w:t>
            </w:r>
          </w:p>
        </w:tc>
        <w:tc>
          <w:tcPr>
            <w:tcW w:w="655" w:type="pct"/>
            <w:tcBorders>
              <w:bottom w:val="single" w:color="auto" w:sz="6" w:space="0"/>
            </w:tcBorders>
            <w:shd w:val="clear" w:color="auto" w:fill="auto"/>
            <w:vAlign w:val="bottom"/>
          </w:tcPr>
          <w:p w14:paraId="1FD7141B">
            <w:pPr>
              <w:jc w:val="center"/>
              <w:rPr>
                <w:rFonts w:hint="default" w:ascii="Times New Roman" w:hAnsi="Times New Roman" w:cs="Times New Roman"/>
                <w:b/>
                <w:bCs/>
                <w:color w:val="000000" w:themeColor="text1"/>
                <w:sz w:val="21"/>
                <w:szCs w:val="21"/>
                <w14:textFill>
                  <w14:solidFill>
                    <w14:schemeClr w14:val="tx1"/>
                  </w14:solidFill>
                </w14:textFill>
              </w:rPr>
            </w:pPr>
            <w:r>
              <w:rPr>
                <w:rFonts w:hint="default" w:ascii="Times New Roman" w:hAnsi="Times New Roman" w:cs="Times New Roman"/>
                <w:i/>
                <w:color w:val="000000" w:themeColor="text1"/>
                <w:sz w:val="21"/>
                <w:szCs w:val="21"/>
                <w14:textFill>
                  <w14:solidFill>
                    <w14:schemeClr w14:val="tx1"/>
                  </w14:solidFill>
                </w14:textFill>
              </w:rPr>
              <w:t>F</w:t>
            </w:r>
          </w:p>
        </w:tc>
        <w:tc>
          <w:tcPr>
            <w:tcW w:w="1103" w:type="pct"/>
            <w:tcBorders>
              <w:bottom w:val="single" w:color="auto" w:sz="6" w:space="0"/>
            </w:tcBorders>
            <w:shd w:val="clear" w:color="auto" w:fill="auto"/>
            <w:vAlign w:val="bottom"/>
          </w:tcPr>
          <w:p w14:paraId="192B05FD">
            <w:pPr>
              <w:jc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i/>
                <w:color w:val="000000" w:themeColor="text1"/>
                <w:sz w:val="21"/>
                <w:szCs w:val="21"/>
                <w14:textFill>
                  <w14:solidFill>
                    <w14:schemeClr w14:val="tx1"/>
                  </w14:solidFill>
                </w14:textFill>
              </w:rPr>
              <w:t>Beta</w:t>
            </w:r>
          </w:p>
        </w:tc>
        <w:tc>
          <w:tcPr>
            <w:tcW w:w="677" w:type="pct"/>
            <w:tcBorders>
              <w:bottom w:val="single" w:color="auto" w:sz="6" w:space="0"/>
            </w:tcBorders>
            <w:shd w:val="clear" w:color="auto" w:fill="auto"/>
            <w:vAlign w:val="bottom"/>
          </w:tcPr>
          <w:p w14:paraId="22916B8A">
            <w:pPr>
              <w:jc w:val="center"/>
              <w:rPr>
                <w:rFonts w:hint="default" w:ascii="Times New Roman" w:hAnsi="Times New Roman" w:cs="Times New Roman"/>
                <w:b/>
                <w:bCs/>
                <w:color w:val="000000" w:themeColor="text1"/>
                <w:sz w:val="21"/>
                <w:szCs w:val="21"/>
                <w14:textFill>
                  <w14:solidFill>
                    <w14:schemeClr w14:val="tx1"/>
                  </w14:solidFill>
                </w14:textFill>
              </w:rPr>
            </w:pPr>
            <w:r>
              <w:rPr>
                <w:rFonts w:hint="default" w:ascii="Times New Roman" w:hAnsi="Times New Roman" w:cs="Times New Roman"/>
                <w:i/>
                <w:color w:val="000000" w:themeColor="text1"/>
                <w:sz w:val="21"/>
                <w:szCs w:val="21"/>
                <w14:textFill>
                  <w14:solidFill>
                    <w14:schemeClr w14:val="tx1"/>
                  </w14:solidFill>
                </w14:textFill>
              </w:rPr>
              <w:t>t</w:t>
            </w:r>
          </w:p>
        </w:tc>
      </w:tr>
      <w:tr w14:paraId="298CA90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804" w:type="pct"/>
            <w:tcBorders>
              <w:top w:val="single" w:color="auto" w:sz="6" w:space="0"/>
              <w:tl2br w:val="nil"/>
              <w:tr2bl w:val="nil"/>
            </w:tcBorders>
            <w:shd w:val="clear" w:color="auto" w:fill="auto"/>
            <w:vAlign w:val="bottom"/>
          </w:tcPr>
          <w:p w14:paraId="44EC97C2">
            <w:pPr>
              <w:jc w:val="both"/>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理性消费</w:t>
            </w:r>
          </w:p>
        </w:tc>
        <w:tc>
          <w:tcPr>
            <w:tcW w:w="1773" w:type="dxa"/>
            <w:tcBorders>
              <w:top w:val="single" w:color="auto" w:sz="6" w:space="0"/>
              <w:tl2br w:val="nil"/>
              <w:tr2bl w:val="nil"/>
            </w:tcBorders>
            <w:shd w:val="clear" w:color="auto" w:fill="auto"/>
            <w:vAlign w:val="center"/>
          </w:tcPr>
          <w:p w14:paraId="4386D3D4">
            <w:pP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IP价值</w:t>
            </w:r>
          </w:p>
        </w:tc>
        <w:tc>
          <w:tcPr>
            <w:tcW w:w="205" w:type="pct"/>
            <w:tcBorders>
              <w:top w:val="single" w:color="auto" w:sz="6" w:space="0"/>
              <w:tl2br w:val="nil"/>
              <w:tr2bl w:val="nil"/>
            </w:tcBorders>
          </w:tcPr>
          <w:p w14:paraId="26794A81">
            <w:pPr>
              <w:jc w:val="both"/>
              <w:rPr>
                <w:rFonts w:hint="default" w:ascii="Times New Roman" w:hAnsi="Times New Roman" w:cs="Times New Roman"/>
                <w:color w:val="000000" w:themeColor="text1"/>
                <w:sz w:val="21"/>
                <w:szCs w:val="21"/>
                <w14:textFill>
                  <w14:solidFill>
                    <w14:schemeClr w14:val="tx1"/>
                  </w14:solidFill>
                </w14:textFill>
              </w:rPr>
            </w:pPr>
          </w:p>
        </w:tc>
        <w:tc>
          <w:tcPr>
            <w:tcW w:w="513" w:type="pct"/>
            <w:tcBorders>
              <w:top w:val="single" w:color="auto" w:sz="6" w:space="0"/>
              <w:tl2br w:val="nil"/>
              <w:tr2bl w:val="nil"/>
            </w:tcBorders>
            <w:shd w:val="clear" w:color="auto" w:fill="auto"/>
            <w:vAlign w:val="bottom"/>
          </w:tcPr>
          <w:p w14:paraId="162BEC37">
            <w:pPr>
              <w:jc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0.694</w:t>
            </w:r>
          </w:p>
        </w:tc>
        <w:tc>
          <w:tcPr>
            <w:tcW w:w="655" w:type="pct"/>
            <w:tcBorders>
              <w:top w:val="single" w:color="auto" w:sz="6" w:space="0"/>
              <w:tl2br w:val="nil"/>
              <w:tr2bl w:val="nil"/>
            </w:tcBorders>
            <w:shd w:val="clear" w:color="auto" w:fill="auto"/>
            <w:vAlign w:val="bottom"/>
          </w:tcPr>
          <w:p w14:paraId="2E11BA0C">
            <w:pPr>
              <w:jc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193.55</w:t>
            </w:r>
            <w:r>
              <w:rPr>
                <w:rFonts w:hint="default" w:ascii="Times New Roman" w:hAnsi="Times New Roman" w:cs="Times New Roman"/>
                <w:color w:val="000000" w:themeColor="text1"/>
                <w:sz w:val="21"/>
                <w:szCs w:val="21"/>
                <w:vertAlign w:val="superscript"/>
                <w14:textFill>
                  <w14:solidFill>
                    <w14:schemeClr w14:val="tx1"/>
                  </w14:solidFill>
                </w14:textFill>
              </w:rPr>
              <w:t>***</w:t>
            </w:r>
          </w:p>
        </w:tc>
        <w:tc>
          <w:tcPr>
            <w:tcW w:w="1881" w:type="dxa"/>
            <w:tcBorders>
              <w:top w:val="single" w:color="auto" w:sz="6" w:space="0"/>
              <w:tl2br w:val="nil"/>
              <w:tr2bl w:val="nil"/>
            </w:tcBorders>
            <w:shd w:val="clear" w:color="auto" w:fill="auto"/>
            <w:vAlign w:val="center"/>
          </w:tcPr>
          <w:p w14:paraId="791B1D72">
            <w:pPr>
              <w:jc w:val="cente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0.22</w:t>
            </w:r>
          </w:p>
        </w:tc>
        <w:tc>
          <w:tcPr>
            <w:tcW w:w="1154" w:type="dxa"/>
            <w:tcBorders>
              <w:top w:val="single" w:color="auto" w:sz="6" w:space="0"/>
              <w:tl2br w:val="nil"/>
              <w:tr2bl w:val="nil"/>
            </w:tcBorders>
            <w:shd w:val="clear" w:color="auto" w:fill="auto"/>
            <w:vAlign w:val="center"/>
          </w:tcPr>
          <w:p w14:paraId="20459C5F">
            <w:pPr>
              <w:jc w:val="cente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3.61</w:t>
            </w:r>
            <w:r>
              <w:rPr>
                <w:rFonts w:hint="default" w:ascii="Times New Roman" w:hAnsi="Times New Roman" w:cs="Times New Roman"/>
                <w:color w:val="000000" w:themeColor="text1"/>
                <w:sz w:val="21"/>
                <w:szCs w:val="21"/>
                <w:vertAlign w:val="superscript"/>
                <w14:textFill>
                  <w14:solidFill>
                    <w14:schemeClr w14:val="tx1"/>
                  </w14:solidFill>
                </w14:textFill>
              </w:rPr>
              <w:t>***</w:t>
            </w:r>
          </w:p>
        </w:tc>
      </w:tr>
      <w:tr w14:paraId="202F875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804" w:type="pct"/>
            <w:tcBorders>
              <w:tl2br w:val="nil"/>
              <w:tr2bl w:val="nil"/>
            </w:tcBorders>
            <w:shd w:val="clear" w:color="auto" w:fill="auto"/>
            <w:vAlign w:val="bottom"/>
          </w:tcPr>
          <w:p w14:paraId="143D3415">
            <w:pPr>
              <w:jc w:val="both"/>
              <w:rPr>
                <w:rFonts w:hint="default" w:ascii="Times New Roman" w:hAnsi="Times New Roman" w:cs="Times New Roman"/>
                <w:color w:val="000000" w:themeColor="text1"/>
                <w:sz w:val="21"/>
                <w:szCs w:val="21"/>
                <w14:textFill>
                  <w14:solidFill>
                    <w14:schemeClr w14:val="tx1"/>
                  </w14:solidFill>
                </w14:textFill>
              </w:rPr>
            </w:pPr>
          </w:p>
        </w:tc>
        <w:tc>
          <w:tcPr>
            <w:tcW w:w="1773" w:type="dxa"/>
            <w:tcBorders>
              <w:tl2br w:val="nil"/>
              <w:tr2bl w:val="nil"/>
            </w:tcBorders>
            <w:shd w:val="clear" w:color="auto" w:fill="auto"/>
            <w:vAlign w:val="center"/>
          </w:tcPr>
          <w:p w14:paraId="0B03C87F">
            <w:pP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IP营销</w:t>
            </w:r>
          </w:p>
        </w:tc>
        <w:tc>
          <w:tcPr>
            <w:tcW w:w="205" w:type="pct"/>
            <w:tcBorders>
              <w:tl2br w:val="nil"/>
              <w:tr2bl w:val="nil"/>
            </w:tcBorders>
          </w:tcPr>
          <w:p w14:paraId="2B2F72D3">
            <w:pPr>
              <w:jc w:val="both"/>
              <w:rPr>
                <w:rFonts w:hint="default" w:ascii="Times New Roman" w:hAnsi="Times New Roman" w:cs="Times New Roman"/>
                <w:color w:val="000000" w:themeColor="text1"/>
                <w:sz w:val="21"/>
                <w:szCs w:val="21"/>
                <w14:textFill>
                  <w14:solidFill>
                    <w14:schemeClr w14:val="tx1"/>
                  </w14:solidFill>
                </w14:textFill>
              </w:rPr>
            </w:pPr>
          </w:p>
        </w:tc>
        <w:tc>
          <w:tcPr>
            <w:tcW w:w="513" w:type="pct"/>
            <w:tcBorders>
              <w:tl2br w:val="nil"/>
              <w:tr2bl w:val="nil"/>
            </w:tcBorders>
            <w:shd w:val="clear" w:color="auto" w:fill="auto"/>
            <w:vAlign w:val="bottom"/>
          </w:tcPr>
          <w:p w14:paraId="5654D574">
            <w:pPr>
              <w:jc w:val="center"/>
              <w:rPr>
                <w:rFonts w:hint="default" w:ascii="Times New Roman" w:hAnsi="Times New Roman" w:cs="Times New Roman"/>
                <w:color w:val="000000" w:themeColor="text1"/>
                <w:sz w:val="21"/>
                <w:szCs w:val="21"/>
                <w14:textFill>
                  <w14:solidFill>
                    <w14:schemeClr w14:val="tx1"/>
                  </w14:solidFill>
                </w14:textFill>
              </w:rPr>
            </w:pPr>
          </w:p>
        </w:tc>
        <w:tc>
          <w:tcPr>
            <w:tcW w:w="655" w:type="pct"/>
            <w:tcBorders>
              <w:tl2br w:val="nil"/>
              <w:tr2bl w:val="nil"/>
            </w:tcBorders>
            <w:shd w:val="clear" w:color="auto" w:fill="auto"/>
            <w:vAlign w:val="bottom"/>
          </w:tcPr>
          <w:p w14:paraId="0F8DA3F4">
            <w:pPr>
              <w:jc w:val="center"/>
              <w:rPr>
                <w:rFonts w:hint="default" w:ascii="Times New Roman" w:hAnsi="Times New Roman" w:cs="Times New Roman"/>
                <w:color w:val="000000" w:themeColor="text1"/>
                <w:sz w:val="21"/>
                <w:szCs w:val="21"/>
                <w14:textFill>
                  <w14:solidFill>
                    <w14:schemeClr w14:val="tx1"/>
                  </w14:solidFill>
                </w14:textFill>
              </w:rPr>
            </w:pPr>
          </w:p>
        </w:tc>
        <w:tc>
          <w:tcPr>
            <w:tcW w:w="1881" w:type="dxa"/>
            <w:tcBorders>
              <w:tl2br w:val="nil"/>
              <w:tr2bl w:val="nil"/>
            </w:tcBorders>
            <w:shd w:val="clear" w:color="auto" w:fill="auto"/>
            <w:vAlign w:val="center"/>
          </w:tcPr>
          <w:p w14:paraId="47D76ED4">
            <w:pPr>
              <w:jc w:val="cente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0.29</w:t>
            </w:r>
          </w:p>
        </w:tc>
        <w:tc>
          <w:tcPr>
            <w:tcW w:w="1154" w:type="dxa"/>
            <w:tcBorders>
              <w:tl2br w:val="nil"/>
              <w:tr2bl w:val="nil"/>
            </w:tcBorders>
            <w:shd w:val="clear" w:color="auto" w:fill="auto"/>
            <w:vAlign w:val="center"/>
          </w:tcPr>
          <w:p w14:paraId="2EC394C8">
            <w:pPr>
              <w:jc w:val="cente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6.19</w:t>
            </w:r>
            <w:r>
              <w:rPr>
                <w:rFonts w:hint="default" w:ascii="Times New Roman" w:hAnsi="Times New Roman" w:cs="Times New Roman"/>
                <w:color w:val="000000" w:themeColor="text1"/>
                <w:sz w:val="21"/>
                <w:szCs w:val="21"/>
                <w:vertAlign w:val="superscript"/>
                <w14:textFill>
                  <w14:solidFill>
                    <w14:schemeClr w14:val="tx1"/>
                  </w14:solidFill>
                </w14:textFill>
              </w:rPr>
              <w:t>***</w:t>
            </w:r>
          </w:p>
        </w:tc>
      </w:tr>
      <w:tr w14:paraId="5A0EEDD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804" w:type="pct"/>
            <w:tcBorders>
              <w:tl2br w:val="nil"/>
              <w:tr2bl w:val="nil"/>
            </w:tcBorders>
            <w:shd w:val="clear" w:color="auto" w:fill="auto"/>
            <w:vAlign w:val="bottom"/>
          </w:tcPr>
          <w:p w14:paraId="5A68B1EE">
            <w:pPr>
              <w:jc w:val="both"/>
              <w:rPr>
                <w:rFonts w:hint="default" w:ascii="Times New Roman" w:hAnsi="Times New Roman" w:cs="Times New Roman"/>
                <w:color w:val="000000" w:themeColor="text1"/>
                <w:sz w:val="21"/>
                <w:szCs w:val="21"/>
                <w14:textFill>
                  <w14:solidFill>
                    <w14:schemeClr w14:val="tx1"/>
                  </w14:solidFill>
                </w14:textFill>
              </w:rPr>
            </w:pPr>
          </w:p>
        </w:tc>
        <w:tc>
          <w:tcPr>
            <w:tcW w:w="1773" w:type="dxa"/>
            <w:tcBorders>
              <w:tl2br w:val="nil"/>
              <w:tr2bl w:val="nil"/>
            </w:tcBorders>
            <w:shd w:val="clear" w:color="auto" w:fill="auto"/>
            <w:vAlign w:val="center"/>
          </w:tcPr>
          <w:p w14:paraId="7D7EEBAC">
            <w:pP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谷子质量</w:t>
            </w:r>
          </w:p>
        </w:tc>
        <w:tc>
          <w:tcPr>
            <w:tcW w:w="205" w:type="pct"/>
            <w:tcBorders>
              <w:tl2br w:val="nil"/>
              <w:tr2bl w:val="nil"/>
            </w:tcBorders>
          </w:tcPr>
          <w:p w14:paraId="09241B20">
            <w:pPr>
              <w:jc w:val="both"/>
              <w:rPr>
                <w:rFonts w:hint="default" w:ascii="Times New Roman" w:hAnsi="Times New Roman" w:cs="Times New Roman"/>
                <w:color w:val="000000" w:themeColor="text1"/>
                <w:sz w:val="21"/>
                <w:szCs w:val="21"/>
                <w14:textFill>
                  <w14:solidFill>
                    <w14:schemeClr w14:val="tx1"/>
                  </w14:solidFill>
                </w14:textFill>
              </w:rPr>
            </w:pPr>
          </w:p>
        </w:tc>
        <w:tc>
          <w:tcPr>
            <w:tcW w:w="513" w:type="pct"/>
            <w:tcBorders>
              <w:tl2br w:val="nil"/>
              <w:tr2bl w:val="nil"/>
            </w:tcBorders>
            <w:shd w:val="clear" w:color="auto" w:fill="auto"/>
            <w:vAlign w:val="bottom"/>
          </w:tcPr>
          <w:p w14:paraId="493154FE">
            <w:pPr>
              <w:jc w:val="center"/>
              <w:rPr>
                <w:rFonts w:hint="default" w:ascii="Times New Roman" w:hAnsi="Times New Roman" w:cs="Times New Roman"/>
                <w:color w:val="000000" w:themeColor="text1"/>
                <w:sz w:val="21"/>
                <w:szCs w:val="21"/>
                <w14:textFill>
                  <w14:solidFill>
                    <w14:schemeClr w14:val="tx1"/>
                  </w14:solidFill>
                </w14:textFill>
              </w:rPr>
            </w:pPr>
          </w:p>
        </w:tc>
        <w:tc>
          <w:tcPr>
            <w:tcW w:w="655" w:type="pct"/>
            <w:tcBorders>
              <w:tl2br w:val="nil"/>
              <w:tr2bl w:val="nil"/>
            </w:tcBorders>
            <w:shd w:val="clear" w:color="auto" w:fill="auto"/>
            <w:vAlign w:val="bottom"/>
          </w:tcPr>
          <w:p w14:paraId="04968139">
            <w:pPr>
              <w:jc w:val="center"/>
              <w:rPr>
                <w:rFonts w:hint="default" w:ascii="Times New Roman" w:hAnsi="Times New Roman" w:cs="Times New Roman"/>
                <w:color w:val="000000" w:themeColor="text1"/>
                <w:sz w:val="21"/>
                <w:szCs w:val="21"/>
                <w14:textFill>
                  <w14:solidFill>
                    <w14:schemeClr w14:val="tx1"/>
                  </w14:solidFill>
                </w14:textFill>
              </w:rPr>
            </w:pPr>
          </w:p>
        </w:tc>
        <w:tc>
          <w:tcPr>
            <w:tcW w:w="1881" w:type="dxa"/>
            <w:tcBorders>
              <w:tl2br w:val="nil"/>
              <w:tr2bl w:val="nil"/>
            </w:tcBorders>
            <w:shd w:val="clear" w:color="auto" w:fill="auto"/>
            <w:vAlign w:val="center"/>
          </w:tcPr>
          <w:p w14:paraId="1CE81F3B">
            <w:pPr>
              <w:jc w:val="cente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0.43</w:t>
            </w:r>
          </w:p>
        </w:tc>
        <w:tc>
          <w:tcPr>
            <w:tcW w:w="1154" w:type="dxa"/>
            <w:tcBorders>
              <w:tl2br w:val="nil"/>
              <w:tr2bl w:val="nil"/>
            </w:tcBorders>
            <w:shd w:val="clear" w:color="auto" w:fill="auto"/>
            <w:vAlign w:val="center"/>
          </w:tcPr>
          <w:p w14:paraId="1002E4C4">
            <w:pPr>
              <w:jc w:val="cente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7.13</w:t>
            </w:r>
            <w:r>
              <w:rPr>
                <w:rFonts w:hint="default" w:ascii="Times New Roman" w:hAnsi="Times New Roman" w:cs="Times New Roman"/>
                <w:color w:val="000000" w:themeColor="text1"/>
                <w:sz w:val="21"/>
                <w:szCs w:val="21"/>
                <w:vertAlign w:val="superscript"/>
                <w14:textFill>
                  <w14:solidFill>
                    <w14:schemeClr w14:val="tx1"/>
                  </w14:solidFill>
                </w14:textFill>
              </w:rPr>
              <w:t>***</w:t>
            </w:r>
          </w:p>
        </w:tc>
      </w:tr>
      <w:tr w14:paraId="0B60D47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jc w:val="center"/>
        </w:trPr>
        <w:tc>
          <w:tcPr>
            <w:tcW w:w="804" w:type="pct"/>
            <w:tcBorders>
              <w:tl2br w:val="nil"/>
              <w:tr2bl w:val="nil"/>
            </w:tcBorders>
            <w:shd w:val="clear" w:color="auto" w:fill="auto"/>
            <w:vAlign w:val="bottom"/>
          </w:tcPr>
          <w:p w14:paraId="09C86679">
            <w:pPr>
              <w:jc w:val="both"/>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冲动消费</w:t>
            </w:r>
          </w:p>
        </w:tc>
        <w:tc>
          <w:tcPr>
            <w:tcW w:w="1773" w:type="dxa"/>
            <w:tcBorders>
              <w:tl2br w:val="nil"/>
              <w:tr2bl w:val="nil"/>
            </w:tcBorders>
            <w:shd w:val="clear" w:color="auto" w:fill="auto"/>
            <w:vAlign w:val="center"/>
          </w:tcPr>
          <w:p w14:paraId="680FD6FE">
            <w:pP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IP价值</w:t>
            </w:r>
          </w:p>
        </w:tc>
        <w:tc>
          <w:tcPr>
            <w:tcW w:w="205" w:type="pct"/>
            <w:tcBorders>
              <w:tl2br w:val="nil"/>
              <w:tr2bl w:val="nil"/>
            </w:tcBorders>
          </w:tcPr>
          <w:p w14:paraId="42B7C077">
            <w:pPr>
              <w:jc w:val="both"/>
              <w:rPr>
                <w:rFonts w:hint="default" w:ascii="Times New Roman" w:hAnsi="Times New Roman" w:cs="Times New Roman"/>
                <w:color w:val="000000" w:themeColor="text1"/>
                <w:sz w:val="21"/>
                <w:szCs w:val="21"/>
                <w14:textFill>
                  <w14:solidFill>
                    <w14:schemeClr w14:val="tx1"/>
                  </w14:solidFill>
                </w14:textFill>
              </w:rPr>
            </w:pPr>
          </w:p>
        </w:tc>
        <w:tc>
          <w:tcPr>
            <w:tcW w:w="513" w:type="pct"/>
            <w:tcBorders>
              <w:tl2br w:val="nil"/>
              <w:tr2bl w:val="nil"/>
            </w:tcBorders>
            <w:shd w:val="clear" w:color="auto" w:fill="auto"/>
            <w:vAlign w:val="bottom"/>
          </w:tcPr>
          <w:p w14:paraId="1E5F682E">
            <w:pPr>
              <w:jc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0.314</w:t>
            </w:r>
          </w:p>
        </w:tc>
        <w:tc>
          <w:tcPr>
            <w:tcW w:w="655" w:type="pct"/>
            <w:tcBorders>
              <w:tl2br w:val="nil"/>
              <w:tr2bl w:val="nil"/>
            </w:tcBorders>
            <w:shd w:val="clear" w:color="auto" w:fill="auto"/>
            <w:vAlign w:val="bottom"/>
          </w:tcPr>
          <w:p w14:paraId="4D2C631C">
            <w:pPr>
              <w:jc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38.985</w:t>
            </w:r>
            <w:r>
              <w:rPr>
                <w:rFonts w:hint="default" w:ascii="Times New Roman" w:hAnsi="Times New Roman" w:cs="Times New Roman"/>
                <w:color w:val="000000" w:themeColor="text1"/>
                <w:sz w:val="21"/>
                <w:szCs w:val="21"/>
                <w:vertAlign w:val="superscript"/>
                <w14:textFill>
                  <w14:solidFill>
                    <w14:schemeClr w14:val="tx1"/>
                  </w14:solidFill>
                </w14:textFill>
              </w:rPr>
              <w:t>***</w:t>
            </w:r>
          </w:p>
        </w:tc>
        <w:tc>
          <w:tcPr>
            <w:tcW w:w="1881" w:type="dxa"/>
            <w:tcBorders>
              <w:tl2br w:val="nil"/>
              <w:tr2bl w:val="nil"/>
            </w:tcBorders>
            <w:shd w:val="clear" w:color="auto" w:fill="auto"/>
            <w:vAlign w:val="center"/>
          </w:tcPr>
          <w:p w14:paraId="3AE2FE11">
            <w:pPr>
              <w:jc w:val="cente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0.05</w:t>
            </w:r>
          </w:p>
        </w:tc>
        <w:tc>
          <w:tcPr>
            <w:tcW w:w="1154" w:type="dxa"/>
            <w:tcBorders>
              <w:tl2br w:val="nil"/>
              <w:tr2bl w:val="nil"/>
            </w:tcBorders>
            <w:shd w:val="clear" w:color="auto" w:fill="auto"/>
            <w:vAlign w:val="center"/>
          </w:tcPr>
          <w:p w14:paraId="3139A44C">
            <w:pPr>
              <w:jc w:val="cente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0.57</w:t>
            </w:r>
          </w:p>
        </w:tc>
      </w:tr>
      <w:tr w14:paraId="53266DA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jc w:val="center"/>
        </w:trPr>
        <w:tc>
          <w:tcPr>
            <w:tcW w:w="804" w:type="pct"/>
            <w:tcBorders>
              <w:tl2br w:val="nil"/>
              <w:tr2bl w:val="nil"/>
            </w:tcBorders>
            <w:shd w:val="clear" w:color="auto" w:fill="auto"/>
            <w:vAlign w:val="bottom"/>
          </w:tcPr>
          <w:p w14:paraId="1CC2F547">
            <w:pPr>
              <w:jc w:val="both"/>
              <w:rPr>
                <w:rFonts w:hint="default" w:ascii="Times New Roman" w:hAnsi="Times New Roman" w:cs="Times New Roman"/>
                <w:color w:val="000000" w:themeColor="text1"/>
                <w:sz w:val="21"/>
                <w:szCs w:val="21"/>
                <w14:textFill>
                  <w14:solidFill>
                    <w14:schemeClr w14:val="tx1"/>
                  </w14:solidFill>
                </w14:textFill>
              </w:rPr>
            </w:pPr>
          </w:p>
        </w:tc>
        <w:tc>
          <w:tcPr>
            <w:tcW w:w="1773" w:type="dxa"/>
            <w:tcBorders>
              <w:tl2br w:val="nil"/>
              <w:tr2bl w:val="nil"/>
            </w:tcBorders>
            <w:shd w:val="clear" w:color="auto" w:fill="auto"/>
            <w:vAlign w:val="center"/>
          </w:tcPr>
          <w:p w14:paraId="7E4872CA">
            <w:pP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IP营销</w:t>
            </w:r>
          </w:p>
        </w:tc>
        <w:tc>
          <w:tcPr>
            <w:tcW w:w="205" w:type="pct"/>
            <w:tcBorders>
              <w:tl2br w:val="nil"/>
              <w:tr2bl w:val="nil"/>
            </w:tcBorders>
          </w:tcPr>
          <w:p w14:paraId="3C68B2F5">
            <w:pPr>
              <w:jc w:val="both"/>
              <w:rPr>
                <w:rFonts w:hint="default" w:ascii="Times New Roman" w:hAnsi="Times New Roman" w:cs="Times New Roman"/>
                <w:color w:val="000000" w:themeColor="text1"/>
                <w:sz w:val="21"/>
                <w:szCs w:val="21"/>
                <w14:textFill>
                  <w14:solidFill>
                    <w14:schemeClr w14:val="tx1"/>
                  </w14:solidFill>
                </w14:textFill>
              </w:rPr>
            </w:pPr>
          </w:p>
        </w:tc>
        <w:tc>
          <w:tcPr>
            <w:tcW w:w="513" w:type="pct"/>
            <w:tcBorders>
              <w:tl2br w:val="nil"/>
              <w:tr2bl w:val="nil"/>
            </w:tcBorders>
            <w:shd w:val="clear" w:color="auto" w:fill="auto"/>
            <w:vAlign w:val="bottom"/>
          </w:tcPr>
          <w:p w14:paraId="17A63959">
            <w:pPr>
              <w:jc w:val="center"/>
              <w:rPr>
                <w:rFonts w:hint="default" w:ascii="Times New Roman" w:hAnsi="Times New Roman" w:cs="Times New Roman"/>
                <w:color w:val="000000" w:themeColor="text1"/>
                <w:sz w:val="21"/>
                <w:szCs w:val="21"/>
                <w14:textFill>
                  <w14:solidFill>
                    <w14:schemeClr w14:val="tx1"/>
                  </w14:solidFill>
                </w14:textFill>
              </w:rPr>
            </w:pPr>
          </w:p>
        </w:tc>
        <w:tc>
          <w:tcPr>
            <w:tcW w:w="655" w:type="pct"/>
            <w:tcBorders>
              <w:tl2br w:val="nil"/>
              <w:tr2bl w:val="nil"/>
            </w:tcBorders>
            <w:shd w:val="clear" w:color="auto" w:fill="auto"/>
            <w:vAlign w:val="bottom"/>
          </w:tcPr>
          <w:p w14:paraId="5EF2C4BA">
            <w:pPr>
              <w:jc w:val="center"/>
              <w:rPr>
                <w:rFonts w:hint="default" w:ascii="Times New Roman" w:hAnsi="Times New Roman" w:cs="Times New Roman"/>
                <w:color w:val="000000" w:themeColor="text1"/>
                <w:sz w:val="21"/>
                <w:szCs w:val="21"/>
                <w14:textFill>
                  <w14:solidFill>
                    <w14:schemeClr w14:val="tx1"/>
                  </w14:solidFill>
                </w14:textFill>
              </w:rPr>
            </w:pPr>
          </w:p>
        </w:tc>
        <w:tc>
          <w:tcPr>
            <w:tcW w:w="1881" w:type="dxa"/>
            <w:tcBorders>
              <w:tl2br w:val="nil"/>
              <w:tr2bl w:val="nil"/>
            </w:tcBorders>
            <w:shd w:val="clear" w:color="auto" w:fill="auto"/>
            <w:vAlign w:val="center"/>
          </w:tcPr>
          <w:p w14:paraId="2271F2A8">
            <w:pPr>
              <w:jc w:val="cente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0.60</w:t>
            </w:r>
          </w:p>
        </w:tc>
        <w:tc>
          <w:tcPr>
            <w:tcW w:w="1154" w:type="dxa"/>
            <w:tcBorders>
              <w:tl2br w:val="nil"/>
              <w:tr2bl w:val="nil"/>
            </w:tcBorders>
            <w:shd w:val="clear" w:color="auto" w:fill="auto"/>
            <w:vAlign w:val="center"/>
          </w:tcPr>
          <w:p w14:paraId="0876DDC4">
            <w:pPr>
              <w:jc w:val="cente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8.66</w:t>
            </w:r>
            <w:r>
              <w:rPr>
                <w:rFonts w:hint="default" w:ascii="Times New Roman" w:hAnsi="Times New Roman" w:cs="Times New Roman"/>
                <w:color w:val="000000" w:themeColor="text1"/>
                <w:sz w:val="21"/>
                <w:szCs w:val="21"/>
                <w:vertAlign w:val="superscript"/>
                <w14:textFill>
                  <w14:solidFill>
                    <w14:schemeClr w14:val="tx1"/>
                  </w14:solidFill>
                </w14:textFill>
              </w:rPr>
              <w:t>***</w:t>
            </w:r>
          </w:p>
        </w:tc>
      </w:tr>
      <w:tr w14:paraId="5F1AAC5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jc w:val="center"/>
        </w:trPr>
        <w:tc>
          <w:tcPr>
            <w:tcW w:w="804" w:type="pct"/>
            <w:tcBorders>
              <w:tl2br w:val="nil"/>
              <w:tr2bl w:val="nil"/>
            </w:tcBorders>
            <w:shd w:val="clear" w:color="auto" w:fill="auto"/>
            <w:vAlign w:val="bottom"/>
          </w:tcPr>
          <w:p w14:paraId="0449D4D9">
            <w:pPr>
              <w:jc w:val="both"/>
              <w:rPr>
                <w:rFonts w:hint="default" w:ascii="Times New Roman" w:hAnsi="Times New Roman" w:cs="Times New Roman"/>
                <w:color w:val="000000" w:themeColor="text1"/>
                <w:sz w:val="21"/>
                <w:szCs w:val="21"/>
                <w14:textFill>
                  <w14:solidFill>
                    <w14:schemeClr w14:val="tx1"/>
                  </w14:solidFill>
                </w14:textFill>
              </w:rPr>
            </w:pPr>
          </w:p>
        </w:tc>
        <w:tc>
          <w:tcPr>
            <w:tcW w:w="1773" w:type="dxa"/>
            <w:tcBorders>
              <w:tl2br w:val="nil"/>
              <w:tr2bl w:val="nil"/>
            </w:tcBorders>
            <w:shd w:val="clear" w:color="auto" w:fill="auto"/>
            <w:vAlign w:val="center"/>
          </w:tcPr>
          <w:p w14:paraId="1F774441">
            <w:pP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谷子质量</w:t>
            </w:r>
          </w:p>
        </w:tc>
        <w:tc>
          <w:tcPr>
            <w:tcW w:w="205" w:type="pct"/>
            <w:tcBorders>
              <w:tl2br w:val="nil"/>
              <w:tr2bl w:val="nil"/>
            </w:tcBorders>
          </w:tcPr>
          <w:p w14:paraId="3D8226AA">
            <w:pPr>
              <w:jc w:val="both"/>
              <w:rPr>
                <w:rFonts w:hint="default" w:ascii="Times New Roman" w:hAnsi="Times New Roman" w:cs="Times New Roman"/>
                <w:color w:val="000000" w:themeColor="text1"/>
                <w:sz w:val="21"/>
                <w:szCs w:val="21"/>
                <w14:textFill>
                  <w14:solidFill>
                    <w14:schemeClr w14:val="tx1"/>
                  </w14:solidFill>
                </w14:textFill>
              </w:rPr>
            </w:pPr>
          </w:p>
        </w:tc>
        <w:tc>
          <w:tcPr>
            <w:tcW w:w="513" w:type="pct"/>
            <w:tcBorders>
              <w:tl2br w:val="nil"/>
              <w:tr2bl w:val="nil"/>
            </w:tcBorders>
            <w:shd w:val="clear" w:color="auto" w:fill="auto"/>
            <w:vAlign w:val="bottom"/>
          </w:tcPr>
          <w:p w14:paraId="45121250">
            <w:pPr>
              <w:jc w:val="center"/>
              <w:rPr>
                <w:rFonts w:hint="default" w:ascii="Times New Roman" w:hAnsi="Times New Roman" w:cs="Times New Roman"/>
                <w:color w:val="000000" w:themeColor="text1"/>
                <w:sz w:val="21"/>
                <w:szCs w:val="21"/>
                <w14:textFill>
                  <w14:solidFill>
                    <w14:schemeClr w14:val="tx1"/>
                  </w14:solidFill>
                </w14:textFill>
              </w:rPr>
            </w:pPr>
          </w:p>
        </w:tc>
        <w:tc>
          <w:tcPr>
            <w:tcW w:w="655" w:type="pct"/>
            <w:tcBorders>
              <w:tl2br w:val="nil"/>
              <w:tr2bl w:val="nil"/>
            </w:tcBorders>
            <w:shd w:val="clear" w:color="auto" w:fill="auto"/>
            <w:vAlign w:val="bottom"/>
          </w:tcPr>
          <w:p w14:paraId="615556A2">
            <w:pPr>
              <w:jc w:val="center"/>
              <w:rPr>
                <w:rFonts w:hint="default" w:ascii="Times New Roman" w:hAnsi="Times New Roman" w:cs="Times New Roman"/>
                <w:color w:val="000000" w:themeColor="text1"/>
                <w:sz w:val="21"/>
                <w:szCs w:val="21"/>
                <w14:textFill>
                  <w14:solidFill>
                    <w14:schemeClr w14:val="tx1"/>
                  </w14:solidFill>
                </w14:textFill>
              </w:rPr>
            </w:pPr>
          </w:p>
        </w:tc>
        <w:tc>
          <w:tcPr>
            <w:tcW w:w="1881" w:type="dxa"/>
            <w:tcBorders>
              <w:tl2br w:val="nil"/>
              <w:tr2bl w:val="nil"/>
            </w:tcBorders>
            <w:shd w:val="clear" w:color="auto" w:fill="auto"/>
            <w:vAlign w:val="center"/>
          </w:tcPr>
          <w:p w14:paraId="21E9814F">
            <w:pPr>
              <w:jc w:val="cente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-0.12</w:t>
            </w:r>
          </w:p>
        </w:tc>
        <w:tc>
          <w:tcPr>
            <w:tcW w:w="1154" w:type="dxa"/>
            <w:tcBorders>
              <w:tl2br w:val="nil"/>
              <w:tr2bl w:val="nil"/>
            </w:tcBorders>
            <w:shd w:val="clear" w:color="auto" w:fill="auto"/>
            <w:vAlign w:val="center"/>
          </w:tcPr>
          <w:p w14:paraId="1612823A">
            <w:pPr>
              <w:jc w:val="center"/>
              <w:textAlignment w:val="center"/>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sz w:val="21"/>
                <w:szCs w:val="21"/>
                <w:lang w:bidi="ar"/>
              </w:rPr>
              <w:t>-1.37</w:t>
            </w:r>
          </w:p>
        </w:tc>
      </w:tr>
    </w:tbl>
    <w:p w14:paraId="19B9F5C1">
      <w:pPr>
        <w:keepNext w:val="0"/>
        <w:keepLines w:val="0"/>
        <w:pageBreakBefore w:val="0"/>
        <w:kinsoku/>
        <w:wordWrap/>
        <w:overflowPunct/>
        <w:topLinePunct w:val="0"/>
        <w:autoSpaceDE/>
        <w:autoSpaceDN/>
        <w:bidi w:val="0"/>
        <w:adjustRightInd/>
        <w:snapToGrid/>
        <w:spacing w:line="400" w:lineRule="exact"/>
        <w:ind w:firstLine="480" w:firstLineChars="200"/>
        <w:jc w:val="both"/>
        <w:rPr>
          <w:rFonts w:hint="default" w:ascii="Times New Roman" w:hAnsi="Times New Roman" w:cs="Times New Roman" w:eastAsiaTheme="minorEastAsia"/>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由表</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3-6</w:t>
      </w:r>
      <w:r>
        <w:rPr>
          <w:rFonts w:hint="default" w:ascii="Times New Roman" w:hAnsi="Times New Roman" w:eastAsia="宋体" w:cs="Times New Roman"/>
          <w:color w:val="000000" w:themeColor="text1"/>
          <w:sz w:val="24"/>
          <w:szCs w:val="24"/>
          <w14:textFill>
            <w14:solidFill>
              <w14:schemeClr w14:val="tx1"/>
            </w14:solidFill>
          </w14:textFill>
        </w:rPr>
        <w:t>可知，</w:t>
      </w:r>
      <w:r>
        <w:rPr>
          <w:rFonts w:hint="default" w:ascii="Times New Roman" w:hAnsi="Times New Roman" w:cs="Times New Roman"/>
          <w:color w:val="auto"/>
          <w:sz w:val="24"/>
          <w:szCs w:val="24"/>
        </w:rPr>
        <w:t>IP价值</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rPr>
        <w:t>IP营销、</w:t>
      </w:r>
      <w:r>
        <w:rPr>
          <w:rFonts w:hint="default" w:ascii="Times New Roman" w:hAnsi="Times New Roman" w:cs="Times New Roman"/>
          <w:color w:val="auto"/>
          <w:sz w:val="24"/>
          <w:szCs w:val="24"/>
          <w:lang w:val="en-US" w:eastAsia="zh-CN"/>
        </w:rPr>
        <w:t>谷子</w:t>
      </w:r>
      <w:r>
        <w:rPr>
          <w:rFonts w:hint="default" w:ascii="Times New Roman" w:hAnsi="Times New Roman" w:cs="Times New Roman"/>
          <w:color w:val="auto"/>
          <w:sz w:val="24"/>
          <w:szCs w:val="24"/>
        </w:rPr>
        <w:t>质量</w:t>
      </w:r>
      <w:r>
        <w:rPr>
          <w:rFonts w:hint="default" w:ascii="Times New Roman" w:hAnsi="Times New Roman" w:cs="Times New Roman"/>
          <w:color w:val="auto"/>
          <w:sz w:val="24"/>
          <w:szCs w:val="24"/>
          <w:lang w:val="en-US" w:eastAsia="zh-CN"/>
        </w:rPr>
        <w:t>都能显著预测谷子的理性消费，从回归系数发现谷子质量比IP营销和IP价值更能预测理性消费。但只有IP营销可以显著预测谷子的冲动消费，且回归系数达到0.6。</w:t>
      </w:r>
    </w:p>
    <w:p w14:paraId="49D15BF8">
      <w:pPr>
        <w:pStyle w:val="3"/>
        <w:bidi w:val="0"/>
        <w:rPr>
          <w:rFonts w:hint="default" w:ascii="Times New Roman" w:hAnsi="Times New Roman" w:cs="Times New Roman"/>
          <w:lang w:val="en-US" w:eastAsia="zh-CN"/>
        </w:rPr>
      </w:pPr>
      <w:bookmarkStart w:id="19" w:name="_Toc17762"/>
      <w:r>
        <w:rPr>
          <w:rFonts w:hint="default" w:ascii="Times New Roman" w:hAnsi="Times New Roman" w:cs="Times New Roman"/>
          <w:lang w:val="en-US" w:eastAsia="zh-CN"/>
        </w:rPr>
        <w:t>六、结论</w:t>
      </w:r>
      <w:bookmarkEnd w:id="19"/>
    </w:p>
    <w:p w14:paraId="2A072A0A">
      <w:pPr>
        <w:keepNext w:val="0"/>
        <w:keepLines w:val="0"/>
        <w:pageBreakBefore w:val="0"/>
        <w:kinsoku/>
        <w:wordWrap/>
        <w:overflowPunct/>
        <w:topLinePunct w:val="0"/>
        <w:autoSpaceDE/>
        <w:autoSpaceDN/>
        <w:bidi w:val="0"/>
        <w:adjustRightInd/>
        <w:snapToGrid/>
        <w:spacing w:line="400" w:lineRule="exact"/>
        <w:ind w:firstLine="480" w:firstLineChars="200"/>
        <w:jc w:val="both"/>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当前谷子消费市场中消费者对IP价值和谷子品质的重视度较高。谷子质量均值较高，对谷子消费也更有预测力。IP价值和IP营销对谷子消费也有一定影响力。IP营销策略对非理性消费的刺激作用显著。此外，消费行为与收入水平密切相关，月可支配收入越高的群体，在谷子上的消费金额越大。</w:t>
      </w:r>
    </w:p>
    <w:p w14:paraId="539539CF">
      <w:pPr>
        <w:keepNext w:val="0"/>
        <w:keepLines w:val="0"/>
        <w:pageBreakBefore w:val="0"/>
        <w:kinsoku/>
        <w:wordWrap/>
        <w:overflowPunct/>
        <w:topLinePunct w:val="0"/>
        <w:autoSpaceDE/>
        <w:autoSpaceDN/>
        <w:bidi w:val="0"/>
        <w:adjustRightInd/>
        <w:snapToGrid/>
        <w:spacing w:line="400" w:lineRule="exact"/>
        <w:ind w:firstLine="480" w:firstLineChars="200"/>
        <w:jc w:val="both"/>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消</w:t>
      </w:r>
      <w:r>
        <w:rPr>
          <w:rFonts w:hint="default" w:ascii="Times New Roman" w:hAnsi="Times New Roman" w:cs="Times New Roman"/>
          <w:color w:val="auto"/>
          <w:sz w:val="24"/>
          <w:szCs w:val="24"/>
          <w:lang w:val="en-US" w:eastAsia="zh-CN"/>
        </w:rPr>
        <w:t>费者在谷子消费中面临多重陷阱，最突出的问题是购买渠道不正规导致被骗或购假，还有产品质量不佳、存在瑕疵。此外，实物与图片差异、发货效率低下、售后服务不足及价格虚高进一步削弱了消费体验。不同年龄段的消费陷阱分化明显，年轻消费者更容易遇到价格过高与质量低问题，中青年群体更易遭遇渠道欺诈和物流问题。</w:t>
      </w:r>
    </w:p>
    <w:p w14:paraId="15E8534D">
      <w:pPr>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14:paraId="35C7B9F5">
      <w:pPr>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14:paraId="4F1F5E9D">
      <w:pPr>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br w:type="page"/>
      </w:r>
    </w:p>
    <w:p w14:paraId="72644558">
      <w:pPr>
        <w:pStyle w:val="2"/>
        <w:numPr>
          <w:ilvl w:val="0"/>
          <w:numId w:val="2"/>
        </w:numPr>
        <w:bidi w:val="0"/>
        <w:rPr>
          <w:rFonts w:hint="default" w:ascii="Times New Roman" w:hAnsi="Times New Roman" w:cs="Times New Roman"/>
          <w:lang w:val="en-US" w:eastAsia="zh-CN"/>
        </w:rPr>
      </w:pPr>
      <w:bookmarkStart w:id="20" w:name="_Toc24388"/>
      <w:r>
        <w:rPr>
          <w:rFonts w:hint="default" w:ascii="Times New Roman" w:hAnsi="Times New Roman" w:cs="Times New Roman"/>
          <w:lang w:val="en-US" w:eastAsia="zh-CN"/>
        </w:rPr>
        <w:t>结论与建议</w:t>
      </w:r>
      <w:bookmarkEnd w:id="20"/>
    </w:p>
    <w:p w14:paraId="0124B97A">
      <w:pPr>
        <w:pStyle w:val="3"/>
        <w:bidi w:val="0"/>
        <w:rPr>
          <w:rFonts w:hint="default" w:ascii="Times New Roman" w:hAnsi="Times New Roman" w:cs="Times New Roman"/>
          <w:lang w:val="en-US" w:eastAsia="zh-CN"/>
        </w:rPr>
      </w:pPr>
      <w:bookmarkStart w:id="21" w:name="_Toc12132"/>
      <w:r>
        <w:rPr>
          <w:rFonts w:hint="default" w:ascii="Times New Roman" w:hAnsi="Times New Roman" w:cs="Times New Roman"/>
          <w:lang w:val="en-US" w:eastAsia="zh-CN"/>
        </w:rPr>
        <w:t>一、研究结论</w:t>
      </w:r>
      <w:bookmarkEnd w:id="21"/>
    </w:p>
    <w:p w14:paraId="0E03639F">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1）谷子消费更依赖IP价值与产品质量。魔道祖师谷子因设计精美、包装独特，以及与原著IP强关联的名场面复刻而受到青睐；营销策略（如限量发售、联名活动）进一步强化了消费吸引力，尤其刺激了冲动消费。</w:t>
      </w:r>
    </w:p>
    <w:p w14:paraId="0A6B82F4">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（2）高收入群体消费力更强，</w:t>
      </w:r>
      <w:r>
        <w:rPr>
          <w:rFonts w:hint="default" w:ascii="Times New Roman" w:hAnsi="Times New Roman" w:eastAsia="宋体" w:cs="Times New Roman"/>
          <w:color w:val="000000" w:themeColor="text1"/>
          <w:kern w:val="1"/>
          <w:sz w:val="24"/>
          <w:szCs w:val="24"/>
          <w:lang w:val="en-US" w:eastAsia="zh-CN" w:bidi="ar-SA"/>
          <w14:textFill>
            <w14:solidFill>
              <w14:schemeClr w14:val="tx1"/>
            </w14:solidFill>
          </w14:textFill>
        </w:rPr>
        <w:t>年轻消费者更注重性价比，青年群体对中高价位的谷子接受度较高</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w:t>
      </w:r>
    </w:p>
    <w:p w14:paraId="0419DAB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（3）谷子消费市场也存在多重消费陷阱，主要集中在谷子品质与物流问题上。还存在包装损坏、欺诈行为和强制捆绑消费等现象，使消费者权益受损，维权困难。</w:t>
      </w:r>
    </w:p>
    <w:p w14:paraId="4F54CFBC">
      <w:pPr>
        <w:pStyle w:val="3"/>
        <w:numPr>
          <w:ilvl w:val="0"/>
          <w:numId w:val="3"/>
        </w:numPr>
        <w:bidi w:val="0"/>
        <w:rPr>
          <w:rFonts w:hint="default" w:ascii="Times New Roman" w:hAnsi="Times New Roman" w:cs="Times New Roman"/>
          <w:lang w:val="en-US" w:eastAsia="zh-CN"/>
        </w:rPr>
      </w:pPr>
      <w:bookmarkStart w:id="22" w:name="_Toc24160"/>
      <w:r>
        <w:rPr>
          <w:rFonts w:hint="default" w:ascii="Times New Roman" w:hAnsi="Times New Roman" w:cs="Times New Roman"/>
          <w:lang w:val="en-US" w:eastAsia="zh-CN"/>
        </w:rPr>
        <w:t>研究建议</w:t>
      </w:r>
      <w:bookmarkEnd w:id="22"/>
    </w:p>
    <w:p w14:paraId="5073A434">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IP开发商应加强质量管控，确保谷子画质、材质及工艺符合消费者期望，减少因质量问题导致的消费投诉。同时，非正规渠道交易存在较大欺诈风险，建议IP开发商和品牌方加强官方销售渠道建设，如授权正规电商平台或开设官方店铺，减少消费者在私人交易平台（如微信群、微博代购）上被欺骗的风险。</w:t>
      </w:r>
    </w:p>
    <w:p w14:paraId="1318A85F">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其次，物流问题是消费者普遍关注的痛点之一，品牌方应优化官方渠道物流体系，提高发货效率，并加强包装质量管理，以减少运输损坏。建立健全的售后服务机制，如提供退换货保障、建立官方投诉渠道，提升消费者的购物体验和信任度。</w:t>
      </w:r>
    </w:p>
    <w:p w14:paraId="1916BC2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sz w:val="24"/>
          <w:szCs w:val="24"/>
          <w:lang w:val="en-US" w:eastAsia="zh-CN"/>
        </w:rPr>
        <w:t>最后，针对不同人群</w:t>
      </w:r>
      <w:r>
        <w:rPr>
          <w:rFonts w:hint="eastAsia" w:ascii="Times New Roman" w:hAnsi="Times New Roman" w:eastAsia="宋体" w:cs="Times New Roman"/>
          <w:sz w:val="24"/>
          <w:szCs w:val="24"/>
          <w:lang w:val="en-US" w:eastAsia="zh-CN"/>
        </w:rPr>
        <w:t>满足不同消费</w:t>
      </w:r>
      <w:r>
        <w:rPr>
          <w:rFonts w:hint="default" w:ascii="Times New Roman" w:hAnsi="Times New Roman" w:eastAsia="宋体" w:cs="Times New Roman"/>
          <w:sz w:val="24"/>
          <w:szCs w:val="24"/>
        </w:rPr>
        <w:t>需求，品牌方可</w:t>
      </w:r>
      <w:r>
        <w:rPr>
          <w:rFonts w:hint="eastAsia" w:ascii="Times New Roman" w:hAnsi="Times New Roman" w:eastAsia="宋体" w:cs="Times New Roman"/>
          <w:sz w:val="24"/>
          <w:szCs w:val="24"/>
          <w:lang w:val="en-US" w:eastAsia="zh-CN"/>
        </w:rPr>
        <w:t>针对年轻群体</w:t>
      </w:r>
      <w:r>
        <w:rPr>
          <w:rFonts w:hint="default" w:ascii="Times New Roman" w:hAnsi="Times New Roman" w:eastAsia="宋体" w:cs="Times New Roman"/>
          <w:sz w:val="24"/>
          <w:szCs w:val="24"/>
        </w:rPr>
        <w:t>推出性价比更高的产品，或提供灵活的购买方案，如分期付款或拼单购买，以缓解高价格带来的消费压力。而对于中青年群体，可优化售后保障措施，减少物流和渠道风险，提高交易透明度。</w:t>
      </w:r>
    </w:p>
    <w:p w14:paraId="70F9E0B2">
      <w:pPr>
        <w:pStyle w:val="3"/>
        <w:numPr>
          <w:ilvl w:val="0"/>
          <w:numId w:val="3"/>
        </w:numPr>
        <w:bidi w:val="0"/>
        <w:rPr>
          <w:rFonts w:hint="default" w:ascii="Times New Roman" w:hAnsi="Times New Roman" w:cs="Times New Roman"/>
          <w:lang w:val="en-US" w:eastAsia="zh-CN"/>
        </w:rPr>
      </w:pPr>
      <w:bookmarkStart w:id="23" w:name="_Toc18758"/>
      <w:r>
        <w:rPr>
          <w:rFonts w:hint="default" w:ascii="Times New Roman" w:hAnsi="Times New Roman" w:cs="Times New Roman"/>
          <w:lang w:val="en-US" w:eastAsia="zh-CN"/>
        </w:rPr>
        <w:t>不足之处与未来发展方向</w:t>
      </w:r>
      <w:bookmarkEnd w:id="23"/>
    </w:p>
    <w:p w14:paraId="2AB8874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研究主要依赖社交媒体数据进行分析，虽然能反映一定的消费者观点，但可能存在自选择偏差，即较为活跃的消费者声音更容易被捕捉，而低调或未发表观点的消费者行为未能充分呈现。本研究仅关注了消费者的购买行为及消费陷阱，但未能深入分析消费者的心理动机，如情感依附、社群归属感等对谷子消费的影响，未来研究可结合心理学理论进行更全面的探讨。</w:t>
      </w:r>
    </w:p>
    <w:p w14:paraId="582B72EF">
      <w:pPr>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br w:type="page"/>
      </w:r>
    </w:p>
    <w:p w14:paraId="1DB27A06">
      <w:pPr>
        <w:pStyle w:val="2"/>
        <w:bidi w:val="0"/>
        <w:rPr>
          <w:rFonts w:hint="default" w:ascii="Times New Roman" w:hAnsi="Times New Roman" w:cs="Times New Roman"/>
          <w:lang w:val="en-US" w:eastAsia="zh-CN"/>
        </w:rPr>
      </w:pPr>
      <w:bookmarkStart w:id="24" w:name="_Toc24373"/>
      <w:r>
        <w:rPr>
          <w:rFonts w:hint="default" w:ascii="Times New Roman" w:hAnsi="Times New Roman" w:cs="Times New Roman"/>
          <w:lang w:val="en-US" w:eastAsia="zh-CN"/>
        </w:rPr>
        <w:t>参考文献</w:t>
      </w:r>
      <w:bookmarkEnd w:id="24"/>
    </w:p>
    <w:p w14:paraId="6BA2DF4F">
      <w:pPr>
        <w:keepNext w:val="0"/>
        <w:keepLines w:val="0"/>
        <w:pageBreakBefore w:val="0"/>
        <w:numPr>
          <w:ilvl w:val="0"/>
          <w:numId w:val="0"/>
        </w:numPr>
        <w:kinsoku/>
        <w:wordWrap/>
        <w:overflowPunct/>
        <w:topLinePunct w:val="0"/>
        <w:autoSpaceDE/>
        <w:autoSpaceDN/>
        <w:bidi w:val="0"/>
        <w:adjustRightInd/>
        <w:snapToGrid/>
        <w:spacing w:line="400" w:lineRule="exact"/>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[1] 卫中.文化IP撬动千亿级消费，何以</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动人心[N].文汇报,2024-12-22(001).</w:t>
      </w:r>
    </w:p>
    <w:p w14:paraId="55F71BF6">
      <w:pPr>
        <w:keepNext w:val="0"/>
        <w:keepLines w:val="0"/>
        <w:pageBreakBefore w:val="0"/>
        <w:kinsoku/>
        <w:wordWrap/>
        <w:overflowPunct/>
        <w:topLinePunct w:val="0"/>
        <w:autoSpaceDE/>
        <w:autoSpaceDN/>
        <w:bidi w:val="0"/>
        <w:adjustRightInd/>
        <w:snapToGrid/>
        <w:spacing w:line="400" w:lineRule="exact"/>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[2] 任怡燃.IP粉丝群体情感传播机理研究[D].河北大学,2022.</w:t>
      </w:r>
    </w:p>
    <w:p w14:paraId="60CF16DB">
      <w:pPr>
        <w:keepNext w:val="0"/>
        <w:keepLines w:val="0"/>
        <w:pageBreakBefore w:val="0"/>
        <w:kinsoku/>
        <w:wordWrap/>
        <w:overflowPunct/>
        <w:topLinePunct w:val="0"/>
        <w:autoSpaceDE/>
        <w:autoSpaceDN/>
        <w:bidi w:val="0"/>
        <w:adjustRightInd/>
        <w:snapToGrid/>
        <w:spacing w:line="400" w:lineRule="exact"/>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[3] 高梦洁.耽美文化的传播路径探究——以《魔道祖师》小说及动漫为例[J].中国文艺家,2019,(02):91-92.</w:t>
      </w:r>
    </w:p>
    <w:p w14:paraId="49FA2CF3">
      <w:pPr>
        <w:keepNext w:val="0"/>
        <w:keepLines w:val="0"/>
        <w:pageBreakBefore w:val="0"/>
        <w:kinsoku/>
        <w:wordWrap/>
        <w:overflowPunct/>
        <w:topLinePunct w:val="0"/>
        <w:autoSpaceDE/>
        <w:autoSpaceDN/>
        <w:bidi w:val="0"/>
        <w:adjustRightInd/>
        <w:snapToGrid/>
        <w:spacing w:line="400" w:lineRule="exact"/>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[4] 尹甲棋.接受美学视域下《魔道祖师》的同人文化传播研究[D].吉首大学,2024.</w:t>
      </w:r>
    </w:p>
    <w:p w14:paraId="7A60D879">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[5] 钟颖.跨媒体视域下迷群研究——以</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魔道祖师</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推特迷群为例[D].山东大学,2021.</w:t>
      </w:r>
    </w:p>
    <w:p w14:paraId="4B96A43C">
      <w:pPr>
        <w:keepNext w:val="0"/>
        <w:keepLines w:val="0"/>
        <w:pageBreakBefore w:val="0"/>
        <w:kinsoku/>
        <w:wordWrap/>
        <w:overflowPunct/>
        <w:topLinePunct w:val="0"/>
        <w:autoSpaceDE/>
        <w:autoSpaceDN/>
        <w:bidi w:val="0"/>
        <w:adjustRightInd/>
        <w:snapToGrid/>
        <w:spacing w:line="400" w:lineRule="exact"/>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[6] 阎密.中消协：未成年人理性</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吃谷</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谨防消费陷阱[N].国际商报,2024-12-20(005).</w:t>
      </w:r>
    </w:p>
    <w:p w14:paraId="5C5A449B">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[7] 汪佳璐.</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谷子经济</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何以</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谷</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动人心？[N].宜兴日报,2025-01-13(003).</w:t>
      </w:r>
    </w:p>
    <w:p w14:paraId="28180381">
      <w:pPr>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br w:type="page"/>
      </w:r>
    </w:p>
    <w:p w14:paraId="73D9BE1E">
      <w:pPr>
        <w:jc w:val="left"/>
        <w:rPr>
          <w:rFonts w:hint="default" w:ascii="Times New Roman" w:hAnsi="Times New Roman" w:eastAsia="宋体" w:cs="Times New Roman"/>
          <w:b/>
          <w:bCs/>
          <w:sz w:val="28"/>
          <w:szCs w:val="36"/>
          <w:lang w:val="en-US" w:eastAsia="zh-CN"/>
        </w:rPr>
      </w:pPr>
      <w:r>
        <w:rPr>
          <w:rFonts w:hint="default" w:ascii="Times New Roman" w:hAnsi="Times New Roman" w:eastAsia="宋体" w:cs="Times New Roman"/>
          <w:b/>
          <w:bCs/>
          <w:sz w:val="28"/>
          <w:szCs w:val="36"/>
          <w:lang w:val="en-US" w:eastAsia="zh-CN"/>
        </w:rPr>
        <w:t>附录：</w:t>
      </w:r>
    </w:p>
    <w:p w14:paraId="08802F18">
      <w:pPr>
        <w:jc w:val="center"/>
        <w:rPr>
          <w:rFonts w:hint="default" w:ascii="Times New Roman" w:hAnsi="Times New Roman" w:eastAsia="宋体" w:cs="Times New Roman"/>
          <w:sz w:val="28"/>
          <w:szCs w:val="36"/>
        </w:rPr>
      </w:pPr>
      <w:r>
        <w:rPr>
          <w:rFonts w:hint="default" w:ascii="Times New Roman" w:hAnsi="Times New Roman" w:eastAsia="宋体" w:cs="Times New Roman"/>
          <w:sz w:val="28"/>
          <w:szCs w:val="36"/>
          <w:lang w:val="en-US" w:eastAsia="zh-CN"/>
        </w:rPr>
        <w:t>关于</w:t>
      </w:r>
      <w:r>
        <w:rPr>
          <w:rFonts w:hint="eastAsia" w:ascii="Times New Roman" w:hAnsi="Times New Roman" w:eastAsia="宋体" w:cs="Times New Roman"/>
          <w:sz w:val="28"/>
          <w:szCs w:val="36"/>
          <w:lang w:val="en-US" w:eastAsia="zh-CN"/>
        </w:rPr>
        <w:t>“</w:t>
      </w:r>
      <w:r>
        <w:rPr>
          <w:rFonts w:hint="default" w:ascii="Times New Roman" w:hAnsi="Times New Roman" w:eastAsia="宋体" w:cs="Times New Roman"/>
          <w:sz w:val="28"/>
          <w:szCs w:val="36"/>
          <w:lang w:val="en-US" w:eastAsia="zh-CN"/>
        </w:rPr>
        <w:t>谷子</w:t>
      </w:r>
      <w:r>
        <w:rPr>
          <w:rFonts w:hint="eastAsia" w:ascii="Times New Roman" w:hAnsi="Times New Roman" w:eastAsia="宋体" w:cs="Times New Roman"/>
          <w:sz w:val="28"/>
          <w:szCs w:val="36"/>
          <w:lang w:val="en-US" w:eastAsia="zh-CN"/>
        </w:rPr>
        <w:t>”</w:t>
      </w:r>
      <w:r>
        <w:rPr>
          <w:rFonts w:hint="default" w:ascii="Times New Roman" w:hAnsi="Times New Roman" w:eastAsia="宋体" w:cs="Times New Roman"/>
          <w:sz w:val="28"/>
          <w:szCs w:val="36"/>
          <w:lang w:val="en-US" w:eastAsia="zh-CN"/>
        </w:rPr>
        <w:t>消费的</w:t>
      </w:r>
      <w:r>
        <w:rPr>
          <w:rFonts w:hint="default" w:ascii="Times New Roman" w:hAnsi="Times New Roman" w:eastAsia="宋体" w:cs="Times New Roman"/>
          <w:sz w:val="28"/>
          <w:szCs w:val="36"/>
        </w:rPr>
        <w:t>调查问卷</w:t>
      </w:r>
    </w:p>
    <w:p w14:paraId="627151FF">
      <w:pPr>
        <w:rPr>
          <w:rFonts w:hint="default" w:ascii="Times New Roman" w:hAnsi="Times New Roman" w:eastAsia="宋体" w:cs="Times New Roman"/>
        </w:rPr>
      </w:pPr>
      <w:r>
        <w:rPr>
          <w:rFonts w:hint="default" w:ascii="Times New Roman" w:hAnsi="Times New Roman" w:eastAsia="宋体" w:cs="Times New Roman"/>
        </w:rPr>
        <w:t>亲爱的参与者:</w:t>
      </w:r>
    </w:p>
    <w:p w14:paraId="384941ED">
      <w:pPr>
        <w:ind w:firstLine="420" w:firstLineChars="200"/>
        <w:rPr>
          <w:rFonts w:hint="default" w:ascii="Times New Roman" w:hAnsi="Times New Roman" w:eastAsia="宋体" w:cs="Times New Roman"/>
        </w:rPr>
      </w:pPr>
      <w:r>
        <w:rPr>
          <w:rFonts w:hint="default" w:ascii="Times New Roman" w:hAnsi="Times New Roman" w:eastAsia="宋体" w:cs="Times New Roman"/>
        </w:rPr>
        <w:t>您好！我是来自上海市的一名</w:t>
      </w:r>
      <w:r>
        <w:rPr>
          <w:rFonts w:hint="default" w:ascii="Times New Roman" w:hAnsi="Times New Roman" w:eastAsia="宋体" w:cs="Times New Roman"/>
          <w:lang w:val="en-US" w:eastAsia="zh-CN"/>
        </w:rPr>
        <w:t>高</w:t>
      </w:r>
      <w:r>
        <w:rPr>
          <w:rFonts w:hint="default" w:ascii="Times New Roman" w:hAnsi="Times New Roman" w:eastAsia="宋体" w:cs="Times New Roman"/>
        </w:rPr>
        <w:t>中生。此问卷旨在调查</w:t>
      </w:r>
      <w:r>
        <w:rPr>
          <w:rFonts w:hint="default" w:ascii="Times New Roman" w:hAnsi="Times New Roman" w:eastAsia="宋体" w:cs="Times New Roman"/>
          <w:lang w:val="en-US" w:eastAsia="zh-CN"/>
        </w:rPr>
        <w:t>谷子(IP版权作品的周边产品)消费情况</w:t>
      </w:r>
      <w:r>
        <w:rPr>
          <w:rFonts w:hint="default" w:ascii="Times New Roman" w:hAnsi="Times New Roman" w:eastAsia="宋体" w:cs="Times New Roman"/>
        </w:rPr>
        <w:t>。</w:t>
      </w:r>
      <w:r>
        <w:rPr>
          <w:rFonts w:hint="default" w:ascii="Times New Roman" w:hAnsi="Times New Roman" w:eastAsia="宋体" w:cs="Times New Roman"/>
          <w:highlight w:val="none"/>
        </w:rPr>
        <w:t>问卷采用匿名的方式进行，</w:t>
      </w:r>
      <w:r>
        <w:rPr>
          <w:rFonts w:hint="default" w:ascii="Times New Roman" w:hAnsi="Times New Roman" w:eastAsia="宋体" w:cs="Times New Roman"/>
        </w:rPr>
        <w:t>调查结果仅用于本人研究性课题的撰写。</w:t>
      </w:r>
      <w:r>
        <w:rPr>
          <w:rFonts w:hint="default" w:ascii="Times New Roman" w:hAnsi="Times New Roman" w:eastAsia="宋体" w:cs="Times New Roman"/>
          <w:highlight w:val="none"/>
        </w:rPr>
        <w:t>所涉及的个人信息绝对保密，请放心作答。</w:t>
      </w:r>
      <w:r>
        <w:rPr>
          <w:rFonts w:hint="default" w:ascii="Times New Roman" w:hAnsi="Times New Roman" w:eastAsia="宋体" w:cs="Times New Roman"/>
        </w:rPr>
        <w:t>选项无对错之分，请根据个人情况如实填写，如遇到难以回答的问题，凭个人直觉选择即可。预计会花费您</w:t>
      </w:r>
      <w:r>
        <w:rPr>
          <w:rFonts w:hint="default" w:ascii="Times New Roman" w:hAnsi="Times New Roman" w:eastAsia="宋体" w:cs="Times New Roman"/>
          <w:lang w:val="en-US" w:eastAsia="zh-CN"/>
        </w:rPr>
        <w:t>1</w:t>
      </w:r>
      <w:r>
        <w:rPr>
          <w:rFonts w:hint="default" w:ascii="Times New Roman" w:hAnsi="Times New Roman" w:eastAsia="宋体" w:cs="Times New Roman"/>
        </w:rPr>
        <w:t>分钟的时间来填写此问卷，再次感谢您的参与！</w:t>
      </w:r>
    </w:p>
    <w:p w14:paraId="43512DFF">
      <w:pPr>
        <w:rPr>
          <w:rFonts w:hint="default" w:ascii="Times New Roman" w:hAnsi="Times New Roman" w:eastAsia="宋体" w:cs="Times New Roman"/>
        </w:rPr>
      </w:pPr>
    </w:p>
    <w:p w14:paraId="5F9DC7AC">
      <w:pPr>
        <w:rPr>
          <w:rFonts w:hint="default" w:ascii="Times New Roman" w:hAnsi="Times New Roman" w:eastAsia="宋体" w:cs="Times New Roman"/>
        </w:rPr>
      </w:pPr>
      <w:r>
        <w:rPr>
          <w:rFonts w:hint="default" w:ascii="Times New Roman" w:hAnsi="Times New Roman" w:eastAsia="宋体" w:cs="Times New Roman"/>
        </w:rPr>
        <w:t>1请问您的性别是：</w:t>
      </w:r>
    </w:p>
    <w:p w14:paraId="45E86C64">
      <w:pPr>
        <w:rPr>
          <w:rFonts w:hint="default" w:ascii="Times New Roman" w:hAnsi="Times New Roman" w:eastAsia="宋体" w:cs="Times New Roman"/>
        </w:rPr>
      </w:pPr>
      <w:r>
        <w:rPr>
          <w:rFonts w:hint="default" w:ascii="Times New Roman" w:hAnsi="Times New Roman" w:eastAsia="宋体" w:cs="Times New Roman"/>
        </w:rPr>
        <w:t>男</w:t>
      </w:r>
    </w:p>
    <w:p w14:paraId="47E963CF">
      <w:pPr>
        <w:rPr>
          <w:rFonts w:hint="default" w:ascii="Times New Roman" w:hAnsi="Times New Roman" w:eastAsia="宋体" w:cs="Times New Roman"/>
        </w:rPr>
      </w:pPr>
      <w:r>
        <w:rPr>
          <w:rFonts w:hint="default" w:ascii="Times New Roman" w:hAnsi="Times New Roman" w:eastAsia="宋体" w:cs="Times New Roman"/>
        </w:rPr>
        <w:t>女</w:t>
      </w:r>
    </w:p>
    <w:p w14:paraId="2F0D46CD">
      <w:pPr>
        <w:rPr>
          <w:rFonts w:hint="default" w:ascii="Times New Roman" w:hAnsi="Times New Roman" w:eastAsia="宋体" w:cs="Times New Roman"/>
        </w:rPr>
      </w:pPr>
    </w:p>
    <w:p w14:paraId="11B4EC46">
      <w:pPr>
        <w:rPr>
          <w:rFonts w:hint="default" w:ascii="Times New Roman" w:hAnsi="Times New Roman" w:eastAsia="宋体" w:cs="Times New Roman"/>
        </w:rPr>
      </w:pPr>
      <w:r>
        <w:rPr>
          <w:rFonts w:hint="default" w:ascii="Times New Roman" w:hAnsi="Times New Roman" w:eastAsia="宋体" w:cs="Times New Roman"/>
        </w:rPr>
        <w:t>2请问您的年龄是：</w:t>
      </w:r>
    </w:p>
    <w:p w14:paraId="3CF0068F">
      <w:pPr>
        <w:rPr>
          <w:rFonts w:hint="default" w:ascii="Times New Roman" w:hAnsi="Times New Roman" w:eastAsia="宋体" w:cs="Times New Roman"/>
        </w:rPr>
      </w:pPr>
      <w:r>
        <w:rPr>
          <w:rFonts w:hint="default" w:ascii="Times New Roman" w:hAnsi="Times New Roman" w:eastAsia="宋体" w:cs="Times New Roman"/>
        </w:rPr>
        <w:t>18岁以下</w:t>
      </w:r>
    </w:p>
    <w:p w14:paraId="4EDF05F3">
      <w:pPr>
        <w:rPr>
          <w:rFonts w:hint="default" w:ascii="Times New Roman" w:hAnsi="Times New Roman" w:eastAsia="宋体" w:cs="Times New Roman"/>
        </w:rPr>
      </w:pPr>
      <w:r>
        <w:rPr>
          <w:rFonts w:hint="default" w:ascii="Times New Roman" w:hAnsi="Times New Roman" w:eastAsia="宋体" w:cs="Times New Roman"/>
        </w:rPr>
        <w:t>19-25岁</w:t>
      </w:r>
    </w:p>
    <w:p w14:paraId="6F7C0967">
      <w:pPr>
        <w:rPr>
          <w:rFonts w:hint="default" w:ascii="Times New Roman" w:hAnsi="Times New Roman" w:eastAsia="宋体" w:cs="Times New Roman"/>
        </w:rPr>
      </w:pPr>
      <w:r>
        <w:rPr>
          <w:rFonts w:hint="default" w:ascii="Times New Roman" w:hAnsi="Times New Roman" w:eastAsia="宋体" w:cs="Times New Roman"/>
        </w:rPr>
        <w:t>26-35岁</w:t>
      </w:r>
    </w:p>
    <w:p w14:paraId="1383CFDB">
      <w:pPr>
        <w:rPr>
          <w:rFonts w:hint="default" w:ascii="Times New Roman" w:hAnsi="Times New Roman" w:eastAsia="宋体" w:cs="Times New Roman"/>
        </w:rPr>
      </w:pPr>
      <w:r>
        <w:rPr>
          <w:rFonts w:hint="default" w:ascii="Times New Roman" w:hAnsi="Times New Roman" w:eastAsia="宋体" w:cs="Times New Roman"/>
        </w:rPr>
        <w:t>36-45岁</w:t>
      </w:r>
    </w:p>
    <w:p w14:paraId="63E26C57">
      <w:pPr>
        <w:rPr>
          <w:rFonts w:hint="default" w:ascii="Times New Roman" w:hAnsi="Times New Roman" w:eastAsia="宋体" w:cs="Times New Roman"/>
        </w:rPr>
      </w:pPr>
      <w:r>
        <w:rPr>
          <w:rFonts w:hint="default" w:ascii="Times New Roman" w:hAnsi="Times New Roman" w:eastAsia="宋体" w:cs="Times New Roman"/>
        </w:rPr>
        <w:t>46岁以后</w:t>
      </w:r>
    </w:p>
    <w:p w14:paraId="7E4A37CF">
      <w:pPr>
        <w:rPr>
          <w:rFonts w:hint="default" w:ascii="Times New Roman" w:hAnsi="Times New Roman" w:eastAsia="宋体" w:cs="Times New Roman"/>
        </w:rPr>
      </w:pPr>
    </w:p>
    <w:p w14:paraId="76DD58DF">
      <w:pPr>
        <w:rPr>
          <w:rFonts w:hint="default" w:ascii="Times New Roman" w:hAnsi="Times New Roman" w:eastAsia="宋体" w:cs="Times New Roman"/>
        </w:rPr>
      </w:pPr>
      <w:r>
        <w:rPr>
          <w:rFonts w:hint="default" w:ascii="Times New Roman" w:hAnsi="Times New Roman" w:eastAsia="宋体" w:cs="Times New Roman"/>
          <w:lang w:val="en-US" w:eastAsia="zh-CN"/>
        </w:rPr>
        <w:t>3</w:t>
      </w:r>
      <w:r>
        <w:rPr>
          <w:rFonts w:hint="default" w:ascii="Times New Roman" w:hAnsi="Times New Roman" w:eastAsia="宋体" w:cs="Times New Roman"/>
        </w:rPr>
        <w:t>请问您的学历是：</w:t>
      </w:r>
    </w:p>
    <w:p w14:paraId="35DB5099">
      <w:pPr>
        <w:rPr>
          <w:rFonts w:hint="default" w:ascii="Times New Roman" w:hAnsi="Times New Roman" w:eastAsia="宋体" w:cs="Times New Roman"/>
        </w:rPr>
      </w:pPr>
      <w:r>
        <w:rPr>
          <w:rFonts w:hint="default" w:ascii="Times New Roman" w:hAnsi="Times New Roman" w:eastAsia="宋体" w:cs="Times New Roman"/>
        </w:rPr>
        <w:t>高中及以下</w:t>
      </w:r>
    </w:p>
    <w:p w14:paraId="2FD0E8EB">
      <w:pPr>
        <w:rPr>
          <w:rFonts w:hint="default" w:ascii="Times New Roman" w:hAnsi="Times New Roman" w:eastAsia="宋体" w:cs="Times New Roman"/>
        </w:rPr>
      </w:pPr>
      <w:r>
        <w:rPr>
          <w:rFonts w:hint="default" w:ascii="Times New Roman" w:hAnsi="Times New Roman" w:eastAsia="宋体" w:cs="Times New Roman"/>
        </w:rPr>
        <w:t>大学专科</w:t>
      </w:r>
    </w:p>
    <w:p w14:paraId="54C23627">
      <w:pPr>
        <w:rPr>
          <w:rFonts w:hint="default" w:ascii="Times New Roman" w:hAnsi="Times New Roman" w:eastAsia="宋体" w:cs="Times New Roman"/>
        </w:rPr>
      </w:pPr>
      <w:r>
        <w:rPr>
          <w:rFonts w:hint="default" w:ascii="Times New Roman" w:hAnsi="Times New Roman" w:eastAsia="宋体" w:cs="Times New Roman"/>
        </w:rPr>
        <w:t>大学本科</w:t>
      </w:r>
    </w:p>
    <w:p w14:paraId="78518D01">
      <w:pPr>
        <w:rPr>
          <w:rFonts w:hint="default" w:ascii="Times New Roman" w:hAnsi="Times New Roman" w:eastAsia="宋体" w:cs="Times New Roman"/>
        </w:rPr>
      </w:pPr>
      <w:r>
        <w:rPr>
          <w:rFonts w:hint="default" w:ascii="Times New Roman" w:hAnsi="Times New Roman" w:eastAsia="宋体" w:cs="Times New Roman"/>
        </w:rPr>
        <w:t>研究生及以上</w:t>
      </w:r>
    </w:p>
    <w:p w14:paraId="5F2A98EF">
      <w:pPr>
        <w:rPr>
          <w:rFonts w:hint="default" w:ascii="Times New Roman" w:hAnsi="Times New Roman" w:eastAsia="宋体" w:cs="Times New Roman"/>
          <w:lang w:val="en-US" w:eastAsia="zh-CN"/>
        </w:rPr>
      </w:pPr>
    </w:p>
    <w:p w14:paraId="533AE149">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 您的月可支配收入?</w:t>
      </w:r>
    </w:p>
    <w:p w14:paraId="3AF2D3F6">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3000元及以下</w:t>
      </w:r>
    </w:p>
    <w:p w14:paraId="6E11DD25">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3000-5000元</w:t>
      </w:r>
    </w:p>
    <w:p w14:paraId="01E28CD0">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5000-8000元</w:t>
      </w:r>
    </w:p>
    <w:p w14:paraId="0C507F15">
      <w:pPr>
        <w:rPr>
          <w:rFonts w:hint="default" w:ascii="Times New Roman" w:hAnsi="Times New Roman" w:eastAsia="宋体" w:cs="Times New Roman"/>
        </w:rPr>
      </w:pPr>
      <w:r>
        <w:rPr>
          <w:rFonts w:hint="default" w:ascii="Times New Roman" w:hAnsi="Times New Roman" w:eastAsia="宋体" w:cs="Times New Roman"/>
          <w:lang w:val="en-US" w:eastAsia="zh-CN"/>
        </w:rPr>
        <w:t>8000元及以上</w:t>
      </w:r>
    </w:p>
    <w:p w14:paraId="3E113E86">
      <w:pPr>
        <w:rPr>
          <w:rFonts w:hint="default" w:ascii="Times New Roman" w:hAnsi="Times New Roman" w:eastAsia="宋体" w:cs="Times New Roman"/>
        </w:rPr>
      </w:pPr>
    </w:p>
    <w:p w14:paraId="1C3A5EDA">
      <w:pPr>
        <w:rPr>
          <w:rFonts w:hint="default" w:ascii="Times New Roman" w:hAnsi="Times New Roman" w:eastAsia="宋体" w:cs="Times New Roman"/>
        </w:rPr>
      </w:pPr>
    </w:p>
    <w:p w14:paraId="0933AB8B">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5 您对谷子的了解有哪些？</w:t>
      </w:r>
      <w:r>
        <w:rPr>
          <w:rFonts w:hint="default" w:ascii="Times New Roman" w:hAnsi="Times New Roman" w:eastAsia="宋体" w:cs="Times New Roman"/>
        </w:rPr>
        <w:t>【多选题】</w:t>
      </w:r>
    </w:p>
    <w:p w14:paraId="012C5C17">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谷子是英文</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Goods</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的音译，泛指与泛二次元相关的动漫、游戏等IP版权作品的周边产品</w:t>
      </w:r>
    </w:p>
    <w:p w14:paraId="5E9286D8">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谷子类型徽章、立牌、钥匙扣、文具、玩偶等</w:t>
      </w:r>
    </w:p>
    <w:p w14:paraId="7B8973E5">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国产谷子大热IP有原神、魔道祖师、光与夜之恋、盗墓笔记、第五人格等</w:t>
      </w:r>
    </w:p>
    <w:p w14:paraId="0AF7488F">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痛包</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痛楼</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痛街</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里的</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痛</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是指用</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谷子</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进行装饰</w:t>
      </w:r>
    </w:p>
    <w:p w14:paraId="4866CFCD">
      <w:pPr>
        <w:rPr>
          <w:rFonts w:hint="default" w:ascii="Times New Roman" w:hAnsi="Times New Roman" w:eastAsia="宋体" w:cs="Times New Roman"/>
          <w:lang w:val="en-US" w:eastAsia="zh-CN"/>
        </w:rPr>
      </w:pPr>
    </w:p>
    <w:p w14:paraId="3EB90A7E">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6 您认为每次购买谷子，花费多少是合理的？</w:t>
      </w:r>
    </w:p>
    <w:p w14:paraId="7DBA2074">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50元以下</w:t>
      </w:r>
    </w:p>
    <w:p w14:paraId="50C59225">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51-100元</w:t>
      </w:r>
    </w:p>
    <w:p w14:paraId="014A434D">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101-300元</w:t>
      </w:r>
    </w:p>
    <w:p w14:paraId="782CF6E6">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301-500元</w:t>
      </w:r>
    </w:p>
    <w:p w14:paraId="70C93DB7">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501-1000元</w:t>
      </w:r>
    </w:p>
    <w:p w14:paraId="7BDE6988">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1000元以上</w:t>
      </w:r>
    </w:p>
    <w:p w14:paraId="69640B53">
      <w:pPr>
        <w:rPr>
          <w:rFonts w:hint="default" w:ascii="Times New Roman" w:hAnsi="Times New Roman" w:eastAsia="宋体" w:cs="Times New Roman"/>
          <w:lang w:val="en-US" w:eastAsia="zh-CN"/>
        </w:rPr>
      </w:pPr>
    </w:p>
    <w:p w14:paraId="55E0DD7C">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7您认可哪</w:t>
      </w:r>
      <w:r>
        <w:rPr>
          <w:rFonts w:hint="default" w:ascii="Times New Roman" w:hAnsi="Times New Roman" w:eastAsia="宋体" w:cs="Times New Roman"/>
        </w:rPr>
        <w:t>些渠道购买谷子?【多选题】</w:t>
      </w:r>
    </w:p>
    <w:p w14:paraId="1E4A032D">
      <w:pPr>
        <w:rPr>
          <w:rFonts w:hint="default" w:ascii="Times New Roman" w:hAnsi="Times New Roman" w:eastAsia="宋体" w:cs="Times New Roman"/>
        </w:rPr>
      </w:pPr>
      <w:r>
        <w:rPr>
          <w:rFonts w:hint="default" w:ascii="Times New Roman" w:hAnsi="Times New Roman" w:eastAsia="宋体" w:cs="Times New Roman"/>
        </w:rPr>
        <w:t>官方线上商城</w:t>
      </w:r>
    </w:p>
    <w:p w14:paraId="1EF0FF40">
      <w:pPr>
        <w:rPr>
          <w:rFonts w:hint="default" w:ascii="Times New Roman" w:hAnsi="Times New Roman" w:eastAsia="宋体" w:cs="Times New Roman"/>
        </w:rPr>
      </w:pPr>
      <w:r>
        <w:rPr>
          <w:rFonts w:hint="default" w:ascii="Times New Roman" w:hAnsi="Times New Roman" w:eastAsia="宋体" w:cs="Times New Roman"/>
        </w:rPr>
        <w:t>综合性电商平台（如淘宝）</w:t>
      </w:r>
    </w:p>
    <w:p w14:paraId="6FB0BC28">
      <w:pPr>
        <w:rPr>
          <w:rFonts w:hint="default" w:ascii="Times New Roman" w:hAnsi="Times New Roman" w:eastAsia="宋体" w:cs="Times New Roman"/>
        </w:rPr>
      </w:pPr>
      <w:r>
        <w:rPr>
          <w:rFonts w:hint="default" w:ascii="Times New Roman" w:hAnsi="Times New Roman" w:eastAsia="宋体" w:cs="Times New Roman"/>
        </w:rPr>
        <w:t>线下实体店</w:t>
      </w:r>
    </w:p>
    <w:p w14:paraId="62DFFF9A">
      <w:pPr>
        <w:rPr>
          <w:rFonts w:hint="default" w:ascii="Times New Roman" w:hAnsi="Times New Roman" w:eastAsia="宋体" w:cs="Times New Roman"/>
        </w:rPr>
      </w:pPr>
      <w:r>
        <w:rPr>
          <w:rFonts w:hint="default" w:ascii="Times New Roman" w:hAnsi="Times New Roman" w:eastAsia="宋体" w:cs="Times New Roman"/>
        </w:rPr>
        <w:t>二手交易平台</w:t>
      </w:r>
    </w:p>
    <w:p w14:paraId="12F66A24">
      <w:pPr>
        <w:rPr>
          <w:rFonts w:hint="default" w:ascii="Times New Roman" w:hAnsi="Times New Roman" w:eastAsia="宋体" w:cs="Times New Roman"/>
        </w:rPr>
      </w:pPr>
      <w:r>
        <w:rPr>
          <w:rFonts w:hint="default" w:ascii="Times New Roman" w:hAnsi="Times New Roman" w:eastAsia="宋体" w:cs="Times New Roman"/>
        </w:rPr>
        <w:t>粉丝自制或拼团</w:t>
      </w:r>
    </w:p>
    <w:p w14:paraId="69F6DED4">
      <w:pPr>
        <w:rPr>
          <w:rFonts w:hint="default" w:ascii="Times New Roman" w:hAnsi="Times New Roman" w:eastAsia="宋体" w:cs="Times New Roman"/>
        </w:rPr>
      </w:pPr>
      <w:r>
        <w:rPr>
          <w:rFonts w:hint="default" w:ascii="Times New Roman" w:hAnsi="Times New Roman" w:eastAsia="宋体" w:cs="Times New Roman"/>
        </w:rPr>
        <w:t>其他</w:t>
      </w:r>
    </w:p>
    <w:p w14:paraId="114E2ED8">
      <w:pPr>
        <w:rPr>
          <w:rFonts w:hint="default" w:ascii="Times New Roman" w:hAnsi="Times New Roman" w:eastAsia="宋体" w:cs="Times New Roman"/>
          <w:lang w:val="en-US" w:eastAsia="zh-CN"/>
        </w:rPr>
      </w:pPr>
    </w:p>
    <w:p w14:paraId="29292816">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8 消费谷子时，哪些是最常见的问题</w:t>
      </w:r>
      <w:r>
        <w:rPr>
          <w:rFonts w:hint="default" w:ascii="Times New Roman" w:hAnsi="Times New Roman" w:eastAsia="宋体" w:cs="Times New Roman"/>
        </w:rPr>
        <w:t>【多选题】</w:t>
      </w:r>
    </w:p>
    <w:p w14:paraId="383477EF">
      <w:pPr>
        <w:rPr>
          <w:rFonts w:hint="default" w:ascii="Times New Roman" w:hAnsi="Times New Roman" w:eastAsia="宋体" w:cs="Times New Roman"/>
          <w:lang w:val="en-US" w:eastAsia="zh-CN"/>
        </w:rPr>
      </w:pPr>
    </w:p>
    <w:p w14:paraId="7E204C3E">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实物与图片不符，存在色差或细节差异</w:t>
      </w:r>
    </w:p>
    <w:p w14:paraId="163B99BF">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产品质量不佳，如出现瑕疵、损坏等</w:t>
      </w:r>
    </w:p>
    <w:p w14:paraId="11870379">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购买渠道不正规，被骗钱或买到假货</w:t>
      </w:r>
    </w:p>
    <w:p w14:paraId="40F5D688">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发货速度慢，等待时间过长</w:t>
      </w:r>
    </w:p>
    <w:p w14:paraId="62C5F98C">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售后服务不好，退换货困难</w:t>
      </w:r>
    </w:p>
    <w:p w14:paraId="6B396F33">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价格虚高，性价比低</w:t>
      </w:r>
    </w:p>
    <w:p w14:paraId="15106E9A">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抢不到谷子</w:t>
      </w:r>
    </w:p>
    <w:p w14:paraId="0C764ACB">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其它</w:t>
      </w:r>
    </w:p>
    <w:p w14:paraId="1A372064">
      <w:pPr>
        <w:rPr>
          <w:rFonts w:hint="default" w:ascii="Times New Roman" w:hAnsi="Times New Roman" w:eastAsia="宋体" w:cs="Times New Roman"/>
          <w:highlight w:val="none"/>
          <w:lang w:val="en-US" w:eastAsia="zh-CN"/>
        </w:rPr>
      </w:pPr>
    </w:p>
    <w:p w14:paraId="08D3A18B">
      <w:pPr>
        <w:rPr>
          <w:rFonts w:hint="default" w:ascii="Times New Roman" w:hAnsi="Times New Roman" w:eastAsia="宋体" w:cs="Times New Roman"/>
          <w:highlight w:val="none"/>
        </w:rPr>
      </w:pPr>
      <w:r>
        <w:rPr>
          <w:rFonts w:hint="default" w:ascii="Times New Roman" w:hAnsi="Times New Roman" w:eastAsia="宋体" w:cs="Times New Roman"/>
          <w:highlight w:val="none"/>
        </w:rPr>
        <w:t>请您仔细阅读，</w:t>
      </w:r>
      <w:r>
        <w:rPr>
          <w:rFonts w:hint="default" w:ascii="Times New Roman" w:hAnsi="Times New Roman" w:eastAsia="宋体" w:cs="Times New Roman"/>
          <w:highlight w:val="none"/>
          <w:lang w:val="en-US" w:eastAsia="zh-CN"/>
        </w:rPr>
        <w:t>并选择合适的数字，从</w:t>
      </w:r>
      <w:r>
        <w:rPr>
          <w:rFonts w:hint="eastAsia" w:ascii="Times New Roman" w:hAnsi="Times New Roman" w:eastAsia="宋体" w:cs="Times New Roman"/>
          <w:highlight w:val="none"/>
          <w:lang w:val="en-US" w:eastAsia="zh-CN"/>
        </w:rPr>
        <w:t>“</w:t>
      </w:r>
      <w:r>
        <w:rPr>
          <w:rFonts w:hint="default" w:ascii="Times New Roman" w:hAnsi="Times New Roman" w:eastAsia="宋体" w:cs="Times New Roman"/>
          <w:highlight w:val="none"/>
          <w:lang w:val="en-US" w:eastAsia="zh-CN"/>
        </w:rPr>
        <w:t>1-5</w:t>
      </w:r>
      <w:r>
        <w:rPr>
          <w:rFonts w:hint="eastAsia" w:ascii="Times New Roman" w:hAnsi="Times New Roman" w:eastAsia="宋体" w:cs="Times New Roman"/>
          <w:highlight w:val="none"/>
          <w:lang w:val="en-US" w:eastAsia="zh-CN"/>
        </w:rPr>
        <w:t>”</w:t>
      </w:r>
      <w:r>
        <w:rPr>
          <w:rFonts w:hint="default" w:ascii="Times New Roman" w:hAnsi="Times New Roman" w:eastAsia="宋体" w:cs="Times New Roman"/>
          <w:highlight w:val="none"/>
          <w:lang w:val="en-US" w:eastAsia="zh-CN"/>
        </w:rPr>
        <w:t>，数字越大代表认可程度越高</w:t>
      </w:r>
      <w:r>
        <w:rPr>
          <w:rFonts w:hint="default" w:ascii="Times New Roman" w:hAnsi="Times New Roman" w:eastAsia="宋体" w:cs="Times New Roman"/>
          <w:highlight w:val="none"/>
        </w:rPr>
        <w:t>：</w:t>
      </w:r>
    </w:p>
    <w:p w14:paraId="40AAC0DD">
      <w:pPr>
        <w:rPr>
          <w:rFonts w:hint="default" w:ascii="Times New Roman" w:hAnsi="Times New Roman" w:eastAsia="宋体" w:cs="Times New Roman"/>
          <w:highlight w:val="none"/>
        </w:rPr>
      </w:pPr>
    </w:p>
    <w:p w14:paraId="6E56E131">
      <w:pPr>
        <w:rPr>
          <w:rFonts w:hint="default"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IP价值</w:t>
      </w:r>
    </w:p>
    <w:p w14:paraId="4941D775">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喜欢IP的人物（恋与制作人、魔道祖师、原神等）</w:t>
      </w:r>
    </w:p>
    <w:p w14:paraId="2D2BDCF5">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与谷子IP</w:t>
      </w:r>
      <w:r>
        <w:rPr>
          <w:rFonts w:hint="eastAsia" w:ascii="Times New Roman" w:hAnsi="Times New Roman" w:eastAsia="宋体" w:cs="Times New Roman"/>
          <w:highlight w:val="none"/>
          <w:lang w:val="en-US" w:eastAsia="zh-CN"/>
        </w:rPr>
        <w:t>“</w:t>
      </w:r>
      <w:r>
        <w:rPr>
          <w:rFonts w:hint="default" w:ascii="Times New Roman" w:hAnsi="Times New Roman" w:eastAsia="宋体" w:cs="Times New Roman"/>
          <w:highlight w:val="none"/>
          <w:lang w:val="en-US" w:eastAsia="zh-CN"/>
        </w:rPr>
        <w:t>名场面</w:t>
      </w:r>
      <w:r>
        <w:rPr>
          <w:rFonts w:hint="eastAsia" w:ascii="Times New Roman" w:hAnsi="Times New Roman" w:eastAsia="宋体" w:cs="Times New Roman"/>
          <w:highlight w:val="none"/>
          <w:lang w:val="en-US" w:eastAsia="zh-CN"/>
        </w:rPr>
        <w:t>”</w:t>
      </w:r>
      <w:r>
        <w:rPr>
          <w:rFonts w:hint="default" w:ascii="Times New Roman" w:hAnsi="Times New Roman" w:eastAsia="宋体" w:cs="Times New Roman"/>
          <w:highlight w:val="none"/>
          <w:lang w:val="en-US" w:eastAsia="zh-CN"/>
        </w:rPr>
        <w:t>有关</w:t>
      </w:r>
    </w:p>
    <w:p w14:paraId="0F58C55A">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贴合IP原著内容</w:t>
      </w:r>
    </w:p>
    <w:p w14:paraId="39DCC977">
      <w:pPr>
        <w:rPr>
          <w:rFonts w:hint="default" w:ascii="Times New Roman" w:hAnsi="Times New Roman" w:eastAsia="宋体" w:cs="Times New Roman"/>
          <w:highlight w:val="none"/>
          <w:lang w:val="en-US" w:eastAsia="zh-CN"/>
        </w:rPr>
      </w:pPr>
    </w:p>
    <w:p w14:paraId="1900B82C">
      <w:pPr>
        <w:rPr>
          <w:rFonts w:hint="default"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IP营销</w:t>
      </w:r>
    </w:p>
    <w:p w14:paraId="253B2005">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限量发售</w:t>
      </w:r>
    </w:p>
    <w:p w14:paraId="314A7C1E">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联名款谷子</w:t>
      </w:r>
    </w:p>
    <w:p w14:paraId="1FD43F41">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线上或线下互动活动</w:t>
      </w:r>
    </w:p>
    <w:p w14:paraId="569CBF89">
      <w:pPr>
        <w:rPr>
          <w:rFonts w:hint="default" w:ascii="Times New Roman" w:hAnsi="Times New Roman" w:eastAsia="宋体" w:cs="Times New Roman"/>
          <w:highlight w:val="none"/>
          <w:lang w:val="en-US" w:eastAsia="zh-CN"/>
        </w:rPr>
      </w:pPr>
    </w:p>
    <w:p w14:paraId="64010F59">
      <w:pPr>
        <w:rPr>
          <w:rFonts w:hint="default"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谷子质量</w:t>
      </w:r>
    </w:p>
    <w:p w14:paraId="067D11FE">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谷子质量精美</w:t>
      </w:r>
    </w:p>
    <w:p w14:paraId="32ED4D31">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独特的设计或包装（烫金、拉丝、白瓷底、镭射等工艺）</w:t>
      </w:r>
    </w:p>
    <w:p w14:paraId="66B314EE">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IP人物形象或意境美</w:t>
      </w:r>
    </w:p>
    <w:p w14:paraId="47D4B27B">
      <w:pPr>
        <w:rPr>
          <w:rFonts w:hint="default" w:ascii="Times New Roman" w:hAnsi="Times New Roman" w:eastAsia="宋体" w:cs="Times New Roman"/>
          <w:highlight w:val="none"/>
          <w:lang w:val="en-US" w:eastAsia="zh-CN"/>
        </w:rPr>
      </w:pPr>
    </w:p>
    <w:p w14:paraId="51ADD473">
      <w:pPr>
        <w:rPr>
          <w:rFonts w:hint="default" w:ascii="Times New Roman" w:hAnsi="Times New Roman" w:eastAsia="宋体" w:cs="Times New Roman"/>
          <w:highlight w:val="none"/>
          <w:lang w:val="en-US" w:eastAsia="zh-CN"/>
        </w:rPr>
      </w:pPr>
    </w:p>
    <w:p w14:paraId="2F81A12F">
      <w:pPr>
        <w:rPr>
          <w:rFonts w:hint="default"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谷子理性消费</w:t>
      </w:r>
    </w:p>
    <w:p w14:paraId="644D20B3">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看到喜欢的IP谷子会量力而为消费</w:t>
      </w:r>
    </w:p>
    <w:p w14:paraId="077BFC0A">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喜欢作品和角色，想通过购买谷子表达对其喜爱</w:t>
      </w:r>
    </w:p>
    <w:p w14:paraId="5C71070B">
      <w:pPr>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购买谷子能让自己心情愉悦，缓解压力</w:t>
      </w:r>
    </w:p>
    <w:p w14:paraId="49548793">
      <w:pPr>
        <w:rPr>
          <w:rFonts w:hint="default" w:ascii="Times New Roman" w:hAnsi="Times New Roman" w:eastAsia="宋体" w:cs="Times New Roman"/>
          <w:highlight w:val="none"/>
          <w:lang w:val="en-US" w:eastAsia="zh-CN"/>
        </w:rPr>
      </w:pPr>
    </w:p>
    <w:p w14:paraId="771D1344">
      <w:pPr>
        <w:rPr>
          <w:rFonts w:hint="default" w:ascii="Times New Roman" w:hAnsi="Times New Roman" w:cs="Times New Roman"/>
          <w:b/>
          <w:bCs/>
          <w:highlight w:val="none"/>
          <w:lang w:val="en-US" w:eastAsia="zh-CN"/>
        </w:rPr>
      </w:pPr>
      <w:r>
        <w:rPr>
          <w:rFonts w:hint="default" w:ascii="Times New Roman" w:hAnsi="Times New Roman" w:cs="Times New Roman"/>
          <w:b/>
          <w:bCs/>
          <w:highlight w:val="none"/>
          <w:lang w:val="en-US" w:eastAsia="zh-CN"/>
        </w:rPr>
        <w:t>冲动消费</w:t>
      </w:r>
    </w:p>
    <w:p w14:paraId="6E4FFFCA">
      <w:pPr>
        <w:rPr>
          <w:rFonts w:hint="default" w:ascii="Times New Roman" w:hAnsi="Times New Roman" w:cs="Times New Roman"/>
          <w:lang w:val="en-US" w:eastAsia="zh-CN"/>
        </w:rPr>
      </w:pPr>
      <w:r>
        <w:rPr>
          <w:rFonts w:hint="default" w:ascii="Times New Roman" w:hAnsi="Times New Roman" w:cs="Times New Roman"/>
          <w:lang w:val="en-US" w:eastAsia="zh-CN"/>
        </w:rPr>
        <w:t>会为了凑齐一套谷子而不断购买</w:t>
      </w:r>
    </w:p>
    <w:p w14:paraId="392D0A0D">
      <w:pPr>
        <w:rPr>
          <w:rFonts w:hint="default" w:ascii="Times New Roman" w:hAnsi="Times New Roman" w:cs="Times New Roman"/>
          <w:lang w:val="en-US" w:eastAsia="zh-CN"/>
        </w:rPr>
      </w:pPr>
      <w:r>
        <w:rPr>
          <w:rFonts w:hint="default" w:ascii="Times New Roman" w:hAnsi="Times New Roman" w:cs="Times New Roman"/>
          <w:lang w:val="en-US" w:eastAsia="zh-CN"/>
        </w:rPr>
        <w:t>看到喜欢的谷子不在意价格，会冲动消费</w:t>
      </w:r>
    </w:p>
    <w:p w14:paraId="63A19228">
      <w:pPr>
        <w:rPr>
          <w:rFonts w:hint="default" w:ascii="Times New Roman" w:hAnsi="Times New Roman" w:cs="Times New Roman"/>
          <w:lang w:val="en-US" w:eastAsia="zh-CN"/>
        </w:rPr>
      </w:pPr>
      <w:r>
        <w:rPr>
          <w:rFonts w:hint="default" w:ascii="Times New Roman" w:hAnsi="Times New Roman" w:cs="Times New Roman"/>
          <w:lang w:val="en-US" w:eastAsia="zh-CN"/>
        </w:rPr>
        <w:t>会跟风购买大热的谷子</w:t>
      </w:r>
    </w:p>
    <w:p w14:paraId="0F758D1C">
      <w:pPr>
        <w:rPr>
          <w:rFonts w:hint="default" w:ascii="Times New Roman" w:hAnsi="Times New Roman" w:cs="Times New Roman"/>
          <w:lang w:val="en-US" w:eastAsia="zh-CN"/>
        </w:rPr>
      </w:pPr>
    </w:p>
    <w:p w14:paraId="6DBE8C35">
      <w:pPr>
        <w:keepNext w:val="0"/>
        <w:keepLines w:val="0"/>
        <w:pageBreakBefore w:val="0"/>
        <w:numPr>
          <w:ilvl w:val="0"/>
          <w:numId w:val="0"/>
        </w:numPr>
        <w:kinsoku/>
        <w:wordWrap/>
        <w:overflowPunct/>
        <w:topLinePunct w:val="0"/>
        <w:autoSpaceDE/>
        <w:autoSpaceDN/>
        <w:bidi w:val="0"/>
        <w:adjustRightInd/>
        <w:snapToGrid/>
        <w:spacing w:line="400" w:lineRule="exact"/>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A89DB3">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D46D8D">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18</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49D46D8D">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18</w:t>
                    </w:r>
                    <w:r>
                      <w:fldChar w:fldCharType="end"/>
                    </w:r>
                    <w: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2E645"/>
    <w:multiLevelType w:val="singleLevel"/>
    <w:tmpl w:val="8342E645"/>
    <w:lvl w:ilvl="0" w:tentative="0">
      <w:start w:val="5"/>
      <w:numFmt w:val="chineseCounting"/>
      <w:suff w:val="space"/>
      <w:lvlText w:val="第%1章"/>
      <w:lvlJc w:val="left"/>
      <w:rPr>
        <w:rFonts w:hint="eastAsia"/>
      </w:rPr>
    </w:lvl>
  </w:abstractNum>
  <w:abstractNum w:abstractNumId="1">
    <w:nsid w:val="203AEA99"/>
    <w:multiLevelType w:val="singleLevel"/>
    <w:tmpl w:val="203AEA99"/>
    <w:lvl w:ilvl="0" w:tentative="0">
      <w:start w:val="3"/>
      <w:numFmt w:val="chineseCounting"/>
      <w:suff w:val="nothing"/>
      <w:lvlText w:val="%1、"/>
      <w:lvlJc w:val="left"/>
      <w:rPr>
        <w:rFonts w:hint="eastAsia"/>
      </w:rPr>
    </w:lvl>
  </w:abstractNum>
  <w:abstractNum w:abstractNumId="2">
    <w:nsid w:val="20B4439B"/>
    <w:multiLevelType w:val="singleLevel"/>
    <w:tmpl w:val="20B4439B"/>
    <w:lvl w:ilvl="0" w:tentative="0">
      <w:start w:val="2"/>
      <w:numFmt w:val="chineseCounting"/>
      <w:suff w:val="nothing"/>
      <w:lvlText w:val="%1、"/>
      <w:lvlJc w:val="left"/>
      <w:rPr>
        <w:rFonts w:hint="eastAs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1E7BCF"/>
    <w:rsid w:val="0261582D"/>
    <w:rsid w:val="09A3577C"/>
    <w:rsid w:val="0AD86A82"/>
    <w:rsid w:val="0C767178"/>
    <w:rsid w:val="103F560B"/>
    <w:rsid w:val="112A38A4"/>
    <w:rsid w:val="12AC53B4"/>
    <w:rsid w:val="12F341CC"/>
    <w:rsid w:val="13AF7C42"/>
    <w:rsid w:val="155C34F5"/>
    <w:rsid w:val="1608677B"/>
    <w:rsid w:val="167852A0"/>
    <w:rsid w:val="171802A5"/>
    <w:rsid w:val="17441890"/>
    <w:rsid w:val="18D162A3"/>
    <w:rsid w:val="1B2D33BA"/>
    <w:rsid w:val="1C8714D1"/>
    <w:rsid w:val="1EC90054"/>
    <w:rsid w:val="21400C88"/>
    <w:rsid w:val="231E7BCF"/>
    <w:rsid w:val="2548391D"/>
    <w:rsid w:val="255120D8"/>
    <w:rsid w:val="285E351C"/>
    <w:rsid w:val="2BBC1761"/>
    <w:rsid w:val="2C8D1C48"/>
    <w:rsid w:val="2C923AE4"/>
    <w:rsid w:val="2D801185"/>
    <w:rsid w:val="2E0B08EE"/>
    <w:rsid w:val="2E286481"/>
    <w:rsid w:val="2EE43FBD"/>
    <w:rsid w:val="2FC6272E"/>
    <w:rsid w:val="2FE204FD"/>
    <w:rsid w:val="34787714"/>
    <w:rsid w:val="37C23971"/>
    <w:rsid w:val="38F42EBD"/>
    <w:rsid w:val="3B2129D1"/>
    <w:rsid w:val="40E816EB"/>
    <w:rsid w:val="420D389B"/>
    <w:rsid w:val="44CA237E"/>
    <w:rsid w:val="45AE67DA"/>
    <w:rsid w:val="475474FD"/>
    <w:rsid w:val="497678A7"/>
    <w:rsid w:val="4AC666F4"/>
    <w:rsid w:val="4ED401E6"/>
    <w:rsid w:val="4F461E80"/>
    <w:rsid w:val="4FE173AF"/>
    <w:rsid w:val="51726A97"/>
    <w:rsid w:val="532D0198"/>
    <w:rsid w:val="533A72CC"/>
    <w:rsid w:val="54FC11A2"/>
    <w:rsid w:val="567464BC"/>
    <w:rsid w:val="579923D1"/>
    <w:rsid w:val="5E170EDF"/>
    <w:rsid w:val="60B738FF"/>
    <w:rsid w:val="61647CFC"/>
    <w:rsid w:val="61A33E06"/>
    <w:rsid w:val="65927411"/>
    <w:rsid w:val="66613770"/>
    <w:rsid w:val="66B11D76"/>
    <w:rsid w:val="66D165FA"/>
    <w:rsid w:val="677A146A"/>
    <w:rsid w:val="6780592A"/>
    <w:rsid w:val="67831442"/>
    <w:rsid w:val="6935306D"/>
    <w:rsid w:val="6949034B"/>
    <w:rsid w:val="69924C1B"/>
    <w:rsid w:val="70B711ED"/>
    <w:rsid w:val="716868DC"/>
    <w:rsid w:val="722C417A"/>
    <w:rsid w:val="73E22C01"/>
    <w:rsid w:val="752F120B"/>
    <w:rsid w:val="75982794"/>
    <w:rsid w:val="770C6338"/>
    <w:rsid w:val="7A2B75C6"/>
    <w:rsid w:val="7B290B65"/>
    <w:rsid w:val="7BED7620"/>
    <w:rsid w:val="7D5B3A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240" w:lineRule="auto"/>
      <w:jc w:val="left"/>
      <w:outlineLvl w:val="1"/>
    </w:pPr>
    <w:rPr>
      <w:rFonts w:ascii="Arial" w:hAnsi="Arial" w:eastAsia="宋体"/>
      <w:b/>
      <w:sz w:val="24"/>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footnote text"/>
    <w:basedOn w:val="1"/>
    <w:uiPriority w:val="0"/>
    <w:pPr>
      <w:snapToGrid w:val="0"/>
      <w:jc w:val="left"/>
    </w:pPr>
    <w:rPr>
      <w:sz w:val="18"/>
    </w:rPr>
  </w:style>
  <w:style w:type="paragraph" w:styleId="9">
    <w:name w:val="toc 2"/>
    <w:basedOn w:val="1"/>
    <w:next w:val="1"/>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cs="Times New Roman"/>
    </w:r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Hyperlink"/>
    <w:basedOn w:val="12"/>
    <w:qFormat/>
    <w:uiPriority w:val="0"/>
    <w:rPr>
      <w:color w:val="0000FF"/>
      <w:u w:val="single"/>
    </w:rPr>
  </w:style>
  <w:style w:type="character" w:styleId="16">
    <w:name w:val="footnote reference"/>
    <w:basedOn w:val="12"/>
    <w:qFormat/>
    <w:uiPriority w:val="0"/>
    <w:rPr>
      <w:vertAlign w:val="superscript"/>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601</Words>
  <Characters>647</Characters>
  <Lines>0</Lines>
  <Paragraphs>0</Paragraphs>
  <TotalTime>4</TotalTime>
  <ScaleCrop>false</ScaleCrop>
  <LinksUpToDate>false</LinksUpToDate>
  <CharactersWithSpaces>678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2025-01-25T06:39:00Z</dcterms:created>
  <dc:creator>千靥生</dc:creator>
  <cp:lastModifiedBy>千靥生</cp:lastModifiedBy>
  <dcterms:modified xsi:type="dcterms:W3CDTF">2025-04-12T09:03:11Z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BB26C796C6984F20881383ECAE8280E8_11</vt:lpwstr>
  </property>
  <property fmtid="{D5CDD505-2E9C-101B-9397-08002B2CF9AE}" pid="4" name="KSOTemplateDocerSaveRecord">
    <vt:lpwstr>eyJoZGlkIjoiYjc1NzhmYTRhMmJhNTYwZTNhYzYwMjQxMWZkMGE5MDgiLCJ1c2VySWQiOiIyNDM3OTAxODIifQ==</vt:lpwstr>
  </property>
</Properties>
</file>