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2.1 KPIs (Indicadores Clave)</w:t>
      </w:r>
    </w:p>
    <w:p>
      <w:r>
        <w:rPr>
          <w:sz w:val="22"/>
        </w:rPr>
        <w:t xml:space="preserve">En la parte superior se muestran </w:t>
      </w:r>
      <w:r>
        <w:rPr>
          <w:b/>
          <w:sz w:val="22"/>
        </w:rPr>
        <w:t>4 tarjetas</w:t>
      </w:r>
      <w:r>
        <w:rPr>
          <w:sz w:val="22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Tarjeta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Registros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Cantidad total de pacientes cargados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Pacientes Críticos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Pacientes con riesgo crítico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Edad Promedio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Edad media de todos los registros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% Riesgo Poblacional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Porcentaje de riesgo promedio</w:t>
            </w:r>
          </w:p>
        </w:tc>
      </w:tr>
    </w:tbl>
    <w:p/>
    <w:p>
      <w:r>
        <w:rPr>
          <w:sz w:val="22"/>
        </w:rPr>
        <w:t xml:space="preserve">Debajo del gráfico de distribución de riesgo hay </w:t>
      </w:r>
      <w:r>
        <w:rPr>
          <w:b/>
          <w:sz w:val="22"/>
        </w:rPr>
        <w:t>4 indicadores clínicos</w:t>
      </w:r>
      <w:r>
        <w:rPr>
          <w:sz w:val="22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Glucosa prom.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Nivel promedio de glucosa (mg/dL)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IMC prom.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IMC promedio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% Críticos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Porcentaje de pacientes críticos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% Riesgo Alto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Porcentaje con riesgo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