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5. Analítica Descriptiva</w:t>
      </w:r>
    </w:p>
    <w:p>
      <w:r>
        <w:rPr>
          <w:sz w:val="22"/>
        </w:rPr>
        <w:t xml:space="preserve">La sección de Analítica Descriptiva proporciona un análisis estadístico detallado de los datos clínicos cargados. Se accede desde el sidebar menú </w:t>
      </w:r>
      <w:r>
        <w:rPr>
          <w:b/>
          <w:sz w:val="22"/>
        </w:rPr>
        <w:t>Analítica</w:t>
      </w:r>
      <w:r>
        <w:rPr>
          <w:sz w:val="22"/>
        </w:rPr>
        <w:t>.</w:t>
      </w:r>
    </w:p>
    <w:p/>
    <w:p>
      <w:pPr>
        <w:pStyle w:val="Heading3"/>
      </w:pPr>
      <w:r>
        <w:t>5.1 Indicadores de Prevalencia Patológica</w:t>
      </w:r>
    </w:p>
    <w:p>
      <w:r>
        <w:rPr>
          <w:sz w:val="22"/>
        </w:rPr>
        <w:t xml:space="preserve">Se muestran </w:t>
      </w:r>
      <w:r>
        <w:rPr>
          <w:b/>
          <w:sz w:val="22"/>
        </w:rPr>
        <w:t>7 tarjetas</w:t>
      </w:r>
      <w:r>
        <w:rPr>
          <w:sz w:val="22"/>
        </w:rPr>
        <w:t xml:space="preserve"> con cantidad y porcentaje de pacientes por condición. Cada tarjeta es cliqueable y abre un modal con la lista filtrada.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Icono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Hipertensión Arterial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danger (rojo)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heart-pulse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Diabetes Mellitus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warning (amarillo)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droplet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Tabaquismo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(gris)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smoking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Obesidad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(negro)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weight-scale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Antecedentes Familiares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 (azul)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Consumo de Alcohol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(azul)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wine-bottle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Saturación Baja (&lt;85%)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danger (rojo)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lungs</w:t>
            </w:r>
          </w:p>
        </w:tc>
      </w:tr>
    </w:tbl>
    <w:p>
      <w:r>
        <w:rPr>
          <w:i/>
          <w:color w:val="666666"/>
          <w:sz w:val="20"/>
        </w:rPr>
        <w:t>(Captura de pantalla: tarjetas de prevalencia patológica con barras de progreso)</w:t>
      </w:r>
    </w:p>
    <w:p/>
    <w:p>
      <w:pPr>
        <w:pStyle w:val="Heading3"/>
      </w:pPr>
      <w:r>
        <w:t>5.2 Alertas Clínicas</w:t>
      </w:r>
    </w:p>
    <w:p>
      <w:r>
        <w:rPr>
          <w:sz w:val="22"/>
        </w:rPr>
        <w:t>Tres alertas automáticas basadas en umbrales críticos: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Alerta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Umbral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Presión Sistólica 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180 mmHg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rojo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Glucosa 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300 mg/dL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naranja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Saturación de Oxígeno Baja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85%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azul</w:t>
            </w:r>
          </w:p>
        </w:tc>
      </w:tr>
    </w:tbl>
    <w:p>
      <w:r>
        <w:rPr>
          <w:i/>
          <w:color w:val="666666"/>
          <w:sz w:val="20"/>
        </w:rPr>
        <w:t>(Captura de pantalla: tarjetas de alertas clínicas con conteo de pacientes)</w:t>
      </w:r>
    </w:p>
    <w:p/>
    <w:p>
      <w:pPr>
        <w:pStyle w:val="Heading3"/>
      </w:pPr>
      <w:r>
        <w:t>5.3 Segmentación</w:t>
      </w:r>
    </w:p>
    <w:p>
      <w:r>
        <w:rPr>
          <w:b/>
          <w:sz w:val="22"/>
        </w:rPr>
        <w:t xml:space="preserve">Por Nivel de Riesgo: </w:t>
      </w:r>
      <w:r>
        <w:rPr>
          <w:sz w:val="22"/>
        </w:rPr>
        <w:t>Tabla con Bajo, Medio, Alto y Crítico, mostrando cantidad, porcentaje y barra de progreso.</w:t>
      </w:r>
    </w:p>
    <w:p>
      <w:r>
        <w:rPr>
          <w:b/>
          <w:sz w:val="22"/>
        </w:rPr>
        <w:t xml:space="preserve">Por Grupo de Edad: </w:t>
      </w:r>
      <w:r>
        <w:rPr>
          <w:sz w:val="22"/>
        </w:rPr>
        <w:t>Tabla con los grupos etarios '&lt;30', '30-49', '50-69', '70+', cantidad, porcentaje y barra de progreso.</w:t>
      </w:r>
    </w:p>
    <w:p>
      <w:r>
        <w:rPr>
          <w:i/>
          <w:color w:val="666666"/>
          <w:sz w:val="20"/>
        </w:rPr>
        <w:t>(Captura de pantalla: ambas tablas de segmentación lado a lado)</w:t>
      </w:r>
    </w:p>
    <w:p/>
    <w:p>
      <w:pPr>
        <w:pStyle w:val="Heading3"/>
      </w:pPr>
      <w:r>
        <w:t>5.4 Matriz Descriptiva de Variables Biomédicas</w:t>
      </w:r>
    </w:p>
    <w:p>
      <w:r>
        <w:rPr>
          <w:sz w:val="22"/>
        </w:rPr>
        <w:t>Tabla con estadísticos descriptivos de las variables continuas: count, media, mediana, moda, desviación estándar, mínimo, máximo, P25 y P75.</w:t>
      </w:r>
    </w:p>
    <w:p>
      <w:r>
        <w:rPr>
          <w:i/>
          <w:color w:val="666666"/>
          <w:sz w:val="20"/>
        </w:rPr>
        <w:t>(Captura de pantalla: matriz descriptiva completa con todas las variables)</w:t>
      </w:r>
    </w:p>
    <w:p/>
    <w:p>
      <w:pPr>
        <w:pStyle w:val="Heading3"/>
      </w:pPr>
      <w:r>
        <w:t>5.5 Distribuciones Clínicas</w:t>
      </w:r>
    </w:p>
    <w:p>
      <w:r>
        <w:rPr>
          <w:b/>
          <w:sz w:val="22"/>
        </w:rPr>
        <w:t xml:space="preserve">Distribución del IMC Poblacional: </w:t>
      </w:r>
      <w:r>
        <w:rPr>
          <w:sz w:val="22"/>
        </w:rPr>
        <w:t>Clasificación del IMC (Bajo peso, Normal, Sobrepeso, Obesidad) con cantidad de pacientes y porcentajes.</w:t>
      </w:r>
    </w:p>
    <w:p>
      <w:r>
        <w:rPr>
          <w:b/>
          <w:sz w:val="22"/>
        </w:rPr>
        <w:t xml:space="preserve">Comorbilidades por Sexo: </w:t>
      </w:r>
      <w:r>
        <w:rPr>
          <w:sz w:val="22"/>
        </w:rPr>
        <w:t>Desglose de condiciones patológicas por Masculino y Femenino, con cantidad y porcentaje.</w:t>
      </w:r>
    </w:p>
    <w:p>
      <w:r>
        <w:rPr>
          <w:i/>
          <w:color w:val="666666"/>
          <w:sz w:val="20"/>
        </w:rPr>
        <w:t>(Captura de pantalla: distribución IMC y comorbilidades por sexo lado a lado)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