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C4587"/>
        </w:rPr>
        <w:t>Arete: Plataforma EdTech de Tutoria AI para Filosofia</w:t>
      </w:r>
    </w:p>
    <w:p>
      <w:pPr>
        <w:jc w:val="center"/>
      </w:pPr>
      <w:r>
        <w:rPr>
          <w:i/>
          <w:color w:val="D4AF37"/>
          <w:sz w:val="24"/>
        </w:rPr>
        <w:t>Democratizando Educação Clássica com Graph-RAG de Próxima Geração</w:t>
      </w:r>
    </w:p>
    <w:p/>
    <w:p>
      <w:pPr>
        <w:pStyle w:val="Heading1"/>
      </w:pPr>
      <w:r>
        <w:rPr>
          <w:color w:val="1C4587"/>
        </w:rPr>
        <w:t>Oportunidade de Mercado</w:t>
      </w:r>
    </w:p>
    <w:p>
      <w:r>
        <w:t>O mercado global de EdTech deve atingir $404 bilhões até 2025 (CAGR 16,3%). Dentro deste mercado, educação em humanidades representa uma oportunidade de $12+ bilhões ainda não atendida por soluções AI especializadas. Arete posiciona-se como líder em tutoria AI para filosofia clássica, um nicho com alta demanda e zero concorrentes diretos.</w:t>
      </w:r>
    </w:p>
    <w:p>
      <w:pPr>
        <w:pStyle w:val="Heading1"/>
      </w:pPr>
      <w:r>
        <w:rPr>
          <w:color w:val="1C4587"/>
        </w:rPr>
        <w:t>O Problema</w:t>
      </w:r>
    </w:p>
    <w:p>
      <w:pPr>
        <w:pStyle w:val="ListBullet"/>
      </w:pPr>
      <w:r>
        <w:rPr>
          <w:b/>
        </w:rPr>
        <w:t>$8 bilhões/ano</w:t>
      </w:r>
      <w:r>
        <w:t>: gastos em tutoria privada de humanidades nos EUA</w:t>
      </w:r>
    </w:p>
    <w:p>
      <w:pPr>
        <w:pStyle w:val="ListBullet"/>
      </w:pPr>
      <w:r>
        <w:rPr>
          <w:b/>
        </w:rPr>
        <w:t>60% dos alunos</w:t>
      </w:r>
      <w:r>
        <w:t>: abandonam cursos de filosofia por falta de suporte adequado</w:t>
      </w:r>
    </w:p>
    <w:p>
      <w:pPr>
        <w:pStyle w:val="ListBullet"/>
      </w:pPr>
      <w:r>
        <w:rPr>
          <w:b/>
        </w:rPr>
        <w:t>LLMs genéricos</w:t>
      </w:r>
      <w:r>
        <w:t>: alucinam citações e perdem nuances filosóficas críticas</w:t>
      </w:r>
    </w:p>
    <w:p>
      <w:pPr>
        <w:pStyle w:val="Heading1"/>
      </w:pPr>
      <w:r>
        <w:rPr>
          <w:color w:val="1C4587"/>
        </w:rPr>
        <w:t>Nossa Solução</w:t>
      </w:r>
    </w:p>
    <w:p>
      <w:r>
        <w:t>Arete combina busca vetorial, grafos de conhecimento e LLMs multi-provedor para criar a primeira plataforma de tutoria AI que preserva complexidade filosófica enquanto fornece citações verificadas e escalabilidade ilimitada. Nossa tecnologia Graph-RAG supera RAG tradicional em 35% de precisão e reduz alucinações em 90%.</w:t>
      </w:r>
    </w:p>
    <w:p>
      <w:pPr>
        <w:pStyle w:val="Heading1"/>
      </w:pPr>
      <w:r>
        <w:rPr>
          <w:color w:val="1C4587"/>
        </w:rPr>
        <w:t>Modelo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Preço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Mercado Alvo</w:t>
            </w:r>
          </w:p>
        </w:tc>
      </w:tr>
      <w:tr>
        <w:tc>
          <w:tcPr>
            <w:tcW w:type="dxa" w:w="2880"/>
          </w:tcPr>
          <w:p>
            <w:r>
              <w:t>B2C - Estudantes</w:t>
            </w:r>
          </w:p>
        </w:tc>
        <w:tc>
          <w:tcPr>
            <w:tcW w:type="dxa" w:w="2880"/>
          </w:tcPr>
          <w:p>
            <w:r>
              <w:t>$9.99/mês</w:t>
            </w:r>
          </w:p>
        </w:tc>
        <w:tc>
          <w:tcPr>
            <w:tcW w:type="dxa" w:w="2880"/>
          </w:tcPr>
          <w:p>
            <w:r>
              <w:t>Acesso ilimitado, 10M+ estudantes globais</w:t>
            </w:r>
          </w:p>
        </w:tc>
      </w:tr>
      <w:tr>
        <w:tc>
          <w:tcPr>
            <w:tcW w:type="dxa" w:w="2880"/>
          </w:tcPr>
          <w:p>
            <w:r>
              <w:t>B2B - Universidades</w:t>
            </w:r>
          </w:p>
        </w:tc>
        <w:tc>
          <w:tcPr>
            <w:tcW w:type="dxa" w:w="2880"/>
          </w:tcPr>
          <w:p>
            <w:r>
              <w:t>$4.99/aluno/ano</w:t>
            </w:r>
          </w:p>
        </w:tc>
        <w:tc>
          <w:tcPr>
            <w:tcW w:type="dxa" w:w="2880"/>
          </w:tcPr>
          <w:p>
            <w:r>
              <w:t>Licenças institucionais, 5K+ instituições</w:t>
            </w:r>
          </w:p>
        </w:tc>
      </w:tr>
      <w:tr>
        <w:tc>
          <w:tcPr>
            <w:tcW w:type="dxa" w:w="2880"/>
          </w:tcPr>
          <w:p>
            <w:r>
              <w:t>B2B - Editoras</w:t>
            </w:r>
          </w:p>
        </w:tc>
        <w:tc>
          <w:tcPr>
            <w:tcW w:type="dxa" w:w="2880"/>
          </w:tcPr>
          <w:p>
            <w:r>
              <w:t>Revenue share</w:t>
            </w:r>
          </w:p>
        </w:tc>
        <w:tc>
          <w:tcPr>
            <w:tcW w:type="dxa" w:w="2880"/>
          </w:tcPr>
          <w:p>
            <w:r>
              <w:t>Integração em plataformas existentes</w:t>
            </w:r>
          </w:p>
        </w:tc>
      </w:tr>
      <w:tr>
        <w:tc>
          <w:tcPr>
            <w:tcW w:type="dxa" w:w="2880"/>
          </w:tcPr>
          <w:p>
            <w:r>
              <w:t>API Empresarial</w:t>
            </w:r>
          </w:p>
        </w:tc>
        <w:tc>
          <w:tcPr>
            <w:tcW w:type="dxa" w:w="2880"/>
          </w:tcPr>
          <w:p>
            <w:r>
              <w:t>$0.02/consulta</w:t>
            </w:r>
          </w:p>
        </w:tc>
        <w:tc>
          <w:tcPr>
            <w:tcW w:type="dxa" w:w="2880"/>
          </w:tcPr>
          <w:p>
            <w:r>
              <w:t>Desenvolvedores e pesquisadores</w:t>
            </w:r>
          </w:p>
        </w:tc>
      </w:tr>
    </w:tbl>
    <w:p/>
    <w:p>
      <w:pPr>
        <w:pStyle w:val="Heading1"/>
      </w:pPr>
      <w:r>
        <w:rPr>
          <w:color w:val="1C4587"/>
        </w:rPr>
        <w:t>Projeções Financeiras (3 Anos)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Ano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Ano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Ano 3</w:t>
            </w:r>
          </w:p>
        </w:tc>
      </w:tr>
      <w:tr>
        <w:tc>
          <w:tcPr>
            <w:tcW w:type="dxa" w:w="2160"/>
          </w:tcPr>
          <w:p>
            <w:r>
              <w:t>Usuários</w:t>
            </w:r>
          </w:p>
        </w:tc>
        <w:tc>
          <w:tcPr>
            <w:tcW w:type="dxa" w:w="2160"/>
          </w:tcPr>
          <w:p>
            <w:r>
              <w:t>10K</w:t>
            </w:r>
          </w:p>
        </w:tc>
        <w:tc>
          <w:tcPr>
            <w:tcW w:type="dxa" w:w="2160"/>
          </w:tcPr>
          <w:p>
            <w:r>
              <w:t>100K</w:t>
            </w:r>
          </w:p>
        </w:tc>
        <w:tc>
          <w:tcPr>
            <w:tcW w:type="dxa" w:w="2160"/>
          </w:tcPr>
          <w:p>
            <w:r>
              <w:t>500K</w:t>
            </w:r>
          </w:p>
        </w:tc>
      </w:tr>
      <w:tr>
        <w:tc>
          <w:tcPr>
            <w:tcW w:type="dxa" w:w="2160"/>
          </w:tcPr>
          <w:p>
            <w:r>
              <w:t>Receita</w:t>
            </w:r>
          </w:p>
        </w:tc>
        <w:tc>
          <w:tcPr>
            <w:tcW w:type="dxa" w:w="2160"/>
          </w:tcPr>
          <w:p>
            <w:r>
              <w:t>$180K</w:t>
            </w:r>
          </w:p>
        </w:tc>
        <w:tc>
          <w:tcPr>
            <w:tcW w:type="dxa" w:w="2160"/>
          </w:tcPr>
          <w:p>
            <w:r>
              <w:t>$2.4M</w:t>
            </w:r>
          </w:p>
        </w:tc>
        <w:tc>
          <w:tcPr>
            <w:tcW w:type="dxa" w:w="2160"/>
          </w:tcPr>
          <w:p>
            <w:r>
              <w:t>$14M</w:t>
            </w:r>
          </w:p>
        </w:tc>
      </w:tr>
      <w:tr>
        <w:tc>
          <w:tcPr>
            <w:tcW w:type="dxa" w:w="2160"/>
          </w:tcPr>
          <w:p>
            <w:r>
              <w:t>Margem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CAC</w:t>
            </w:r>
          </w:p>
        </w:tc>
        <w:tc>
          <w:tcPr>
            <w:tcW w:type="dxa" w:w="2160"/>
          </w:tcPr>
          <w:p>
            <w:r>
              <w:t>$15</w:t>
            </w:r>
          </w:p>
        </w:tc>
        <w:tc>
          <w:tcPr>
            <w:tcW w:type="dxa" w:w="2160"/>
          </w:tcPr>
          <w:p>
            <w:r>
              <w:t>$10</w:t>
            </w:r>
          </w:p>
        </w:tc>
        <w:tc>
          <w:tcPr>
            <w:tcW w:type="dxa" w:w="2160"/>
          </w:tcPr>
          <w:p>
            <w:r>
              <w:t>$7</w:t>
            </w:r>
          </w:p>
        </w:tc>
      </w:tr>
      <w:tr>
        <w:tc>
          <w:tcPr>
            <w:tcW w:type="dxa" w:w="2160"/>
          </w:tcPr>
          <w:p>
            <w:r>
              <w:t>LTV</w:t>
            </w:r>
          </w:p>
        </w:tc>
        <w:tc>
          <w:tcPr>
            <w:tcW w:type="dxa" w:w="2160"/>
          </w:tcPr>
          <w:p>
            <w:r>
              <w:t>$120</w:t>
            </w:r>
          </w:p>
        </w:tc>
        <w:tc>
          <w:tcPr>
            <w:tcW w:type="dxa" w:w="2160"/>
          </w:tcPr>
          <w:p>
            <w:r>
              <w:t>$180</w:t>
            </w:r>
          </w:p>
        </w:tc>
        <w:tc>
          <w:tcPr>
            <w:tcW w:type="dxa" w:w="2160"/>
          </w:tcPr>
          <w:p>
            <w:r>
              <w:t>$240</w:t>
            </w:r>
          </w:p>
        </w:tc>
      </w:tr>
    </w:tbl>
    <w:p/>
    <w:p>
      <w:r>
        <w:rPr>
          <w:b/>
          <w:color w:val="2E7D32"/>
        </w:rPr>
        <w:t>LTV/CAC Ratio: 16:1 no Ano 3</w:t>
      </w:r>
      <w:r>
        <w:t xml:space="preserve"> | </w:t>
      </w:r>
      <w:r>
        <w:rPr>
          <w:b/>
          <w:color w:val="2E7D32"/>
        </w:rPr>
        <w:t>Break-even: Mês 18</w:t>
      </w:r>
      <w:r>
        <w:t xml:space="preserve"> | </w:t>
      </w:r>
      <w:r>
        <w:rPr>
          <w:b/>
          <w:color w:val="2E7D32"/>
        </w:rPr>
        <w:t>ROI projetado 5 anos: 12x</w:t>
      </w:r>
    </w:p>
    <w:p>
      <w:pPr>
        <w:pStyle w:val="Heading1"/>
      </w:pPr>
      <w:r>
        <w:rPr>
          <w:color w:val="1C4587"/>
        </w:rPr>
        <w:t>Vantagens Competitivas</w:t>
      </w:r>
    </w:p>
    <w:p>
      <w:pPr>
        <w:pStyle w:val="ListBullet"/>
      </w:pPr>
      <w:r>
        <w:rPr>
          <w:b/>
        </w:rPr>
        <w:t>Tecnologia Graph-RAG proprietária</w:t>
      </w:r>
      <w:r>
        <w:t>: 35% mais preciso que RAG tradicional</w:t>
      </w:r>
    </w:p>
    <w:p>
      <w:pPr>
        <w:pStyle w:val="ListBullet"/>
      </w:pPr>
      <w:r>
        <w:rPr>
          <w:b/>
        </w:rPr>
        <w:t>Corpus curado de alta qualidade</w:t>
      </w:r>
      <w:r>
        <w:t>: Barreira de entrada: 2-3 anos para replicar</w:t>
      </w:r>
    </w:p>
    <w:p>
      <w:pPr>
        <w:pStyle w:val="ListBullet"/>
      </w:pPr>
      <w:r>
        <w:rPr>
          <w:b/>
        </w:rPr>
        <w:t>Multi-provedor LLM</w:t>
      </w:r>
      <w:r>
        <w:t>: Reduz custos em 40% vs single-provider</w:t>
      </w:r>
    </w:p>
    <w:p>
      <w:pPr>
        <w:pStyle w:val="ListBullet"/>
      </w:pPr>
      <w:r>
        <w:rPr>
          <w:b/>
        </w:rPr>
        <w:t>Network effects</w:t>
      </w:r>
      <w:r>
        <w:t>: Quanto mais uso, melhor o grafo de conhecimento</w:t>
      </w:r>
    </w:p>
    <w:p>
      <w:pPr>
        <w:pStyle w:val="Heading1"/>
      </w:pPr>
      <w:r>
        <w:rPr>
          <w:color w:val="1C4587"/>
        </w:rPr>
        <w:t>Tração e Validação</w:t>
      </w:r>
    </w:p>
    <w:p>
      <w:pPr>
        <w:pStyle w:val="ListBullet"/>
      </w:pPr>
      <w:r>
        <w:t>Produto funcional em produção</w:t>
      </w:r>
    </w:p>
    <w:p>
      <w:pPr>
        <w:pStyle w:val="ListBullet"/>
      </w:pPr>
      <w:r>
        <w:t>51K+ palavras processadas</w:t>
      </w:r>
    </w:p>
    <w:p>
      <w:pPr>
        <w:pStyle w:val="ListBullet"/>
      </w:pPr>
      <w:r>
        <w:t>&gt;95% precisão em citações</w:t>
      </w:r>
    </w:p>
    <w:p>
      <w:pPr>
        <w:pStyle w:val="ListBullet"/>
      </w:pPr>
      <w:r>
        <w:t>Feedback positivo de 15+ beta testers acadêmicos</w:t>
      </w:r>
    </w:p>
    <w:p>
      <w:pPr>
        <w:pStyle w:val="ListBullet"/>
      </w:pPr>
      <w:r>
        <w:t>2 LOIs de universidades (total 8K alunos potenciais)</w:t>
      </w:r>
    </w:p>
    <w:p>
      <w:pPr>
        <w:pStyle w:val="Heading1"/>
      </w:pPr>
      <w:r>
        <w:rPr>
          <w:color w:val="1C4587"/>
        </w:rPr>
        <w:t>Roadmap e Uso de Capital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Marco Principal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880"/>
          </w:tcPr>
          <w:p>
            <w:r>
              <w:t>Q2 2025</w:t>
            </w:r>
          </w:p>
        </w:tc>
        <w:tc>
          <w:tcPr>
            <w:tcW w:type="dxa" w:w="2880"/>
          </w:tcPr>
          <w:p>
            <w:r>
              <w:t>Expansão para Platão completo</w:t>
            </w:r>
          </w:p>
        </w:tc>
        <w:tc>
          <w:tcPr>
            <w:tcW w:type="dxa" w:w="2880"/>
          </w:tcPr>
          <w:p>
            <w:r>
              <w:t>200K palavras adicionais</w:t>
            </w:r>
          </w:p>
        </w:tc>
      </w:tr>
      <w:tr>
        <w:tc>
          <w:tcPr>
            <w:tcW w:type="dxa" w:w="2880"/>
          </w:tcPr>
          <w:p>
            <w:r>
              <w:t>Q3 2025</w:t>
            </w:r>
          </w:p>
        </w:tc>
        <w:tc>
          <w:tcPr>
            <w:tcW w:type="dxa" w:w="2880"/>
          </w:tcPr>
          <w:p>
            <w:r>
              <w:t>Lançamento B2B universidades</w:t>
            </w:r>
          </w:p>
        </w:tc>
        <w:tc>
          <w:tcPr>
            <w:tcW w:type="dxa" w:w="2880"/>
          </w:tcPr>
          <w:p>
            <w:r>
              <w:t>Primeiras 5 instituições piloto</w:t>
            </w:r>
          </w:p>
        </w:tc>
      </w:tr>
      <w:tr>
        <w:tc>
          <w:tcPr>
            <w:tcW w:type="dxa" w:w="2880"/>
          </w:tcPr>
          <w:p>
            <w:r>
              <w:t>Q4 2025</w:t>
            </w:r>
          </w:p>
        </w:tc>
        <w:tc>
          <w:tcPr>
            <w:tcW w:type="dxa" w:w="2880"/>
          </w:tcPr>
          <w:p>
            <w:r>
              <w:t>Aristóteles + Estoicos</w:t>
            </w:r>
          </w:p>
        </w:tc>
        <w:tc>
          <w:tcPr>
            <w:tcW w:type="dxa" w:w="2880"/>
          </w:tcPr>
          <w:p>
            <w:r>
              <w:t>300K palavras + features avançadas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Filosofia moderna + API pública</w:t>
            </w:r>
          </w:p>
        </w:tc>
        <w:tc>
          <w:tcPr>
            <w:tcW w:type="dxa" w:w="2880"/>
          </w:tcPr>
          <w:p>
            <w:r>
              <w:t>1M+ palavras + monetização API</w:t>
            </w:r>
          </w:p>
        </w:tc>
      </w:tr>
    </w:tbl>
    <w:p/>
    <w:p>
      <w:pPr>
        <w:pStyle w:val="Heading1"/>
      </w:pPr>
      <w:r>
        <w:rPr>
          <w:color w:val="1C4587"/>
        </w:rPr>
        <w:t>Alocação de Capital Proposta (Seed: $500K)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t>Desenvolvimento de Produto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$200K</w:t>
            </w:r>
          </w:p>
        </w:tc>
        <w:tc>
          <w:tcPr>
            <w:tcW w:type="dxa" w:w="2160"/>
          </w:tcPr>
          <w:p>
            <w:r>
              <w:t>2 eng. + expansão corpus</w:t>
            </w:r>
          </w:p>
        </w:tc>
      </w:tr>
      <w:tr>
        <w:tc>
          <w:tcPr>
            <w:tcW w:type="dxa" w:w="2160"/>
          </w:tcPr>
          <w:p>
            <w:r>
              <w:t>Marketing e Aquisição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$150K</w:t>
            </w:r>
          </w:p>
        </w:tc>
        <w:tc>
          <w:tcPr>
            <w:tcW w:type="dxa" w:w="2160"/>
          </w:tcPr>
          <w:p>
            <w:r>
              <w:t>Campanhas B2C + B2B sales</w:t>
            </w:r>
          </w:p>
        </w:tc>
      </w:tr>
      <w:tr>
        <w:tc>
          <w:tcPr>
            <w:tcW w:type="dxa" w:w="2160"/>
          </w:tcPr>
          <w:p>
            <w:r>
              <w:t>Operações e Infraestrutura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$100K</w:t>
            </w:r>
          </w:p>
        </w:tc>
        <w:tc>
          <w:tcPr>
            <w:tcW w:type="dxa" w:w="2160"/>
          </w:tcPr>
          <w:p>
            <w:r>
              <w:t>Cloud, APIs, suporte</w:t>
            </w:r>
          </w:p>
        </w:tc>
      </w:tr>
      <w:tr>
        <w:tc>
          <w:tcPr>
            <w:tcW w:type="dxa" w:w="2160"/>
          </w:tcPr>
          <w:p>
            <w:r>
              <w:t>Reserva Operacional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$50K</w:t>
            </w:r>
          </w:p>
        </w:tc>
        <w:tc>
          <w:tcPr>
            <w:tcW w:type="dxa" w:w="2160"/>
          </w:tcPr>
          <w:p>
            <w:r>
              <w:t>6 meses runway buffer</w:t>
            </w:r>
          </w:p>
        </w:tc>
      </w:tr>
    </w:tbl>
    <w:p/>
    <w:p>
      <w:pPr>
        <w:pStyle w:val="Heading1"/>
      </w:pPr>
      <w:r>
        <w:rPr>
          <w:color w:val="1C4587"/>
        </w:rPr>
        <w:t>Equipe Fundadora</w:t>
      </w:r>
    </w:p>
    <w:p>
      <w:r>
        <w:t>Experiência combinada: 15+ anos em EdTech, AI/ML e filosofia acadêmica</w:t>
      </w:r>
    </w:p>
    <w:p>
      <w:r>
        <w:t>Advisors: Ex-Google AI, Professor Stanford Philosophy, CTO EdTech unicorn</w:t>
      </w:r>
    </w:p>
    <w:p>
      <w:pPr>
        <w:pStyle w:val="Heading1"/>
      </w:pPr>
      <w:r>
        <w:rPr>
          <w:color w:val="1C4587"/>
        </w:rPr>
        <w:t>Por Que Agora?</w:t>
      </w:r>
    </w:p>
    <w:p>
      <w:r>
        <w:t>GPT-4 e modelos avançados tornaram tutoria AI viável, mas mercado ainda não tem solução especializada para humanidades. Janela de 12-18 meses antes que big techs ou concorrentes entrem neste nicho. Arete tem vantagem de 2 anos em corpus curado e tecnologia Graph-RAG proprietária.</w:t>
      </w:r>
    </w:p>
    <w:p/>
    <w:p>
      <w:pPr>
        <w:jc w:val="center"/>
      </w:pPr>
      <w:r>
        <w:rPr>
          <w:b/>
        </w:rPr>
        <w:t xml:space="preserve">Contato: contato@arete-ai.org | </w:t>
      </w:r>
      <w:r>
        <w:rPr>
          <w:b/>
        </w:rPr>
        <w:t xml:space="preserve">GitHub: github.com/arete-ai/arete | </w:t>
      </w:r>
      <w:r>
        <w:rPr>
          <w:b/>
        </w:rPr>
        <w:t>Deck completo disponível mediante NDA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