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96D5007" w14:textId="30CCBB49" w:rsidR="006A595E" w:rsidRPr="00FF434E" w:rsidRDefault="00F94A6F" w:rsidP="006A595E">
      <w:pPr>
        <w:jc w:val="center"/>
        <w:rPr>
          <w:bCs/>
          <w:sz w:val="32"/>
          <w:szCs w:val="32"/>
          <w:lang w:val="en-GB"/>
        </w:rPr>
      </w:pPr>
      <w:r w:rsidRPr="00FF434E">
        <w:rPr>
          <w:bCs/>
          <w:sz w:val="32"/>
          <w:szCs w:val="32"/>
          <w:lang w:val="en-GB"/>
        </w:rPr>
        <w:t>A “</w:t>
      </w:r>
      <w:r w:rsidR="001159D3">
        <w:rPr>
          <w:bCs/>
          <w:sz w:val="32"/>
          <w:szCs w:val="32"/>
          <w:lang w:val="en-GB"/>
        </w:rPr>
        <w:t xml:space="preserve">Scope, </w:t>
      </w:r>
      <w:r w:rsidRPr="00FF434E">
        <w:rPr>
          <w:bCs/>
          <w:sz w:val="32"/>
          <w:szCs w:val="32"/>
          <w:lang w:val="en-GB"/>
        </w:rPr>
        <w:t>Simulation and Story” approach to identify future spatial development scenarios</w:t>
      </w:r>
    </w:p>
    <w:p w14:paraId="096D5008" w14:textId="77777777" w:rsidR="006A595E" w:rsidRPr="00FF434E" w:rsidRDefault="006A595E" w:rsidP="006A595E">
      <w:pPr>
        <w:jc w:val="center"/>
        <w:rPr>
          <w:sz w:val="28"/>
          <w:szCs w:val="28"/>
          <w:lang w:val="en-GB"/>
        </w:rPr>
      </w:pPr>
    </w:p>
    <w:p w14:paraId="096D5009" w14:textId="59F70F00" w:rsidR="006A595E" w:rsidRPr="00146325" w:rsidRDefault="00F94A6F" w:rsidP="00146325">
      <w:pPr>
        <w:jc w:val="center"/>
        <w:rPr>
          <w:sz w:val="28"/>
          <w:szCs w:val="28"/>
          <w:vertAlign w:val="superscript"/>
          <w:lang w:val="en-GB"/>
        </w:rPr>
      </w:pPr>
      <w:r w:rsidRPr="00FF434E">
        <w:rPr>
          <w:sz w:val="28"/>
          <w:szCs w:val="28"/>
          <w:lang w:val="en-GB"/>
        </w:rPr>
        <w:t>Orlando Roman</w:t>
      </w:r>
      <w:r w:rsidR="006A595E" w:rsidRPr="00FF434E">
        <w:rPr>
          <w:rStyle w:val="FootnoteReference"/>
          <w:sz w:val="28"/>
          <w:szCs w:val="28"/>
          <w:lang w:val="en-GB"/>
        </w:rPr>
        <w:footnoteReference w:id="1"/>
      </w:r>
      <w:r w:rsidR="006A595E" w:rsidRPr="00FF434E">
        <w:rPr>
          <w:sz w:val="28"/>
          <w:szCs w:val="28"/>
          <w:vertAlign w:val="superscript"/>
          <w:lang w:val="en-GB"/>
        </w:rPr>
        <w:t>1</w:t>
      </w:r>
      <w:r w:rsidR="006A595E" w:rsidRPr="00FF434E">
        <w:rPr>
          <w:sz w:val="28"/>
          <w:szCs w:val="28"/>
          <w:lang w:val="en-GB"/>
        </w:rPr>
        <w:t xml:space="preserve">, </w:t>
      </w:r>
      <w:r w:rsidRPr="00FF434E">
        <w:rPr>
          <w:sz w:val="28"/>
          <w:szCs w:val="28"/>
          <w:lang w:val="en-GB"/>
        </w:rPr>
        <w:t>Jan Kwakkel</w:t>
      </w:r>
      <w:r w:rsidR="006A595E" w:rsidRPr="00FF434E">
        <w:rPr>
          <w:rStyle w:val="FootnoteReference"/>
          <w:sz w:val="28"/>
          <w:szCs w:val="28"/>
          <w:lang w:val="en-GB"/>
        </w:rPr>
        <w:footnoteReference w:id="2"/>
      </w:r>
      <w:r w:rsidR="00146325">
        <w:rPr>
          <w:sz w:val="28"/>
          <w:szCs w:val="28"/>
          <w:vertAlign w:val="superscript"/>
          <w:lang w:val="en-GB"/>
        </w:rPr>
        <w:t>2</w:t>
      </w:r>
      <w:r w:rsidR="00146325">
        <w:rPr>
          <w:sz w:val="28"/>
          <w:szCs w:val="28"/>
          <w:lang w:val="en-GB"/>
        </w:rPr>
        <w:t xml:space="preserve">, </w:t>
      </w:r>
      <w:r w:rsidRPr="00FF434E">
        <w:rPr>
          <w:sz w:val="28"/>
          <w:szCs w:val="28"/>
          <w:lang w:val="en-GB"/>
        </w:rPr>
        <w:t>Bryan Adey</w:t>
      </w:r>
      <w:r w:rsidR="006A595E" w:rsidRPr="00FF434E">
        <w:rPr>
          <w:rStyle w:val="FootnoteReference"/>
          <w:sz w:val="28"/>
          <w:szCs w:val="28"/>
          <w:lang w:val="en-GB"/>
        </w:rPr>
        <w:footnoteReference w:id="3"/>
      </w:r>
      <w:r w:rsidR="00146325">
        <w:rPr>
          <w:sz w:val="28"/>
          <w:szCs w:val="28"/>
          <w:vertAlign w:val="superscript"/>
          <w:lang w:val="en-GB"/>
        </w:rPr>
        <w:t xml:space="preserve">1 </w:t>
      </w:r>
      <w:r w:rsidR="00146325" w:rsidRPr="00FF434E">
        <w:rPr>
          <w:sz w:val="28"/>
          <w:szCs w:val="28"/>
          <w:lang w:val="en-GB"/>
        </w:rPr>
        <w:t xml:space="preserve">and </w:t>
      </w:r>
      <w:r w:rsidR="00146325">
        <w:rPr>
          <w:sz w:val="28"/>
          <w:szCs w:val="28"/>
          <w:lang w:val="en-GB"/>
        </w:rPr>
        <w:t>Benjamin Black</w:t>
      </w:r>
      <w:r w:rsidR="00146325" w:rsidRPr="00FF434E">
        <w:rPr>
          <w:rStyle w:val="FootnoteReference"/>
          <w:sz w:val="28"/>
          <w:szCs w:val="28"/>
          <w:lang w:val="en-GB"/>
        </w:rPr>
        <w:footnoteReference w:id="4"/>
      </w:r>
      <w:r w:rsidR="00146325">
        <w:rPr>
          <w:sz w:val="28"/>
          <w:szCs w:val="28"/>
          <w:vertAlign w:val="superscript"/>
          <w:lang w:val="en-GB"/>
        </w:rPr>
        <w:t>1</w:t>
      </w:r>
    </w:p>
    <w:p w14:paraId="096D500A" w14:textId="77777777" w:rsidR="006A595E" w:rsidRPr="00FF434E" w:rsidRDefault="006A595E" w:rsidP="006A595E">
      <w:pPr>
        <w:rPr>
          <w:lang w:val="en-GB"/>
        </w:rPr>
      </w:pPr>
    </w:p>
    <w:p w14:paraId="096D500B" w14:textId="1122B513" w:rsidR="006A595E" w:rsidRPr="00FF434E" w:rsidRDefault="006A595E" w:rsidP="006A595E">
      <w:pPr>
        <w:jc w:val="center"/>
        <w:rPr>
          <w:lang w:val="en-GB"/>
        </w:rPr>
      </w:pPr>
      <w:r w:rsidRPr="00FF434E">
        <w:rPr>
          <w:vertAlign w:val="superscript"/>
          <w:lang w:val="en-GB"/>
        </w:rPr>
        <w:t>1</w:t>
      </w:r>
      <w:r w:rsidRPr="00FF434E">
        <w:rPr>
          <w:lang w:val="en-GB"/>
        </w:rPr>
        <w:t xml:space="preserve">Department </w:t>
      </w:r>
      <w:r w:rsidR="00FD3090">
        <w:rPr>
          <w:lang w:val="en-GB"/>
        </w:rPr>
        <w:t>of Civil, Environmental and Geomatic Engineering. ETH Zürich</w:t>
      </w:r>
      <w:r w:rsidRPr="00FF434E">
        <w:rPr>
          <w:lang w:val="en-GB"/>
        </w:rPr>
        <w:t xml:space="preserve"> </w:t>
      </w:r>
    </w:p>
    <w:p w14:paraId="096D500C" w14:textId="59EA9F8E" w:rsidR="006A595E" w:rsidRPr="00FF434E" w:rsidRDefault="006A595E" w:rsidP="006A595E">
      <w:pPr>
        <w:jc w:val="center"/>
        <w:rPr>
          <w:lang w:val="en-GB"/>
        </w:rPr>
      </w:pPr>
      <w:r w:rsidRPr="00FF434E">
        <w:rPr>
          <w:vertAlign w:val="superscript"/>
          <w:lang w:val="en-GB"/>
        </w:rPr>
        <w:t>2</w:t>
      </w:r>
      <w:r w:rsidR="00FD3090">
        <w:rPr>
          <w:lang w:val="en-GB"/>
        </w:rPr>
        <w:t>Faculty of Technology Policy and Management. TU Delft</w:t>
      </w:r>
    </w:p>
    <w:p w14:paraId="096D500D" w14:textId="77777777" w:rsidR="006A595E" w:rsidRPr="00FF434E" w:rsidRDefault="006A595E" w:rsidP="006A595E">
      <w:pPr>
        <w:jc w:val="center"/>
        <w:rPr>
          <w:lang w:val="en-GB"/>
        </w:rPr>
      </w:pPr>
    </w:p>
    <w:p w14:paraId="096D500E" w14:textId="2F7BD5C5" w:rsidR="006A595E" w:rsidRPr="00FF434E" w:rsidRDefault="00D919A1" w:rsidP="006A595E">
      <w:pPr>
        <w:jc w:val="center"/>
        <w:rPr>
          <w:lang w:val="en-GB"/>
        </w:rPr>
      </w:pPr>
      <w:r w:rsidRPr="00FF434E">
        <w:rPr>
          <w:lang w:val="en-GB"/>
        </w:rPr>
        <w:t>CUPUM</w:t>
      </w:r>
      <w:r w:rsidR="00A40D87" w:rsidRPr="00FF434E">
        <w:rPr>
          <w:lang w:val="en-GB"/>
        </w:rPr>
        <w:t xml:space="preserve"> </w:t>
      </w:r>
      <w:r w:rsidRPr="00FF434E">
        <w:rPr>
          <w:lang w:val="en-GB"/>
        </w:rPr>
        <w:t>2025</w:t>
      </w:r>
    </w:p>
    <w:p w14:paraId="096D500F" w14:textId="77777777" w:rsidR="006A595E" w:rsidRPr="00FF434E" w:rsidRDefault="006A595E" w:rsidP="006A595E">
      <w:pPr>
        <w:jc w:val="center"/>
        <w:rPr>
          <w:lang w:val="en-GB"/>
        </w:rPr>
      </w:pPr>
    </w:p>
    <w:p w14:paraId="096D5010" w14:textId="77777777" w:rsidR="006A595E" w:rsidRPr="00FF434E" w:rsidRDefault="006A595E" w:rsidP="006A595E">
      <w:pPr>
        <w:jc w:val="center"/>
        <w:rPr>
          <w:lang w:val="en-GB"/>
        </w:rPr>
      </w:pPr>
      <w:r w:rsidRPr="00FF434E">
        <w:rPr>
          <w:b/>
          <w:lang w:val="en-GB"/>
        </w:rPr>
        <w:t>Summary</w:t>
      </w:r>
    </w:p>
    <w:p w14:paraId="096D5011" w14:textId="53A62CB1" w:rsidR="006A595E" w:rsidRPr="00FF434E" w:rsidRDefault="001159D3" w:rsidP="001159D3">
      <w:pPr>
        <w:rPr>
          <w:lang w:val="en-GB"/>
        </w:rPr>
      </w:pPr>
      <w:r w:rsidRPr="001159D3">
        <w:rPr>
          <w:lang w:val="en-GB"/>
        </w:rPr>
        <w:t xml:space="preserve">This study shows </w:t>
      </w:r>
      <w:r>
        <w:rPr>
          <w:lang w:val="en-GB"/>
        </w:rPr>
        <w:t>introduces</w:t>
      </w:r>
      <w:r w:rsidRPr="001159D3">
        <w:rPr>
          <w:lang w:val="en-GB"/>
        </w:rPr>
        <w:t xml:space="preserve"> a “Scope, Simulation and Story” approach, instead of the classical “Story and Simulation”</w:t>
      </w:r>
      <w:r>
        <w:rPr>
          <w:lang w:val="en-GB"/>
        </w:rPr>
        <w:t xml:space="preserve">. </w:t>
      </w:r>
      <w:proofErr w:type="gramStart"/>
      <w:r>
        <w:rPr>
          <w:lang w:val="en-GB"/>
        </w:rPr>
        <w:t>Our approach</w:t>
      </w:r>
      <w:r w:rsidRPr="001159D3">
        <w:rPr>
          <w:lang w:val="en-GB"/>
        </w:rPr>
        <w:t>,</w:t>
      </w:r>
      <w:proofErr w:type="gramEnd"/>
      <w:r w:rsidRPr="001159D3">
        <w:rPr>
          <w:lang w:val="en-GB"/>
        </w:rPr>
        <w:t xml:space="preserve"> has potential to enhance scenario planning</w:t>
      </w:r>
      <w:r>
        <w:rPr>
          <w:lang w:val="en-GB"/>
        </w:rPr>
        <w:t xml:space="preserve"> by integrating participatory processes,</w:t>
      </w:r>
      <w:r w:rsidRPr="001159D3">
        <w:rPr>
          <w:lang w:val="en-GB"/>
        </w:rPr>
        <w:t xml:space="preserve"> spatial development simulation models</w:t>
      </w:r>
      <w:r>
        <w:rPr>
          <w:lang w:val="en-GB"/>
        </w:rPr>
        <w:t xml:space="preserve"> and spatial analysis</w:t>
      </w:r>
      <w:r w:rsidRPr="001159D3">
        <w:rPr>
          <w:lang w:val="en-GB"/>
        </w:rPr>
        <w:t xml:space="preserve"> to define scenario boundaries that reflect spatial patterns. We apply this method to simulate spatial development in the Canton of Zurich for 2050 using a cellular automata Land Use Cover Change (LUCC) model. By varying LUCC transition rates and the influence of different LUCC drivers, we simulated an ensemble of 800 potential futures and iden</w:t>
      </w:r>
      <w:r>
        <w:rPr>
          <w:lang w:val="en-GB"/>
        </w:rPr>
        <w:t xml:space="preserve">tified four distinct scenarios. </w:t>
      </w:r>
    </w:p>
    <w:p w14:paraId="096D5012" w14:textId="77777777" w:rsidR="006A595E" w:rsidRPr="00FF434E" w:rsidRDefault="006A595E" w:rsidP="006A595E">
      <w:pPr>
        <w:jc w:val="center"/>
        <w:rPr>
          <w:lang w:val="en-GB"/>
        </w:rPr>
      </w:pPr>
    </w:p>
    <w:p w14:paraId="096D5013" w14:textId="6D17D7CE" w:rsidR="006A595E" w:rsidRPr="00FD3090" w:rsidRDefault="006A595E" w:rsidP="006A595E">
      <w:pPr>
        <w:jc w:val="center"/>
        <w:rPr>
          <w:i/>
          <w:lang w:val="en-US"/>
        </w:rPr>
      </w:pPr>
      <w:r w:rsidRPr="00FF434E">
        <w:rPr>
          <w:b/>
          <w:lang w:val="en-GB"/>
        </w:rPr>
        <w:t>KEYWORDS:</w:t>
      </w:r>
      <w:r w:rsidRPr="00FF434E">
        <w:rPr>
          <w:lang w:val="en-GB"/>
        </w:rPr>
        <w:t xml:space="preserve"> </w:t>
      </w:r>
      <w:r w:rsidR="00FD3090">
        <w:rPr>
          <w:lang w:val="en-GB"/>
        </w:rPr>
        <w:t xml:space="preserve">Scenario Planning, Spatial Clustering. </w:t>
      </w:r>
      <w:r w:rsidR="00FD3090" w:rsidRPr="00FD3090">
        <w:rPr>
          <w:lang w:val="en-US"/>
        </w:rPr>
        <w:t>Cellular Automata, Model-based Planning Support, Decision-Makin</w:t>
      </w:r>
      <w:r w:rsidR="00FD3090">
        <w:rPr>
          <w:lang w:val="en-US"/>
        </w:rPr>
        <w:t>g under Deep Uncertainty</w:t>
      </w:r>
    </w:p>
    <w:p w14:paraId="096D5014" w14:textId="77777777" w:rsidR="002A5780" w:rsidRPr="00FD3090" w:rsidRDefault="002A5780" w:rsidP="006A595E">
      <w:pPr>
        <w:rPr>
          <w:lang w:val="en-US"/>
        </w:rPr>
      </w:pPr>
    </w:p>
    <w:p w14:paraId="096D5015" w14:textId="77777777" w:rsidR="00865BC6" w:rsidRPr="00FD3090" w:rsidRDefault="00865BC6" w:rsidP="006A595E">
      <w:pPr>
        <w:rPr>
          <w:lang w:val="en-US"/>
        </w:rPr>
      </w:pPr>
    </w:p>
    <w:p w14:paraId="096D5017" w14:textId="68FC38AF" w:rsidR="007D6F32" w:rsidRPr="00FF434E" w:rsidRDefault="007D6F32" w:rsidP="006A595E">
      <w:pPr>
        <w:pStyle w:val="Heading1"/>
        <w:rPr>
          <w:lang w:val="en-GB"/>
        </w:rPr>
      </w:pPr>
      <w:r w:rsidRPr="00FF434E">
        <w:rPr>
          <w:lang w:val="en-GB"/>
        </w:rPr>
        <w:t>Introduction</w:t>
      </w:r>
      <w:r w:rsidR="002A5780" w:rsidRPr="00FF434E">
        <w:rPr>
          <w:lang w:val="en-GB"/>
        </w:rPr>
        <w:t xml:space="preserve"> </w:t>
      </w:r>
    </w:p>
    <w:p w14:paraId="096D5018" w14:textId="77777777" w:rsidR="007D6F32" w:rsidRPr="00FF434E" w:rsidRDefault="007D6F32" w:rsidP="006A595E">
      <w:pPr>
        <w:pStyle w:val="BodyText"/>
        <w:rPr>
          <w:lang w:val="en-GB"/>
        </w:rPr>
      </w:pPr>
    </w:p>
    <w:p w14:paraId="1AF159F2" w14:textId="208B6B21" w:rsidR="003B5590" w:rsidRPr="00FF434E" w:rsidRDefault="003B5590" w:rsidP="003B5590">
      <w:pPr>
        <w:rPr>
          <w:lang w:val="en-GB"/>
        </w:rPr>
      </w:pPr>
      <w:r w:rsidRPr="00FF434E">
        <w:rPr>
          <w:lang w:val="en-GB"/>
        </w:rPr>
        <w:t>Scenario planning is a growing alternative to traditional planning approaches in recognition of the uncertain and complex interactions between the built and the natural environment. Scenario planning develops alternative stories about the future, as combinations of important drivers of change</w:t>
      </w:r>
      <w:r w:rsidR="00E5545F" w:rsidRPr="00FF434E">
        <w:rPr>
          <w:lang w:val="en-GB"/>
        </w:rPr>
        <w:t xml:space="preserve"> </w:t>
      </w:r>
      <w:r w:rsidR="00E5545F" w:rsidRPr="00FF434E">
        <w:rPr>
          <w:lang w:val="en-GB"/>
        </w:rPr>
        <w:fldChar w:fldCharType="begin"/>
      </w:r>
      <w:r w:rsidR="00FD3090">
        <w:rPr>
          <w:lang w:val="en-GB"/>
        </w:rPr>
        <w:instrText xml:space="preserve"> ADDIN ZOTERO_ITEM CSL_CITATION {"citationID":"SV5U6dxf","properties":{"formattedCitation":"(Avin and Goodspeed, 2020; Abou Jaoude, Mumm and Carlow, 2022)","plainCitation":"(Avin and Goodspeed, 2020; Abou Jaoude, Mumm and Carlow, 2022)","noteIndex":0},"citationItems":[{"id":1676,"uris":["http://zotero.org/users/9117266/items/W8GVXY5W"],"itemData":{"id":1676,"type":"article-journal","abstract":"Problem, research strategy, and findings: Despite growing interest by practitioners in using exploratory scenarios within urban planning practice, there are few detailed guidelines for how to do this. Through the discussion of five case examples, we illustrate different approaches to linking exploratory scenarios to different planning contexts. We conclude by observing that to directly inform a plan, regardless of the specific approach taken, exploratory scenarios in urban planning must incorporate stakeholder values and not only rely on expert judgment and analysis. Takeaway for practice: Exploratory scenarios are effective for analyzing uncertainty within a planning process. However, exploratory scenarios can be incorporated into planning practice in different ways, ranging from workshops among experts that aim to cultivate general learning to complex projects that result in highly detailed scenarios and recommendations for plans. Practitioners can draw on the cases we present to inspire planning methods for particular projects, taking into account specific contexts and goals.","container-title":"Journal of the American Planning Association","DOI":"10.1080/01944363.2020.1746688","ISSN":"0194-4363","issue":"4","note":"publisher: Routledge\n_eprint: https://doi.org/10.1080/01944363.2020.1746688","page":"403-416","source":"Taylor and Francis+NEJM","title":"Using Exploratory Scenarios in Planning Practice","volume":"86","author":[{"family":"Avin","given":"Uri"},{"family":"Goodspeed","given":"Robert"}],"issued":{"date-parts":[["2020",10,1]]},"citation-key":"avinUsingExploratoryScenarios2020"}},{"id":1648,"uris":["http://zotero.org/users/9117266/items/BV6YPXII"],"itemData":{"id":1648,"type":"article-journal","abstract":"Rising complexities and uncertainties have emphasized the need to employ scenario thinking in urban design and planning. While different scenario methods have been widely used across disciplines, a comprehensive review of scenario approaches in planning literature is limited. Thus, we provide an overview of scenarios and existing scenario approaches currently in practice. We also review a scenario building process to provide a guide for developing scenarios in the context of urban design and planning. The process highlights the different steps that contribute to adaptive planning and improve decision-making.","container-title":"Journal of Planning Literature","DOI":"10.1177/08854122221083546","ISSN":"0885-4122","issue":"3","language":"en","note":"publisher: SAGE Publications Inc","page":"467-487","source":"SAGE Journals","title":"An Overview of Scenario Approaches: A Guide for Urban Design and Planning","title-short":"An Overview of Scenario Approaches","volume":"37","author":[{"family":"Abou Jaoude","given":"Grace"},{"family":"Mumm","given":"Olaf"},{"family":"Carlow","given":"Vanessa Miriam"}],"issued":{"date-parts":[["2022",8,1]]},"citation-key":"aboujaoudeOverviewScenarioApproaches2022"}}],"schema":"https://github.com/citation-style-language/schema/raw/master/csl-citation.json"} </w:instrText>
      </w:r>
      <w:r w:rsidR="00E5545F" w:rsidRPr="00FF434E">
        <w:rPr>
          <w:lang w:val="en-GB"/>
        </w:rPr>
        <w:fldChar w:fldCharType="separate"/>
      </w:r>
      <w:r w:rsidR="00FD3090" w:rsidRPr="00FD3090">
        <w:t>(Avin and Goodspeed, 2020; Abou Jaoude, Mumm and Carlow, 2022)</w:t>
      </w:r>
      <w:r w:rsidR="00E5545F" w:rsidRPr="00FF434E">
        <w:rPr>
          <w:lang w:val="en-GB"/>
        </w:rPr>
        <w:fldChar w:fldCharType="end"/>
      </w:r>
      <w:r w:rsidRPr="00FF434E">
        <w:rPr>
          <w:lang w:val="en-GB"/>
        </w:rPr>
        <w:t>. Typically, scenar</w:t>
      </w:r>
      <w:r w:rsidR="005F4053" w:rsidRPr="00FF434E">
        <w:rPr>
          <w:lang w:val="en-GB"/>
        </w:rPr>
        <w:t>ios are developed qualitatively</w:t>
      </w:r>
      <w:r w:rsidRPr="00FF434E">
        <w:rPr>
          <w:lang w:val="en-GB"/>
        </w:rPr>
        <w:t xml:space="preserve">, and only then some quantitative simulation models </w:t>
      </w:r>
      <w:r w:rsidR="000F31A9" w:rsidRPr="00FF434E">
        <w:rPr>
          <w:lang w:val="en-GB"/>
        </w:rPr>
        <w:t>are</w:t>
      </w:r>
      <w:r w:rsidRPr="00FF434E">
        <w:rPr>
          <w:lang w:val="en-GB"/>
        </w:rPr>
        <w:t xml:space="preserve"> used to assess their implications</w:t>
      </w:r>
      <w:r w:rsidR="00E5545F" w:rsidRPr="00FF434E">
        <w:rPr>
          <w:lang w:val="en-GB"/>
        </w:rPr>
        <w:t xml:space="preserve"> </w:t>
      </w:r>
      <w:r w:rsidR="00E5545F" w:rsidRPr="00FF434E">
        <w:rPr>
          <w:lang w:val="en-GB"/>
        </w:rPr>
        <w:fldChar w:fldCharType="begin"/>
      </w:r>
      <w:r w:rsidR="000F31A9" w:rsidRPr="00FF434E">
        <w:rPr>
          <w:lang w:val="en-GB"/>
        </w:rPr>
        <w:instrText xml:space="preserve"> ADDIN ZOTERO_ITEM CSL_CITATION {"citationID":"D9akAOLC","properties":{"formattedCitation":"(Avin and Goodspeed, 2020; Haga {\\i{}et al.}, 2023)","plainCitation":"(Avin and Goodspeed, 2020; Haga et al., 2023)","noteIndex":0},"citationItems":[{"id":1676,"uris":["http://zotero.org/users/9117266/items/W8GVXY5W"],"itemData":{"id":1676,"type":"article-journal","abstract":"Problem, research strategy, and findings: Despite growing interest by practitioners in using exploratory scenarios within urban planning practice, there are few detailed guidelines for how to do this. Through the discussion of five case examples, we illustrate different approaches to linking exploratory scenarios to different planning contexts. We conclude by observing that to directly inform a plan, regardless of the specific approach taken, exploratory scenarios in urban planning must incorporate stakeholder values and not only rely on expert judgment and analysis. Takeaway for practice: Exploratory scenarios are effective for analyzing uncertainty within a planning process. However, exploratory scenarios can be incorporated into planning practice in different ways, ranging from workshops among experts that aim to cultivate general learning to complex projects that result in highly detailed scenarios and recommendations for plans. Practitioners can draw on the cases we present to inspire planning methods for particular projects, taking into account specific contexts and goals.","container-title":"Journal of the American Planning Association","DOI":"10.1080/01944363.2020.1746688","ISSN":"0194-4363","issue":"4","note":"publisher: Routledge\n_eprint: https://doi.org/10.1080/01944363.2020.1746688","page":"403-416","source":"Taylor and Francis+NEJM","title":"Using Exploratory Scenarios in Planning Practice","volume":"86","author":[{"family":"Avin","given":"Uri"},{"family":"Goodspeed","given":"Robert"}],"issued":{"date-parts":[["2020",10,1]]},"citation-key":"avinUsingExploratoryScenarios2020"}},{"id":2377,"uris":["http://zotero.org/users/9117266/items/6IUAU6SS"],"itemData":{"id":2377,"type":"article-journal","abstract":"Envisioning positive scenarios that recognize the multiple values of nature is fundamental for designing transformative changes in local socio-ecological systems. This study developed a protocol with three specifications for operationalizing the Nature Futures Framework (NFF) in a landscape scenario analysis using a multi-objective optimization framework composed of: (1) exploring nature-positive futures, (2) seeking alternative pathways for targets satisfying visions of plural values, and (3) screening key direct drivers to achieve the targets. This research conducted a case study of a rural landscape in northeastern Japan. First, 110 strategies of landscape management options were simulated from 2015 to 2100 using a forest landscape model, LANDIS-II. The simulation developed a data frame of four integrated indicators of the NFF values for each year and strategy. Second, nature-positive strategies were screened using the common values. Pareto optimal strategies were then identified to obtain equally good solutions. Finally, the key response options to achieve good nature-positive futures were identified using decision tree analysis. Our protocol identified (1) multiple, but few nature-positive and Pareto optimal strategies that satisfied NFF visions, (2) nature-positive, but not Pareto optimal strategies, and (3) non-nature-positive strategies. In most Pareto optimal strategies, the maximized value perspectives changed over time. Our protocol also identified key response options to achieve three different NFF value perspectives in the case study area: (1) clear or selective cutting in forestry and (2) solar PV installation on abandoned pastureland in agriculture and energy sectors. We discussed the implication for local landscape management, localizing NFF narratives to develop future scenarios and modeling practice of NFF. The protocol does not depend on a specific model and indicator. Thus, our scalable protocol can be applied to scenarios and model practices in any region to support envisioning plausible, feasible, and positive futures, and designing future stakeholder collaboration.","container-title":"Sustainability Science","DOI":"10.1007/s11625-023-01301-8","ISSN":"1862-4057","journalAbbreviation":"Sustain Sci","language":"en","source":"Springer Link","title":"Modeling desirable futures at local scale by combining the nature futures framework and multi-objective optimization","URL":"https://doi.org/10.1007/s11625-023-01301-8","author":[{"family":"Haga","given":"Chihiro"},{"family":"Maeda","given":"Marimi"},{"family":"Hotta","given":"Wataru"},{"family":"Matsui","given":"Takanori"},{"family":"Nakaoka","given":"Masahiro"},{"family":"Morimoto","given":"Junko"},{"family":"Shibata","given":"Hideaki"},{"family":"Hashimoto","given":"Shizuka"},{"family":"Saito","given":"Osamu"},{"family":"Okayasu","given":"Sana"},{"family":"Kim","given":"HyeJin"},{"family":"Peterson","given":"Garry"}],"accessed":{"date-parts":[["2025",2,5]]},"issued":{"date-parts":[["2023",3,10]]},"citation-key":"hagaModelingDesirableFutures2023"}}],"schema":"https://github.com/citation-style-language/schema/raw/master/csl-citation.json"} </w:instrText>
      </w:r>
      <w:r w:rsidR="00E5545F" w:rsidRPr="00FF434E">
        <w:rPr>
          <w:lang w:val="en-GB"/>
        </w:rPr>
        <w:fldChar w:fldCharType="separate"/>
      </w:r>
      <w:r w:rsidR="000F31A9" w:rsidRPr="00FF434E">
        <w:rPr>
          <w:szCs w:val="24"/>
          <w:lang w:val="en-GB"/>
        </w:rPr>
        <w:t xml:space="preserve">(Avin and Goodspeed, 2020; Haga </w:t>
      </w:r>
      <w:r w:rsidR="000F31A9" w:rsidRPr="00FF434E">
        <w:rPr>
          <w:i/>
          <w:iCs/>
          <w:szCs w:val="24"/>
          <w:lang w:val="en-GB"/>
        </w:rPr>
        <w:t>et al.</w:t>
      </w:r>
      <w:r w:rsidR="000F31A9" w:rsidRPr="00FF434E">
        <w:rPr>
          <w:szCs w:val="24"/>
          <w:lang w:val="en-GB"/>
        </w:rPr>
        <w:t>, 2023)</w:t>
      </w:r>
      <w:r w:rsidR="00E5545F" w:rsidRPr="00FF434E">
        <w:rPr>
          <w:lang w:val="en-GB"/>
        </w:rPr>
        <w:fldChar w:fldCharType="end"/>
      </w:r>
      <w:r w:rsidRPr="00FF434E">
        <w:rPr>
          <w:lang w:val="en-GB"/>
        </w:rPr>
        <w:t xml:space="preserve">. This approach </w:t>
      </w:r>
      <w:r w:rsidR="000F31A9" w:rsidRPr="00FF434E">
        <w:rPr>
          <w:lang w:val="en-GB"/>
        </w:rPr>
        <w:t xml:space="preserve">is usually known as “Scenario Storylines and Quantification” </w:t>
      </w:r>
      <w:r w:rsidR="000F31A9" w:rsidRPr="00FF434E">
        <w:rPr>
          <w:lang w:val="en-GB"/>
        </w:rPr>
        <w:fldChar w:fldCharType="begin"/>
      </w:r>
      <w:r w:rsidR="000F31A9" w:rsidRPr="00FF434E">
        <w:rPr>
          <w:lang w:val="en-GB"/>
        </w:rPr>
        <w:instrText xml:space="preserve"> ADDIN ZOTERO_ITEM CSL_CITATION {"citationID":"xLHNs0tI","properties":{"formattedCitation":"(Nakicenovic and Swart, 2000)","plainCitation":"(Nakicenovic and Swart, 2000)","noteIndex":0},"citationItems":[{"id":2366,"uris":["http://zotero.org/users/9117266/items/IVDNNZVK"],"itemData":{"id":2366,"type":"book","abstract":"IPCC Special Report on Emissions Scenarios Contents: Foreword Preface Summary for policymakers Technical Summary Chapter 1: Background and Overview Chapter 2: An Overview of the Scenario Literature Chapter 3: Scenario Driving Forces Chapter 4: An Overview of Scenarios Chapter 5: Emission Scenarios Chapter 6: Summary Discussions and Recommendations","ISBN":"978-0-521-80081-5","publisher":"Cambridge University Press","title":"Special Report on Emissions Scenarios (SRES) – A Special Report of Working Group III of the Intergovernmental Panel on Climate Change","volume":"559","author":[{"family":"Nakicenovic","given":"Nebojsa"},{"family":"Swart","given":"Rob"}],"issued":{"date-parts":[["2000",7,1]]},"citation-key":"nakicenovicSpecialReportEmissions2000"}}],"schema":"https://github.com/citation-style-language/schema/raw/master/csl-citation.json"} </w:instrText>
      </w:r>
      <w:r w:rsidR="000F31A9" w:rsidRPr="00FF434E">
        <w:rPr>
          <w:lang w:val="en-GB"/>
        </w:rPr>
        <w:fldChar w:fldCharType="separate"/>
      </w:r>
      <w:r w:rsidR="000F31A9" w:rsidRPr="00FF434E">
        <w:rPr>
          <w:lang w:val="en-GB"/>
        </w:rPr>
        <w:t>(Nakicenovic and Swart, 2000)</w:t>
      </w:r>
      <w:r w:rsidR="000F31A9" w:rsidRPr="00FF434E">
        <w:rPr>
          <w:lang w:val="en-GB"/>
        </w:rPr>
        <w:fldChar w:fldCharType="end"/>
      </w:r>
      <w:r w:rsidR="000F31A9" w:rsidRPr="00FF434E">
        <w:rPr>
          <w:lang w:val="en-GB"/>
        </w:rPr>
        <w:t xml:space="preserve"> or “Story and Simulation” </w:t>
      </w:r>
      <w:r w:rsidR="000F31A9" w:rsidRPr="00FF434E">
        <w:rPr>
          <w:lang w:val="en-GB"/>
        </w:rPr>
        <w:fldChar w:fldCharType="begin"/>
      </w:r>
      <w:r w:rsidR="000F31A9" w:rsidRPr="00FF434E">
        <w:rPr>
          <w:lang w:val="en-GB"/>
        </w:rPr>
        <w:instrText xml:space="preserve"> ADDIN ZOTERO_ITEM CSL_CITATION {"citationID":"ldHbc8CV","properties":{"formattedCitation":"(Alcamo, 2008)","plainCitation":"(Alcamo, 2008)","noteIndex":0},"citationItems":[{"id":2353,"uris":["http://zotero.org/users/9117266/items/CPNV7L87"],"itemData":{"id":2353,"type":"chapter","abstract":"This chapter discusses the pros and cons of qualitative and quantitative scenarios and the way they fulfill the different requirements of scenario developers and users. It also describes major international scenario exercises in which combined scenarios have been used. This international experience is distilled into a general procedure for combining qualitative and quantitative scenarios called the “story and simulation” (SAS) approach. In the chapter, the successes and drawbacks of this approach are pointed out and some ideas are presented for producing more scientifically sound scenarios. The qualitative storylines provide an understandable vehicle for communicating the messages of the scenarios and can express the more complex dimensions and interconnectedness of environmental problems. The quantitative scenarios provide a consistency check to the different assumptions of the qualitative scenarios and the numerical data often needed in environmental studies. To capitalize on their advantages, qualitative and quantitative scenarios have been combined in recent international scenario exercises.","collection-title":"Environmental Futures","container-title":"Developments in Integrated Environmental Assessment","note":"DOI: 10.1016/S1574-101X(08)00406-7","page":"123-150","publisher":"Elsevier","source":"ScienceDirect","title":"Chapter Six The SAS Approach: Combining Qualitative and Quantitative Knowledge in Environmental Scenarios","title-short":"Chapter Six The SAS Approach","URL":"https://www.sciencedirect.com/science/article/pii/S1574101X08004067","volume":"2","author":[{"family":"Alcamo","given":"Joseph"}],"editor":[{"family":"Alcamo","given":"Joseph"}],"accessed":{"date-parts":[["2024",11,29]]},"issued":{"date-parts":[["2008",1,1]]},"citation-key":"alcamoChapterSixSAS2008"}}],"schema":"https://github.com/citation-style-language/schema/raw/master/csl-citation.json"} </w:instrText>
      </w:r>
      <w:r w:rsidR="000F31A9" w:rsidRPr="00FF434E">
        <w:rPr>
          <w:lang w:val="en-GB"/>
        </w:rPr>
        <w:fldChar w:fldCharType="separate"/>
      </w:r>
      <w:r w:rsidR="000F31A9" w:rsidRPr="00FF434E">
        <w:rPr>
          <w:rFonts w:cs="Arial"/>
          <w:lang w:val="en-GB"/>
        </w:rPr>
        <w:t>(Alcamo, 2008)</w:t>
      </w:r>
      <w:r w:rsidR="000F31A9" w:rsidRPr="00FF434E">
        <w:rPr>
          <w:lang w:val="en-GB"/>
        </w:rPr>
        <w:fldChar w:fldCharType="end"/>
      </w:r>
      <w:r w:rsidRPr="00FF434E">
        <w:rPr>
          <w:lang w:val="en-GB"/>
        </w:rPr>
        <w:t xml:space="preserve">. </w:t>
      </w:r>
    </w:p>
    <w:p w14:paraId="044A2ABA" w14:textId="11325A6A" w:rsidR="00D2006C" w:rsidRPr="00FF434E" w:rsidRDefault="00D2006C" w:rsidP="003B5590">
      <w:pPr>
        <w:rPr>
          <w:lang w:val="en-GB"/>
        </w:rPr>
      </w:pPr>
    </w:p>
    <w:p w14:paraId="3E5968A6" w14:textId="70CA0D9D" w:rsidR="00D2006C" w:rsidRPr="00FF434E" w:rsidRDefault="0036336D" w:rsidP="00D2006C">
      <w:pPr>
        <w:rPr>
          <w:lang w:val="en-GB"/>
        </w:rPr>
      </w:pPr>
      <w:r w:rsidRPr="00FF434E">
        <w:rPr>
          <w:lang w:val="en-GB"/>
        </w:rPr>
        <w:t xml:space="preserve">Some challenges when using this approach </w:t>
      </w:r>
      <w:r w:rsidR="00286788" w:rsidRPr="00FF434E">
        <w:rPr>
          <w:lang w:val="en-GB"/>
        </w:rPr>
        <w:t>have been highlighted in the policy analysis literature</w:t>
      </w:r>
      <w:r w:rsidR="00D2006C" w:rsidRPr="00FF434E">
        <w:rPr>
          <w:lang w:val="en-GB"/>
        </w:rPr>
        <w:t xml:space="preserve"> </w:t>
      </w:r>
      <w:r w:rsidR="00D2006C" w:rsidRPr="00FF434E">
        <w:rPr>
          <w:lang w:val="en-GB"/>
        </w:rPr>
        <w:fldChar w:fldCharType="begin"/>
      </w:r>
      <w:r w:rsidR="000F31A9" w:rsidRPr="00FF434E">
        <w:rPr>
          <w:lang w:val="en-GB"/>
        </w:rPr>
        <w:instrText xml:space="preserve"> ADDIN ZOTERO_ITEM CSL_CITATION {"citationID":"wSc8VCkP","properties":{"formattedCitation":"(Bankes, 1993; Lempert, Popper and Bankes, 2003; Reed {\\i{}et al.}, 2022)","plainCitation":"(Bankes, 1993; Lempert, Popper and Bankes, 2003; Reed et al., 2022)","noteIndex":0},"citationItems":[{"id":"YtXc3oLH/4VpzzwnU","uris":["http://zotero.org/users/9117266/items/8SH5SJ9M"],"itemData":{"id":"cdvhQHJU/giIU02au","type":"article-journal","abstract":"Exploratory modeling is using computational experiments to assist in reasoning about systems where there is significant uncertainty. While frequently confused with the use of models to consolidate knowledge into a package that is used to predict system behavior, exploratory modeling is a very different kind of use, requiring a different methodology for model development. This paper distinguishes these two broad classes of model use, describes some of the approaches used in exploratory modeling, and suggests some technological innovations needed to facilitate it.","container-title":"Operations Research","DOI":"10.1287/opre.41.3.435","ISSN":"0030-364X","issue":"3","note":"publisher: Institute for Operations Research and the Management Sciences (INFORMS)\nCitation Key: Bankes1993","page":"435-449","title":"Exploratory Modeling for Policy Analysis","volume":"41","author":[{"family":"Bankes","given":"Steve"}],"issued":{"date-parts":[["1993",6,1]]},"citation-key":"Bankes1993"}},{"id":1108,"uris":["http://zotero.org/users/9117266/items/AZ57FAKH"],"itemData":{"id":1108,"type":"report","abstract":"&lt;p&gt;The checkered history of predicting the future — e.g., “Man will never fly” — has dissuaded policymakers from considering the long-term effects of decisions. New analytic methods, enabled by modern computers, transform our ability to reason about the future. The authors here demonstrate a quantitative approach to long-term policy analysis (LTPA). Robust methods enable decisionmakers to examine a vast range of futures and design adaptive strategies to be robust across them. Using sustainable development as an example, the authors discuss how these methods apply to LTPA and a wide range of decisionmaking under conditions of deep uncertainty.&lt;/p&gt;","language":"en","publisher":"RAND Corporation","source":"www.rand.org","title":"Shaping the Next One Hundred Years: New Methods for Quantitative, Long-Term Policy Analysis","title-short":"Shaping the Next One Hundred Years","URL":"https://www.rand.org/pubs/monograph_reports/MR1626.html","author":[{"family":"Lempert","given":"Robert J."},{"family":"Popper","given":"Steven W."},{"family":"Bankes","given":"Steven C."}],"accessed":{"date-parts":[["2023",4,19]]},"issued":{"date-parts":[["2003",1,1]]},"citation-key":"lempertShapingNextOne2003"}},{"id":632,"uris":["http://zotero.org/users/9117266/items/G4W7IBZS"],"itemData":{"id":632,"type":"book","note":"Citation Key: Reed_Addressing_Uncertainty_2022\nDOI: 10.5281/zenodo.6110623","publisher":"Zenodo","title":"Addressing uncertainty in multisector dynamics research","URL":"https://uc-ebook.org","author":[{"family":"Reed","given":"Patrick M."},{"family":"Hadjimichael","given":"Antonia"},{"family":"Malek","given":"Keyvan"},{"family":"Karimi","given":"Tina"},{"family":"Vernon","given":"Chris R."},{"family":"Srikrishnan","given":"Vivek"},{"family":"Gupta","given":"Rohini S."},{"family":"Gold","given":"David F."},{"family":"Lee","given":"Ben"},{"family":"Keller","given":"Klaus"},{"family":"Thurber","given":"Travis B."},{"family":"Rice","given":"Jennie S."}],"issued":{"date-parts":[["2022"]]},"citation-key":"Reed_Addressing_Uncertainty_2022"},"label":"page"}],"schema":"https://github.com/citation-style-language/schema/raw/master/csl-citation.json"} </w:instrText>
      </w:r>
      <w:r w:rsidR="00D2006C" w:rsidRPr="00FF434E">
        <w:rPr>
          <w:lang w:val="en-GB"/>
        </w:rPr>
        <w:fldChar w:fldCharType="separate"/>
      </w:r>
      <w:r w:rsidR="000F31A9" w:rsidRPr="00FF434E">
        <w:rPr>
          <w:szCs w:val="24"/>
          <w:lang w:val="en-GB"/>
        </w:rPr>
        <w:t xml:space="preserve">(Bankes, 1993; Lempert, Popper and Bankes, 2003; Reed </w:t>
      </w:r>
      <w:r w:rsidR="000F31A9" w:rsidRPr="00FF434E">
        <w:rPr>
          <w:i/>
          <w:iCs/>
          <w:szCs w:val="24"/>
          <w:lang w:val="en-GB"/>
        </w:rPr>
        <w:t>et al.</w:t>
      </w:r>
      <w:r w:rsidR="000F31A9" w:rsidRPr="00FF434E">
        <w:rPr>
          <w:szCs w:val="24"/>
          <w:lang w:val="en-GB"/>
        </w:rPr>
        <w:t>, 2022)</w:t>
      </w:r>
      <w:r w:rsidR="00D2006C" w:rsidRPr="00FF434E">
        <w:rPr>
          <w:lang w:val="en-GB"/>
        </w:rPr>
        <w:fldChar w:fldCharType="end"/>
      </w:r>
      <w:r w:rsidR="00D2006C" w:rsidRPr="00FF434E">
        <w:rPr>
          <w:lang w:val="en-GB"/>
        </w:rPr>
        <w:t xml:space="preserve">. </w:t>
      </w:r>
      <w:r w:rsidR="0093040A" w:rsidRPr="00FF434E">
        <w:rPr>
          <w:lang w:val="en-GB"/>
        </w:rPr>
        <w:t xml:space="preserve">Figure 1 </w:t>
      </w:r>
      <w:r w:rsidR="00FF434E" w:rsidRPr="00FF434E">
        <w:rPr>
          <w:lang w:val="en-GB"/>
        </w:rPr>
        <w:t>schematises</w:t>
      </w:r>
      <w:r w:rsidR="005F4053" w:rsidRPr="00FF434E">
        <w:rPr>
          <w:lang w:val="en-GB"/>
        </w:rPr>
        <w:t xml:space="preserve"> these main challenges through a</w:t>
      </w:r>
      <w:r w:rsidRPr="00FF434E">
        <w:rPr>
          <w:lang w:val="en-GB"/>
        </w:rPr>
        <w:t xml:space="preserve"> 2x2 scenario matrix</w:t>
      </w:r>
      <w:r w:rsidR="005F4053" w:rsidRPr="00FF434E">
        <w:rPr>
          <w:lang w:val="en-GB"/>
        </w:rPr>
        <w:t xml:space="preserve"> diagram</w:t>
      </w:r>
      <w:r w:rsidRPr="00FF434E">
        <w:rPr>
          <w:lang w:val="en-GB"/>
        </w:rPr>
        <w:t xml:space="preserve">, where four scenarios are </w:t>
      </w:r>
      <w:r w:rsidR="00286788" w:rsidRPr="00FF434E">
        <w:rPr>
          <w:lang w:val="en-GB"/>
        </w:rPr>
        <w:t xml:space="preserve">proposed as </w:t>
      </w:r>
      <w:r w:rsidR="0018492B">
        <w:rPr>
          <w:lang w:val="en-GB"/>
        </w:rPr>
        <w:t xml:space="preserve">the four </w:t>
      </w:r>
      <w:r w:rsidRPr="00FF434E">
        <w:rPr>
          <w:lang w:val="en-GB"/>
        </w:rPr>
        <w:t>combinations of “low” and “high” values of the two drivers</w:t>
      </w:r>
      <w:r w:rsidR="005F4053" w:rsidRPr="00FF434E">
        <w:rPr>
          <w:lang w:val="en-GB"/>
        </w:rPr>
        <w:t>, X and Y,</w:t>
      </w:r>
      <w:r w:rsidRPr="00FF434E">
        <w:rPr>
          <w:lang w:val="en-GB"/>
        </w:rPr>
        <w:t xml:space="preserve"> </w:t>
      </w:r>
      <w:r w:rsidR="00286788" w:rsidRPr="00FF434E">
        <w:rPr>
          <w:lang w:val="en-GB"/>
        </w:rPr>
        <w:t xml:space="preserve">assigned </w:t>
      </w:r>
      <w:r w:rsidRPr="00FF434E">
        <w:rPr>
          <w:lang w:val="en-GB"/>
        </w:rPr>
        <w:t xml:space="preserve">in each axis. </w:t>
      </w:r>
      <w:r w:rsidR="0018492B">
        <w:rPr>
          <w:lang w:val="en-GB"/>
        </w:rPr>
        <w:t xml:space="preserve">The first challenge is to identify the </w:t>
      </w:r>
      <w:r w:rsidR="005F4053" w:rsidRPr="00FF434E">
        <w:rPr>
          <w:lang w:val="en-GB"/>
        </w:rPr>
        <w:t>main drivers</w:t>
      </w:r>
      <w:r w:rsidR="0018492B">
        <w:rPr>
          <w:lang w:val="en-GB"/>
        </w:rPr>
        <w:t xml:space="preserve"> (X and Y)</w:t>
      </w:r>
      <w:r w:rsidR="005F4053" w:rsidRPr="00FF434E">
        <w:rPr>
          <w:lang w:val="en-GB"/>
        </w:rPr>
        <w:t xml:space="preserve">, which </w:t>
      </w:r>
      <w:r w:rsidR="0018492B">
        <w:rPr>
          <w:lang w:val="en-GB"/>
        </w:rPr>
        <w:t>is usually done</w:t>
      </w:r>
      <w:r w:rsidR="005F4053" w:rsidRPr="00FF434E">
        <w:rPr>
          <w:lang w:val="en-GB"/>
        </w:rPr>
        <w:t xml:space="preserve"> qualitative</w:t>
      </w:r>
      <w:r w:rsidR="00FF434E">
        <w:rPr>
          <w:lang w:val="en-GB"/>
        </w:rPr>
        <w:t>ly</w:t>
      </w:r>
      <w:r w:rsidR="005F4053" w:rsidRPr="00FF434E">
        <w:rPr>
          <w:lang w:val="en-GB"/>
        </w:rPr>
        <w:t xml:space="preserve"> </w:t>
      </w:r>
      <w:r w:rsidR="0018492B">
        <w:rPr>
          <w:lang w:val="en-GB"/>
        </w:rPr>
        <w:t>through</w:t>
      </w:r>
      <w:r w:rsidR="005F4053" w:rsidRPr="00FF434E">
        <w:rPr>
          <w:lang w:val="en-GB"/>
        </w:rPr>
        <w:t xml:space="preserve"> expert elicitation or participatory processes</w:t>
      </w:r>
      <w:r w:rsidR="006B5342" w:rsidRPr="00FF434E">
        <w:rPr>
          <w:lang w:val="en-GB"/>
        </w:rPr>
        <w:t>.</w:t>
      </w:r>
      <w:r w:rsidR="005F4053" w:rsidRPr="00FF434E">
        <w:rPr>
          <w:lang w:val="en-GB"/>
        </w:rPr>
        <w:t xml:space="preserve"> </w:t>
      </w:r>
      <w:r w:rsidR="0018492B">
        <w:rPr>
          <w:lang w:val="en-GB"/>
        </w:rPr>
        <w:t>This is difficult to do intuitively g</w:t>
      </w:r>
      <w:r w:rsidR="005F4053" w:rsidRPr="00FF434E">
        <w:rPr>
          <w:lang w:val="en-GB"/>
        </w:rPr>
        <w:t xml:space="preserve">iven the high number of </w:t>
      </w:r>
      <w:r w:rsidR="00FF434E">
        <w:rPr>
          <w:lang w:val="en-GB"/>
        </w:rPr>
        <w:t>drivers of</w:t>
      </w:r>
      <w:r w:rsidR="005F4053" w:rsidRPr="00FF434E">
        <w:rPr>
          <w:lang w:val="en-GB"/>
        </w:rPr>
        <w:t xml:space="preserve"> urban development (e</w:t>
      </w:r>
      <w:r w:rsidR="00FF434E">
        <w:rPr>
          <w:lang w:val="en-GB"/>
        </w:rPr>
        <w:t>.</w:t>
      </w:r>
      <w:r w:rsidR="005F4053" w:rsidRPr="00FF434E">
        <w:rPr>
          <w:lang w:val="en-GB"/>
        </w:rPr>
        <w:t>g</w:t>
      </w:r>
      <w:r w:rsidR="00FF434E">
        <w:rPr>
          <w:lang w:val="en-GB"/>
        </w:rPr>
        <w:t>.</w:t>
      </w:r>
      <w:r w:rsidR="005F4053" w:rsidRPr="00FF434E">
        <w:rPr>
          <w:lang w:val="en-GB"/>
        </w:rPr>
        <w:t xml:space="preserve"> economic, environmental, so</w:t>
      </w:r>
      <w:r w:rsidR="0018492B">
        <w:rPr>
          <w:lang w:val="en-GB"/>
        </w:rPr>
        <w:t>cial and technological factors)</w:t>
      </w:r>
      <w:r w:rsidR="006B5342" w:rsidRPr="00FF434E">
        <w:rPr>
          <w:lang w:val="en-GB"/>
        </w:rPr>
        <w:t>.</w:t>
      </w:r>
      <w:r w:rsidR="005F4053" w:rsidRPr="00FF434E">
        <w:rPr>
          <w:lang w:val="en-GB"/>
        </w:rPr>
        <w:t xml:space="preserve"> </w:t>
      </w:r>
      <w:r w:rsidR="006B5342" w:rsidRPr="00FF434E">
        <w:rPr>
          <w:lang w:val="en-GB"/>
        </w:rPr>
        <w:t xml:space="preserve">Second, scenarios should be </w:t>
      </w:r>
      <w:r w:rsidR="00AC3F06" w:rsidRPr="00FF434E">
        <w:rPr>
          <w:lang w:val="en-GB"/>
        </w:rPr>
        <w:t>determined</w:t>
      </w:r>
      <w:r w:rsidR="006B5342" w:rsidRPr="00FF434E">
        <w:rPr>
          <w:lang w:val="en-GB"/>
        </w:rPr>
        <w:t xml:space="preserve"> based on the relevance of their </w:t>
      </w:r>
      <w:r w:rsidR="00AC3F06" w:rsidRPr="00FF434E">
        <w:rPr>
          <w:lang w:val="en-GB"/>
        </w:rPr>
        <w:t>implications</w:t>
      </w:r>
      <w:r w:rsidR="006B5342" w:rsidRPr="00FF434E">
        <w:rPr>
          <w:lang w:val="en-GB"/>
        </w:rPr>
        <w:t xml:space="preserve"> (i</w:t>
      </w:r>
      <w:r w:rsidR="00AC3F06" w:rsidRPr="00FF434E">
        <w:rPr>
          <w:lang w:val="en-GB"/>
        </w:rPr>
        <w:t>.</w:t>
      </w:r>
      <w:r w:rsidR="006B5342" w:rsidRPr="00FF434E">
        <w:rPr>
          <w:lang w:val="en-GB"/>
        </w:rPr>
        <w:t>e</w:t>
      </w:r>
      <w:r w:rsidR="00AC3F06" w:rsidRPr="00FF434E">
        <w:rPr>
          <w:lang w:val="en-GB"/>
        </w:rPr>
        <w:t>.</w:t>
      </w:r>
      <w:r w:rsidR="006B5342" w:rsidRPr="00FF434E">
        <w:rPr>
          <w:lang w:val="en-GB"/>
        </w:rPr>
        <w:t xml:space="preserve"> </w:t>
      </w:r>
      <w:r w:rsidR="0018492B">
        <w:rPr>
          <w:lang w:val="en-GB"/>
        </w:rPr>
        <w:t>planning outcomes or goals</w:t>
      </w:r>
      <w:r w:rsidR="006B5342" w:rsidRPr="00FF434E">
        <w:rPr>
          <w:lang w:val="en-GB"/>
        </w:rPr>
        <w:t xml:space="preserve">). When using a predefined subdivision of </w:t>
      </w:r>
      <w:r w:rsidR="00AC3F06" w:rsidRPr="00FF434E">
        <w:rPr>
          <w:lang w:val="en-GB"/>
        </w:rPr>
        <w:t>drivers</w:t>
      </w:r>
      <w:r w:rsidR="006B5342" w:rsidRPr="00FF434E">
        <w:rPr>
          <w:lang w:val="en-GB"/>
        </w:rPr>
        <w:t xml:space="preserve"> (e</w:t>
      </w:r>
      <w:r w:rsidR="00AC3F06" w:rsidRPr="00FF434E">
        <w:rPr>
          <w:lang w:val="en-GB"/>
        </w:rPr>
        <w:t>.</w:t>
      </w:r>
      <w:r w:rsidR="006B5342" w:rsidRPr="00FF434E">
        <w:rPr>
          <w:lang w:val="en-GB"/>
        </w:rPr>
        <w:t>g</w:t>
      </w:r>
      <w:r w:rsidR="00AC3F06" w:rsidRPr="00FF434E">
        <w:rPr>
          <w:lang w:val="en-GB"/>
        </w:rPr>
        <w:t>.</w:t>
      </w:r>
      <w:r w:rsidR="006B5342" w:rsidRPr="00FF434E">
        <w:rPr>
          <w:lang w:val="en-GB"/>
        </w:rPr>
        <w:t xml:space="preserve"> combinations of high and low) it is difficult to ensure that the </w:t>
      </w:r>
      <w:r w:rsidR="00AC3F06" w:rsidRPr="00FF434E">
        <w:rPr>
          <w:lang w:val="en-GB"/>
        </w:rPr>
        <w:t xml:space="preserve">implications of the </w:t>
      </w:r>
      <w:r w:rsidR="006B5342" w:rsidRPr="00FF434E">
        <w:rPr>
          <w:lang w:val="en-GB"/>
        </w:rPr>
        <w:t xml:space="preserve">scenarios are </w:t>
      </w:r>
      <w:r w:rsidR="0018492B">
        <w:rPr>
          <w:lang w:val="en-GB"/>
        </w:rPr>
        <w:t>relevant and</w:t>
      </w:r>
      <w:r w:rsidR="006B5342" w:rsidRPr="00FF434E">
        <w:rPr>
          <w:lang w:val="en-GB"/>
        </w:rPr>
        <w:t xml:space="preserve"> different</w:t>
      </w:r>
      <w:r w:rsidR="0018492B">
        <w:rPr>
          <w:lang w:val="en-GB"/>
        </w:rPr>
        <w:t xml:space="preserve"> between them</w:t>
      </w:r>
      <w:r w:rsidR="00CB1E8B" w:rsidRPr="00FF434E">
        <w:rPr>
          <w:lang w:val="en-GB"/>
        </w:rPr>
        <w:t>.</w:t>
      </w:r>
      <w:r w:rsidR="00AC3F06" w:rsidRPr="00FF434E">
        <w:rPr>
          <w:lang w:val="en-GB"/>
        </w:rPr>
        <w:t xml:space="preserve"> It is also difficult to </w:t>
      </w:r>
      <w:r w:rsidR="006B5342" w:rsidRPr="00FF434E">
        <w:rPr>
          <w:lang w:val="en-GB"/>
        </w:rPr>
        <w:t xml:space="preserve">define a more sensible boundary between </w:t>
      </w:r>
      <w:r w:rsidR="00AC3F06" w:rsidRPr="00FF434E">
        <w:rPr>
          <w:lang w:val="en-GB"/>
        </w:rPr>
        <w:t>scenarios instead of the categorical “low” and “high”</w:t>
      </w:r>
      <w:r w:rsidR="006B5342" w:rsidRPr="00FF434E">
        <w:rPr>
          <w:lang w:val="en-GB"/>
        </w:rPr>
        <w:t>. Third, the said predefined subdivision of scenarios risks missing out</w:t>
      </w:r>
      <w:r w:rsidR="006274C3" w:rsidRPr="00FF434E">
        <w:rPr>
          <w:lang w:val="en-GB"/>
        </w:rPr>
        <w:t xml:space="preserve"> some</w:t>
      </w:r>
      <w:r w:rsidR="00AC3F06" w:rsidRPr="00FF434E">
        <w:rPr>
          <w:lang w:val="en-GB"/>
        </w:rPr>
        <w:t xml:space="preserve"> </w:t>
      </w:r>
      <w:r w:rsidR="00766089">
        <w:rPr>
          <w:lang w:val="en-GB"/>
        </w:rPr>
        <w:t>subsets of the scenario space that do not fit one of the quadrants perfectly</w:t>
      </w:r>
      <w:r w:rsidR="00AC3F06" w:rsidRPr="00FF434E">
        <w:rPr>
          <w:lang w:val="en-GB"/>
        </w:rPr>
        <w:t>.</w:t>
      </w:r>
      <w:r w:rsidR="00CB1E8B" w:rsidRPr="00FF434E">
        <w:rPr>
          <w:lang w:val="en-GB"/>
        </w:rPr>
        <w:t xml:space="preserve"> All the </w:t>
      </w:r>
      <w:r w:rsidR="00766089" w:rsidRPr="00FF434E">
        <w:rPr>
          <w:lang w:val="en-GB"/>
        </w:rPr>
        <w:t>above-mentioned</w:t>
      </w:r>
      <w:r w:rsidR="00CB1E8B" w:rsidRPr="00FF434E">
        <w:rPr>
          <w:lang w:val="en-GB"/>
        </w:rPr>
        <w:t xml:space="preserve"> challenges are especially difficult when the scenarios are spatially explicit, such as in the case of urban development scenarios.</w:t>
      </w:r>
    </w:p>
    <w:p w14:paraId="34574A82" w14:textId="02C86F05" w:rsidR="00B60597" w:rsidRPr="00FF434E" w:rsidRDefault="00CB1E8B" w:rsidP="00D2006C">
      <w:pPr>
        <w:rPr>
          <w:lang w:val="en-GB"/>
        </w:rPr>
      </w:pPr>
      <w:r w:rsidRPr="00FF434E">
        <w:rPr>
          <w:lang w:val="en-GB"/>
        </w:rPr>
        <w:lastRenderedPageBreak/>
        <w:t xml:space="preserve"> </w:t>
      </w:r>
    </w:p>
    <w:p w14:paraId="0849D5C4" w14:textId="5FD7306F" w:rsidR="00B60597" w:rsidRPr="00FF434E" w:rsidRDefault="00B60597" w:rsidP="00D2006C">
      <w:pPr>
        <w:rPr>
          <w:lang w:val="en-GB"/>
        </w:rPr>
      </w:pPr>
    </w:p>
    <w:p w14:paraId="66F5D9FE" w14:textId="006F2037" w:rsidR="00B60597" w:rsidRPr="00FF434E" w:rsidRDefault="00B60597" w:rsidP="00B60597">
      <w:pPr>
        <w:jc w:val="center"/>
        <w:rPr>
          <w:lang w:val="en-GB"/>
        </w:rPr>
      </w:pPr>
      <w:r w:rsidRPr="00FF434E">
        <w:rPr>
          <w:noProof/>
          <w:lang w:val="en-GB"/>
        </w:rPr>
        <w:drawing>
          <wp:inline distT="0" distB="0" distL="0" distR="0" wp14:anchorId="42338BE9" wp14:editId="48CBCA37">
            <wp:extent cx="5127955" cy="2937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243" cy="2941024"/>
                    </a:xfrm>
                    <a:prstGeom prst="rect">
                      <a:avLst/>
                    </a:prstGeom>
                  </pic:spPr>
                </pic:pic>
              </a:graphicData>
            </a:graphic>
          </wp:inline>
        </w:drawing>
      </w:r>
    </w:p>
    <w:p w14:paraId="486CD358" w14:textId="73A8E555" w:rsidR="00B60597" w:rsidRPr="00FF434E" w:rsidRDefault="00B60597" w:rsidP="00B60597">
      <w:pPr>
        <w:pStyle w:val="Caption"/>
        <w:rPr>
          <w:lang w:val="en-GB"/>
        </w:rPr>
      </w:pPr>
      <w:r w:rsidRPr="00FF434E">
        <w:rPr>
          <w:b/>
          <w:lang w:val="en-GB"/>
        </w:rPr>
        <w:t xml:space="preserve">Figure </w:t>
      </w:r>
      <w:r w:rsidRPr="00FF434E">
        <w:rPr>
          <w:b/>
          <w:lang w:val="en-GB"/>
        </w:rPr>
        <w:fldChar w:fldCharType="begin"/>
      </w:r>
      <w:r w:rsidRPr="00FF434E">
        <w:rPr>
          <w:b/>
          <w:lang w:val="en-GB"/>
        </w:rPr>
        <w:instrText xml:space="preserve"> SEQ Figure \* ARABIC </w:instrText>
      </w:r>
      <w:r w:rsidRPr="00FF434E">
        <w:rPr>
          <w:b/>
          <w:lang w:val="en-GB"/>
        </w:rPr>
        <w:fldChar w:fldCharType="separate"/>
      </w:r>
      <w:r w:rsidRPr="00FF434E">
        <w:rPr>
          <w:b/>
          <w:noProof/>
          <w:lang w:val="en-GB"/>
        </w:rPr>
        <w:t>1</w:t>
      </w:r>
      <w:r w:rsidRPr="00FF434E">
        <w:rPr>
          <w:b/>
          <w:lang w:val="en-GB"/>
        </w:rPr>
        <w:fldChar w:fldCharType="end"/>
      </w:r>
      <w:r w:rsidRPr="00FF434E">
        <w:rPr>
          <w:lang w:val="en-GB"/>
        </w:rPr>
        <w:t xml:space="preserve"> </w:t>
      </w:r>
      <w:r w:rsidR="006B5342" w:rsidRPr="00FF434E">
        <w:rPr>
          <w:lang w:val="en-GB"/>
        </w:rPr>
        <w:t>Challenges of qualitative scenario development</w:t>
      </w:r>
      <w:r w:rsidRPr="00FF434E">
        <w:rPr>
          <w:lang w:val="en-GB"/>
        </w:rPr>
        <w:t>.</w:t>
      </w:r>
    </w:p>
    <w:p w14:paraId="19EAE291" w14:textId="77777777" w:rsidR="00E5545F" w:rsidRPr="00FF434E" w:rsidRDefault="00E5545F" w:rsidP="00D2006C">
      <w:pPr>
        <w:rPr>
          <w:lang w:val="en-GB"/>
        </w:rPr>
      </w:pPr>
    </w:p>
    <w:p w14:paraId="7B3F16A7" w14:textId="2345160C" w:rsidR="003B5590" w:rsidRPr="00FF434E" w:rsidRDefault="00D2006C" w:rsidP="003B5590">
      <w:pPr>
        <w:rPr>
          <w:lang w:val="en-GB"/>
        </w:rPr>
      </w:pPr>
      <w:r w:rsidRPr="00FF434E">
        <w:rPr>
          <w:lang w:val="en-GB"/>
        </w:rPr>
        <w:t xml:space="preserve">To tackle such </w:t>
      </w:r>
      <w:r w:rsidR="00CB1E8B" w:rsidRPr="00FF434E">
        <w:rPr>
          <w:lang w:val="en-GB"/>
        </w:rPr>
        <w:t>challenges</w:t>
      </w:r>
      <w:r w:rsidRPr="00FF434E">
        <w:rPr>
          <w:lang w:val="en-GB"/>
        </w:rPr>
        <w:t xml:space="preserve">, </w:t>
      </w:r>
      <w:r w:rsidR="00FE5D44">
        <w:rPr>
          <w:lang w:val="en-GB"/>
        </w:rPr>
        <w:t xml:space="preserve">exploratory modelling uses </w:t>
      </w:r>
      <w:r w:rsidR="00766089">
        <w:rPr>
          <w:lang w:val="en-GB"/>
        </w:rPr>
        <w:t xml:space="preserve">large ensembles of simulations </w:t>
      </w:r>
      <w:r w:rsidRPr="00FF434E">
        <w:rPr>
          <w:lang w:val="en-GB"/>
        </w:rPr>
        <w:t>to explore the impli</w:t>
      </w:r>
      <w:r w:rsidR="00CB1E8B" w:rsidRPr="00FF434E">
        <w:rPr>
          <w:lang w:val="en-GB"/>
        </w:rPr>
        <w:t>cations of future scenarios</w:t>
      </w:r>
      <w:r w:rsidRPr="00FF434E">
        <w:rPr>
          <w:lang w:val="en-GB"/>
        </w:rPr>
        <w:t xml:space="preserve"> </w:t>
      </w:r>
      <w:r w:rsidRPr="00FF434E">
        <w:rPr>
          <w:lang w:val="en-GB"/>
        </w:rPr>
        <w:fldChar w:fldCharType="begin"/>
      </w:r>
      <w:r w:rsidRPr="00FF434E">
        <w:rPr>
          <w:lang w:val="en-GB"/>
        </w:rPr>
        <w:instrText xml:space="preserve"> ADDIN ZOTERO_ITEM CSL_CITATION {"citationID":"THpRD17v","properties":{"formattedCitation":"(Bankes, 1993; Lempert, Popper and Bankes, 2003; Bryant and Lempert, 2010)","plainCitation":"(Bankes, 1993; Lempert, Popper and Bankes, 2003; Bryant and Lempert, 2010)","noteIndex":0},"citationItems":[{"id":"YtXc3oLH/4VpzzwnU","uris":["http://zotero.org/users/9117266/items/8SH5SJ9M"],"itemData":{"id":"eXhtuiqC/Fk1oQNXQ","type":"article-journal","abstract":"Exploratory modeling is using computational experiments to assist in reasoning about systems where there is significant uncertainty. While frequently confused with the use of models to consolidate knowledge into a package that is used to predict system behavior, exploratory modeling is a very different kind of use, requiring a different methodology for model development. This paper distinguishes these two broad classes of model use, describes some of the approaches used in exploratory modeling, and suggests some technological innovations needed to facilitate it.","container-title":"Operations Research","DOI":"10.1287/opre.41.3.435","ISSN":"0030-364X","issue":"3","note":"publisher: Institute for Operations Research and the Management Sciences (INFORMS)\nCitation Key: Bankes1993","page":"435-449","title":"Exploratory Modeling for Policy Analysis","volume":"41","author":[{"family":"Bankes","given":"Steve"}],"issued":{"date-parts":[["1993",6,1]]},"citation-key":"Bankes1993"}},{"id":633,"uris":["http://zotero.org/users/9117266/items/C6JUUKG9"],"itemData":{"id":633,"type":"article-journal","abstract":"Scenarios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debates.","container-title":"Technological Forecasting and Social Change","DOI":"10.1016/j.techfore.2009.08.002","ISSN":"0040-1625","issue":"1","journalAbbreviation":"Technological Forecasting and Social Change","language":"en","page":"34-49","source":"ScienceDirect","title":"Thinking inside the box: A participatory, computer-assisted approach to scenario discovery","title-short":"Thinking inside the box","volume":"77","author":[{"family":"Bryant","given":"Benjamin P."},{"family":"Lempert","given":"Robert J."}],"issued":{"date-parts":[["2010",1,1]]},"citation-key":"bryantThinkingBoxParticipatory2010"}},{"id":1108,"uris":["http://zotero.org/users/9117266/items/AZ57FAKH"],"itemData":{"id":1108,"type":"report","abstract":"&lt;p&gt;The checkered history of predicting the future — e.g., “Man will never fly” — has dissuaded policymakers from considering the long-term effects of decisions. New analytic methods, enabled by modern computers, transform our ability to reason about the future. The authors here demonstrate a quantitative approach to long-term policy analysis (LTPA). Robust methods enable decisionmakers to examine a vast range of futures and design adaptive strategies to be robust across them. Using sustainable development as an example, the authors discuss how these methods apply to LTPA and a wide range of decisionmaking under conditions of deep uncertainty.&lt;/p&gt;","language":"en","publisher":"RAND Corporation","source":"www.rand.org","title":"Shaping the Next One Hundred Years: New Methods for Quantitative, Long-Term Policy Analysis","title-short":"Shaping the Next One Hundred Years","URL":"https://www.rand.org/pubs/monograph_reports/MR1626.html","author":[{"family":"Lempert","given":"Robert J."},{"family":"Popper","given":"Steven W."},{"family":"Bankes","given":"Steven C."}],"accessed":{"date-parts":[["2023",4,19]]},"issued":{"date-parts":[["2003",1,1]]},"citation-key":"lempertShapingNextOne2003"}}],"schema":"https://github.com/citation-style-language/schema/raw/master/csl-citation.json"} </w:instrText>
      </w:r>
      <w:r w:rsidRPr="00FF434E">
        <w:rPr>
          <w:lang w:val="en-GB"/>
        </w:rPr>
        <w:fldChar w:fldCharType="separate"/>
      </w:r>
      <w:r w:rsidRPr="00FF434E">
        <w:rPr>
          <w:lang w:val="en-GB"/>
        </w:rPr>
        <w:t>(Bankes, 1993; Lempert, Popper and Bankes, 2003; Bryant and Lempert, 2010)</w:t>
      </w:r>
      <w:r w:rsidRPr="00FF434E">
        <w:rPr>
          <w:lang w:val="en-GB"/>
        </w:rPr>
        <w:fldChar w:fldCharType="end"/>
      </w:r>
      <w:r w:rsidRPr="00FF434E">
        <w:rPr>
          <w:lang w:val="en-GB"/>
        </w:rPr>
        <w:t>. In this approach, analyt</w:t>
      </w:r>
      <w:r w:rsidR="00CB1E8B" w:rsidRPr="00FF434E">
        <w:rPr>
          <w:lang w:val="en-GB"/>
        </w:rPr>
        <w:t xml:space="preserve">ical procedures are applied to </w:t>
      </w:r>
      <w:r w:rsidR="00766089">
        <w:rPr>
          <w:lang w:val="en-GB"/>
        </w:rPr>
        <w:t xml:space="preserve">the ensemble of simulations to </w:t>
      </w:r>
      <w:r w:rsidR="00CB1E8B" w:rsidRPr="00FF434E">
        <w:rPr>
          <w:lang w:val="en-GB"/>
        </w:rPr>
        <w:t>quantify the influence of multiple drivers and identify</w:t>
      </w:r>
      <w:r w:rsidRPr="00FF434E">
        <w:rPr>
          <w:lang w:val="en-GB"/>
        </w:rPr>
        <w:t xml:space="preserve"> rele</w:t>
      </w:r>
      <w:r w:rsidR="00CB1E8B" w:rsidRPr="00FF434E">
        <w:rPr>
          <w:lang w:val="en-GB"/>
        </w:rPr>
        <w:t>vant scenarios.</w:t>
      </w:r>
      <w:r w:rsidR="00D26B40">
        <w:rPr>
          <w:lang w:val="en-GB"/>
        </w:rPr>
        <w:t xml:space="preserve"> </w:t>
      </w:r>
      <w:r w:rsidR="00D26B40" w:rsidRPr="00FF434E">
        <w:rPr>
          <w:lang w:val="en-GB"/>
        </w:rPr>
        <w:t>This paper introduces a “</w:t>
      </w:r>
      <w:r w:rsidR="00D26B40">
        <w:rPr>
          <w:lang w:val="en-GB"/>
        </w:rPr>
        <w:t xml:space="preserve">Scope, </w:t>
      </w:r>
      <w:r w:rsidR="00D26B40" w:rsidRPr="00FF434E">
        <w:rPr>
          <w:lang w:val="en-GB"/>
        </w:rPr>
        <w:t xml:space="preserve">Simulation and Story” approach, which </w:t>
      </w:r>
      <w:r w:rsidR="00FE5D44">
        <w:rPr>
          <w:lang w:val="en-GB"/>
        </w:rPr>
        <w:t xml:space="preserve">starts with a participatory scoping stage to then </w:t>
      </w:r>
      <w:r w:rsidR="00FE5D44" w:rsidRPr="00FF434E">
        <w:rPr>
          <w:lang w:val="en-GB"/>
        </w:rPr>
        <w:t>leverage</w:t>
      </w:r>
      <w:r w:rsidR="00D26B40" w:rsidRPr="00FF434E">
        <w:rPr>
          <w:lang w:val="en-GB"/>
        </w:rPr>
        <w:t xml:space="preserve"> simulations and quantitative techniques </w:t>
      </w:r>
      <w:r w:rsidR="00FE5D44">
        <w:rPr>
          <w:lang w:val="en-GB"/>
        </w:rPr>
        <w:t>for the posterior</w:t>
      </w:r>
      <w:r w:rsidR="00D26B40" w:rsidRPr="00FF434E">
        <w:rPr>
          <w:lang w:val="en-GB"/>
        </w:rPr>
        <w:t xml:space="preserve"> development of scenario narratives.</w:t>
      </w:r>
    </w:p>
    <w:p w14:paraId="30F2B93D" w14:textId="77777777" w:rsidR="00220523" w:rsidRPr="00FF434E" w:rsidRDefault="00220523" w:rsidP="003B5590">
      <w:pPr>
        <w:rPr>
          <w:lang w:val="en-GB"/>
        </w:rPr>
      </w:pPr>
    </w:p>
    <w:p w14:paraId="096D5021" w14:textId="26609500" w:rsidR="007D6F32" w:rsidRPr="00FF434E" w:rsidRDefault="003B5590" w:rsidP="006A595E">
      <w:pPr>
        <w:pStyle w:val="Heading1"/>
        <w:rPr>
          <w:lang w:val="en-GB"/>
        </w:rPr>
      </w:pPr>
      <w:r w:rsidRPr="00FF434E">
        <w:rPr>
          <w:lang w:val="en-GB"/>
        </w:rPr>
        <w:t>Methodology</w:t>
      </w:r>
    </w:p>
    <w:p w14:paraId="096D5022" w14:textId="77777777" w:rsidR="007D6F32" w:rsidRPr="00FF434E" w:rsidRDefault="007D6F32" w:rsidP="006A595E">
      <w:pPr>
        <w:rPr>
          <w:lang w:val="en-GB"/>
        </w:rPr>
      </w:pPr>
    </w:p>
    <w:p w14:paraId="3372AFCE" w14:textId="2EC2BD9B" w:rsidR="00766089" w:rsidRDefault="00766089" w:rsidP="00FA6C12">
      <w:pPr>
        <w:pStyle w:val="Heading2"/>
        <w:numPr>
          <w:ilvl w:val="1"/>
          <w:numId w:val="3"/>
        </w:numPr>
        <w:ind w:left="432"/>
        <w:rPr>
          <w:lang w:val="en-GB"/>
        </w:rPr>
      </w:pPr>
      <w:r>
        <w:rPr>
          <w:lang w:val="en-GB"/>
        </w:rPr>
        <w:t>Scope</w:t>
      </w:r>
    </w:p>
    <w:p w14:paraId="24DB8EAC" w14:textId="6035C222" w:rsidR="00D26B40" w:rsidRDefault="00905219" w:rsidP="00905219">
      <w:pPr>
        <w:rPr>
          <w:lang w:val="en-GB"/>
        </w:rPr>
      </w:pPr>
      <w:r w:rsidRPr="00905219">
        <w:rPr>
          <w:lang w:val="en-GB"/>
        </w:rPr>
        <w:t xml:space="preserve">The first step of </w:t>
      </w:r>
      <w:r>
        <w:rPr>
          <w:lang w:val="en-GB"/>
        </w:rPr>
        <w:t xml:space="preserve">our approach is the </w:t>
      </w:r>
      <w:r w:rsidRPr="00905219">
        <w:rPr>
          <w:lang w:val="en-GB"/>
        </w:rPr>
        <w:t xml:space="preserve">formulation of the </w:t>
      </w:r>
      <w:r>
        <w:rPr>
          <w:lang w:val="en-GB"/>
        </w:rPr>
        <w:t>scenario planning exercise</w:t>
      </w:r>
      <w:r w:rsidRPr="00905219">
        <w:rPr>
          <w:lang w:val="en-GB"/>
        </w:rPr>
        <w:t xml:space="preserve"> which includes the definition of the </w:t>
      </w:r>
      <w:r>
        <w:rPr>
          <w:lang w:val="en-GB"/>
        </w:rPr>
        <w:t>spatial and temporal constraints, the planning goals and the future</w:t>
      </w:r>
      <w:r w:rsidRPr="00905219">
        <w:rPr>
          <w:lang w:val="en-GB"/>
        </w:rPr>
        <w:t xml:space="preserve"> uncertainties </w:t>
      </w:r>
      <w:r>
        <w:rPr>
          <w:lang w:val="en-GB"/>
        </w:rPr>
        <w:fldChar w:fldCharType="begin"/>
      </w:r>
      <w:r>
        <w:rPr>
          <w:lang w:val="en-GB"/>
        </w:rPr>
        <w:instrText xml:space="preserve"> ADDIN ZOTERO_ITEM CSL_CITATION {"citationID":"hzgXHj3T","properties":{"formattedCitation":"(Lempert, Popper and Bankes, 2003)","plainCitation":"(Lempert, Popper and Bankes, 2003)","noteIndex":0},"citationItems":[{"id":1108,"uris":["http://zotero.org/users/9117266/items/AZ57FAKH"],"itemData":{"id":1108,"type":"report","abstract":"&lt;p&gt;The checkered history of predicting the future — e.g., “Man will never fly” — has dissuaded policymakers from considering the long-term effects of decisions. New analytic methods, enabled by modern computers, transform our ability to reason about the future. The authors here demonstrate a quantitative approach to long-term policy analysis (LTPA). Robust methods enable decisionmakers to examine a vast range of futures and design adaptive strategies to be robust across them. Using sustainable development as an example, the authors discuss how these methods apply to LTPA and a wide range of decisionmaking under conditions of deep uncertainty.&lt;/p&gt;","language":"en","publisher":"RAND Corporation","source":"www.rand.org","title":"Shaping the Next One Hundred Years: New Methods for Quantitative, Long-Term Policy Analysis","title-short":"Shaping the Next One Hundred Years","URL":"https://www.rand.org/pubs/monograph_reports/MR1626.html","author":[{"family":"Lempert","given":"Robert J."},{"family":"Popper","given":"Steven W."},{"family":"Bankes","given":"Steven C."}],"accessed":{"date-parts":[["2023",4,19]]},"issued":{"date-parts":[["2003",1,1]]},"citation-key":"lempertShapingNextOne2003"}}],"schema":"https://github.com/citation-style-language/schema/raw/master/csl-citation.json"} </w:instrText>
      </w:r>
      <w:r>
        <w:rPr>
          <w:lang w:val="en-GB"/>
        </w:rPr>
        <w:fldChar w:fldCharType="separate"/>
      </w:r>
      <w:r w:rsidRPr="00905219">
        <w:t>(Lempert, Popper and Bankes, 2003)</w:t>
      </w:r>
      <w:r>
        <w:rPr>
          <w:lang w:val="en-GB"/>
        </w:rPr>
        <w:fldChar w:fldCharType="end"/>
      </w:r>
      <w:r w:rsidRPr="00905219">
        <w:rPr>
          <w:lang w:val="en-GB"/>
        </w:rPr>
        <w:t xml:space="preserve">. </w:t>
      </w:r>
      <w:r>
        <w:rPr>
          <w:lang w:val="en-GB"/>
        </w:rPr>
        <w:t xml:space="preserve">Participatory processes with </w:t>
      </w:r>
      <w:proofErr w:type="spellStart"/>
      <w:r>
        <w:rPr>
          <w:lang w:val="en-GB"/>
        </w:rPr>
        <w:t>stakehoders</w:t>
      </w:r>
      <w:proofErr w:type="spellEnd"/>
      <w:r>
        <w:rPr>
          <w:lang w:val="en-GB"/>
        </w:rPr>
        <w:t xml:space="preserve"> are well suited for such a scopi</w:t>
      </w:r>
      <w:r w:rsidR="00D26B40">
        <w:rPr>
          <w:lang w:val="en-GB"/>
        </w:rPr>
        <w:t xml:space="preserve">ng processes. </w:t>
      </w:r>
    </w:p>
    <w:p w14:paraId="14D49579" w14:textId="77777777" w:rsidR="00D26B40" w:rsidRDefault="00D26B40" w:rsidP="00905219">
      <w:pPr>
        <w:rPr>
          <w:lang w:val="en-GB"/>
        </w:rPr>
      </w:pPr>
    </w:p>
    <w:p w14:paraId="7FF0C11E" w14:textId="27A35C01" w:rsidR="00905219" w:rsidRPr="00905219" w:rsidRDefault="00D26B40" w:rsidP="00905219">
      <w:pPr>
        <w:rPr>
          <w:lang w:val="en-GB"/>
        </w:rPr>
      </w:pPr>
      <w:r>
        <w:rPr>
          <w:lang w:val="en-GB"/>
        </w:rPr>
        <w:t>For this paper, the scenario planning exercise consists of the identification of spatially explicit urban development scenarios for the Canton of Zurich, Switzerland by 2050. We look specifically at how different land use dynamics can create different spatially explicit scenarios.</w:t>
      </w:r>
    </w:p>
    <w:p w14:paraId="25DF6937" w14:textId="77777777" w:rsidR="00766089" w:rsidRDefault="00766089" w:rsidP="00766089">
      <w:pPr>
        <w:pStyle w:val="Heading2"/>
        <w:ind w:left="432"/>
        <w:rPr>
          <w:lang w:val="en-GB"/>
        </w:rPr>
      </w:pPr>
    </w:p>
    <w:p w14:paraId="096D5044" w14:textId="6EE01701" w:rsidR="007D6F32" w:rsidRPr="00FF434E" w:rsidRDefault="00FA6C12" w:rsidP="00FA6C12">
      <w:pPr>
        <w:pStyle w:val="Heading2"/>
        <w:numPr>
          <w:ilvl w:val="1"/>
          <w:numId w:val="3"/>
        </w:numPr>
        <w:ind w:left="432"/>
        <w:rPr>
          <w:lang w:val="en-GB"/>
        </w:rPr>
      </w:pPr>
      <w:r w:rsidRPr="00FF434E">
        <w:rPr>
          <w:lang w:val="en-GB"/>
        </w:rPr>
        <w:t>LUCC Model</w:t>
      </w:r>
    </w:p>
    <w:p w14:paraId="057A50FA" w14:textId="51B2BF43" w:rsidR="00FA6C12" w:rsidRPr="00FF434E" w:rsidRDefault="00FA6C12" w:rsidP="006A595E">
      <w:pPr>
        <w:rPr>
          <w:lang w:val="en-GB"/>
        </w:rPr>
      </w:pPr>
    </w:p>
    <w:p w14:paraId="336BA363" w14:textId="239065A5" w:rsidR="009C35F8" w:rsidRPr="00FF434E" w:rsidRDefault="001127EF" w:rsidP="00CD2DAB">
      <w:pPr>
        <w:rPr>
          <w:lang w:val="en-GB"/>
        </w:rPr>
      </w:pPr>
      <w:r w:rsidRPr="00FF434E">
        <w:rPr>
          <w:lang w:val="en-GB"/>
        </w:rPr>
        <w:t>To simulate potential future urban development in the Canton of Zurich, we used a</w:t>
      </w:r>
      <w:r w:rsidR="00905219">
        <w:rPr>
          <w:lang w:val="en-GB"/>
        </w:rPr>
        <w:t xml:space="preserve"> cellular automata</w:t>
      </w:r>
      <w:r w:rsidRPr="00FF434E">
        <w:rPr>
          <w:lang w:val="en-GB"/>
        </w:rPr>
        <w:t xml:space="preserve"> Land Use and Cover Change (LUCC) model through</w:t>
      </w:r>
      <w:r w:rsidR="00270751" w:rsidRPr="00FF434E">
        <w:rPr>
          <w:lang w:val="en-GB"/>
        </w:rPr>
        <w:t xml:space="preserve"> the environmental modelling software </w:t>
      </w:r>
      <w:proofErr w:type="spellStart"/>
      <w:r w:rsidR="00270751" w:rsidRPr="00FF434E">
        <w:rPr>
          <w:lang w:val="en-GB"/>
        </w:rPr>
        <w:t>Dinamica</w:t>
      </w:r>
      <w:proofErr w:type="spellEnd"/>
      <w:r w:rsidR="00270751" w:rsidRPr="00FF434E">
        <w:rPr>
          <w:lang w:val="en-GB"/>
        </w:rPr>
        <w:t xml:space="preserve"> EGO, Version 7.</w:t>
      </w:r>
      <w:r w:rsidR="009C35F8" w:rsidRPr="00FF434E">
        <w:rPr>
          <w:lang w:val="en-GB"/>
        </w:rPr>
        <w:t xml:space="preserve"> Different </w:t>
      </w:r>
      <w:r w:rsidR="00E17149">
        <w:rPr>
          <w:lang w:val="en-GB"/>
        </w:rPr>
        <w:t xml:space="preserve">LUCC </w:t>
      </w:r>
      <w:r w:rsidR="009C35F8" w:rsidRPr="00FF434E">
        <w:rPr>
          <w:lang w:val="en-GB"/>
        </w:rPr>
        <w:t>drivers were selected to evaluate their influence on the land use transitions based on previous LUCC modelling studies in Switzerland</w:t>
      </w:r>
      <w:r w:rsidR="00AB2168">
        <w:rPr>
          <w:lang w:val="en-GB"/>
        </w:rPr>
        <w:t xml:space="preserve"> and calibrated with the LUCC occurred in the Canton of Zurich between 2009-2018</w:t>
      </w:r>
      <w:r w:rsidR="009C35F8" w:rsidRPr="00FF434E">
        <w:rPr>
          <w:lang w:val="en-GB"/>
        </w:rPr>
        <w:t>. We used spatial data of the following drivers: elevation, slope</w:t>
      </w:r>
      <w:r w:rsidR="00D26B40">
        <w:rPr>
          <w:lang w:val="en-GB"/>
        </w:rPr>
        <w:t xml:space="preserve">, </w:t>
      </w:r>
      <w:r w:rsidR="009C35F8" w:rsidRPr="00FF434E">
        <w:rPr>
          <w:lang w:val="en-GB"/>
        </w:rPr>
        <w:t>lake</w:t>
      </w:r>
      <w:r w:rsidR="00D26B40">
        <w:rPr>
          <w:lang w:val="en-GB"/>
        </w:rPr>
        <w:t>s</w:t>
      </w:r>
      <w:r w:rsidR="009C35F8" w:rsidRPr="00FF434E">
        <w:rPr>
          <w:lang w:val="en-GB"/>
        </w:rPr>
        <w:t xml:space="preserve">, </w:t>
      </w:r>
      <w:r w:rsidRPr="00FF434E">
        <w:rPr>
          <w:lang w:val="en-GB"/>
        </w:rPr>
        <w:t>train</w:t>
      </w:r>
      <w:r w:rsidR="009C35F8" w:rsidRPr="00FF434E">
        <w:rPr>
          <w:lang w:val="en-GB"/>
        </w:rPr>
        <w:t xml:space="preserve"> stations</w:t>
      </w:r>
      <w:r w:rsidR="00D26B40">
        <w:rPr>
          <w:lang w:val="en-GB"/>
        </w:rPr>
        <w:t>,</w:t>
      </w:r>
      <w:r w:rsidR="009C35F8" w:rsidRPr="00FF434E">
        <w:rPr>
          <w:lang w:val="en-GB"/>
        </w:rPr>
        <w:t xml:space="preserve"> </w:t>
      </w:r>
      <w:r w:rsidRPr="00FF434E">
        <w:rPr>
          <w:lang w:val="en-GB"/>
        </w:rPr>
        <w:t>highway access points</w:t>
      </w:r>
      <w:r w:rsidR="00D26B40">
        <w:rPr>
          <w:lang w:val="en-GB"/>
        </w:rPr>
        <w:t>, metropolitan areas (Zurich and Winterthur) and other urban centres</w:t>
      </w:r>
      <w:r w:rsidRPr="00FF434E">
        <w:rPr>
          <w:lang w:val="en-GB"/>
        </w:rPr>
        <w:t xml:space="preserve">. </w:t>
      </w:r>
      <w:r w:rsidR="009C35F8" w:rsidRPr="00FF434E">
        <w:rPr>
          <w:lang w:val="en-GB"/>
        </w:rPr>
        <w:t>The estimation of each drivers’ respective influence on the land use transitions was carried out using the Bayesian Weights of Evidence (</w:t>
      </w:r>
      <w:proofErr w:type="spellStart"/>
      <w:r w:rsidR="009C35F8" w:rsidRPr="00FF434E">
        <w:rPr>
          <w:lang w:val="en-GB"/>
        </w:rPr>
        <w:t>WoE</w:t>
      </w:r>
      <w:proofErr w:type="spellEnd"/>
      <w:r w:rsidR="009C35F8" w:rsidRPr="00FF434E">
        <w:rPr>
          <w:lang w:val="en-GB"/>
        </w:rPr>
        <w:t>) me</w:t>
      </w:r>
      <w:r w:rsidRPr="00FF434E">
        <w:rPr>
          <w:lang w:val="en-GB"/>
        </w:rPr>
        <w:t xml:space="preserve">thod including in </w:t>
      </w:r>
      <w:proofErr w:type="spellStart"/>
      <w:r w:rsidRPr="00FF434E">
        <w:rPr>
          <w:lang w:val="en-GB"/>
        </w:rPr>
        <w:t>Dinamica</w:t>
      </w:r>
      <w:proofErr w:type="spellEnd"/>
      <w:r w:rsidRPr="00FF434E">
        <w:rPr>
          <w:lang w:val="en-GB"/>
        </w:rPr>
        <w:t xml:space="preserve"> EGO.</w:t>
      </w:r>
      <w:r w:rsidR="00CD2DAB">
        <w:rPr>
          <w:lang w:val="en-GB"/>
        </w:rPr>
        <w:t xml:space="preserve"> </w:t>
      </w:r>
      <w:r w:rsidR="00FE5D44">
        <w:rPr>
          <w:lang w:val="en-GB"/>
        </w:rPr>
        <w:t xml:space="preserve">These </w:t>
      </w:r>
      <w:proofErr w:type="spellStart"/>
      <w:r w:rsidR="00FE5D44">
        <w:rPr>
          <w:lang w:val="en-GB"/>
        </w:rPr>
        <w:t>WoEs</w:t>
      </w:r>
      <w:proofErr w:type="spellEnd"/>
      <w:r w:rsidR="00FE5D44">
        <w:rPr>
          <w:lang w:val="en-GB"/>
        </w:rPr>
        <w:t xml:space="preserve"> are then used to estimate probability maps for each transition.</w:t>
      </w:r>
    </w:p>
    <w:p w14:paraId="586F3C2A" w14:textId="4B6C363F" w:rsidR="00FA6C12" w:rsidRPr="00FF434E" w:rsidRDefault="00FA6C12" w:rsidP="006A595E">
      <w:pPr>
        <w:rPr>
          <w:lang w:val="en-GB"/>
        </w:rPr>
      </w:pPr>
    </w:p>
    <w:p w14:paraId="5070B1ED" w14:textId="755C0A0B" w:rsidR="00FA6C12" w:rsidRPr="00FF434E" w:rsidRDefault="00CB0F5C" w:rsidP="00FA6C12">
      <w:pPr>
        <w:pStyle w:val="Heading2"/>
        <w:numPr>
          <w:ilvl w:val="1"/>
          <w:numId w:val="3"/>
        </w:numPr>
        <w:ind w:left="432"/>
        <w:rPr>
          <w:lang w:val="en-GB"/>
        </w:rPr>
      </w:pPr>
      <w:r w:rsidRPr="00FF434E">
        <w:rPr>
          <w:lang w:val="en-GB"/>
        </w:rPr>
        <w:lastRenderedPageBreak/>
        <w:t>Exploratory Modelling</w:t>
      </w:r>
    </w:p>
    <w:p w14:paraId="00233BE3" w14:textId="33D1712E" w:rsidR="00FA6C12" w:rsidRPr="00FF434E" w:rsidRDefault="00FA6C12" w:rsidP="006A595E">
      <w:pPr>
        <w:rPr>
          <w:lang w:val="en-GB"/>
        </w:rPr>
      </w:pPr>
    </w:p>
    <w:p w14:paraId="30901DD9" w14:textId="77777777" w:rsidR="007779B5" w:rsidRDefault="009C5524" w:rsidP="006A595E">
      <w:pPr>
        <w:rPr>
          <w:lang w:val="en-GB"/>
        </w:rPr>
      </w:pPr>
      <w:r>
        <w:rPr>
          <w:lang w:val="en-GB"/>
        </w:rPr>
        <w:t xml:space="preserve">For the exploratory modelling, 7 factors related to the quantity of LUCC (i.e. transition rates) and two factors related to the spatial distribution of LUCC (i.e. weights of evidence) were selected, as shown in Table 1. </w:t>
      </w:r>
      <w:r w:rsidR="007779B5">
        <w:rPr>
          <w:lang w:val="en-GB"/>
        </w:rPr>
        <w:t xml:space="preserve">The uncertain factors on the weights were modelled to signal a type of urban development. For </w:t>
      </w:r>
      <w:proofErr w:type="gramStart"/>
      <w:r w:rsidR="007779B5">
        <w:rPr>
          <w:lang w:val="en-GB"/>
        </w:rPr>
        <w:t>example</w:t>
      </w:r>
      <w:proofErr w:type="gramEnd"/>
      <w:r w:rsidR="007779B5">
        <w:rPr>
          <w:lang w:val="en-GB"/>
        </w:rPr>
        <w:t xml:space="preserve"> when the weight of train stations was increased, the weight of highway access points was decreased, signalling a “</w:t>
      </w:r>
      <w:proofErr w:type="gramStart"/>
      <w:r w:rsidR="007779B5">
        <w:rPr>
          <w:lang w:val="en-GB"/>
        </w:rPr>
        <w:t>transport oriented</w:t>
      </w:r>
      <w:proofErr w:type="gramEnd"/>
      <w:r w:rsidR="007779B5">
        <w:rPr>
          <w:lang w:val="en-GB"/>
        </w:rPr>
        <w:t xml:space="preserve"> development” trajectory. On the opposite direction, a “highway oriented development was created. The same strategy was applied to the weights of smaller cities/metropolitan areas and therefore “centralised” and “polycentric” urban development trajectories were developed. </w:t>
      </w:r>
    </w:p>
    <w:p w14:paraId="415EAF5D" w14:textId="77777777" w:rsidR="007779B5" w:rsidRDefault="007779B5" w:rsidP="006A595E">
      <w:pPr>
        <w:rPr>
          <w:lang w:val="en-GB"/>
        </w:rPr>
      </w:pPr>
    </w:p>
    <w:p w14:paraId="04EFB0CE" w14:textId="73D805AD" w:rsidR="00FA6C12" w:rsidRDefault="00270751" w:rsidP="006A595E">
      <w:pPr>
        <w:rPr>
          <w:lang w:val="en-GB"/>
        </w:rPr>
      </w:pPr>
      <w:r w:rsidRPr="00FF434E">
        <w:rPr>
          <w:lang w:val="en-GB"/>
        </w:rPr>
        <w:t xml:space="preserve">We produced an ensemble of </w:t>
      </w:r>
      <w:r w:rsidR="009C5524">
        <w:rPr>
          <w:lang w:val="en-GB"/>
        </w:rPr>
        <w:t xml:space="preserve">800 </w:t>
      </w:r>
      <w:r w:rsidRPr="00FF434E">
        <w:rPr>
          <w:lang w:val="en-GB"/>
        </w:rPr>
        <w:t>future scenarios by sampling within the minimum and maximum values of the variables shown in</w:t>
      </w:r>
      <w:r w:rsidR="008338EE" w:rsidRPr="00FF434E">
        <w:rPr>
          <w:lang w:val="en-GB"/>
        </w:rPr>
        <w:t xml:space="preserve"> Table 1 </w:t>
      </w:r>
      <w:r w:rsidRPr="00FF434E">
        <w:rPr>
          <w:lang w:val="en-GB"/>
        </w:rPr>
        <w:t>using the Latin hypercube sampling method.</w:t>
      </w:r>
    </w:p>
    <w:p w14:paraId="49643016" w14:textId="6D7C3CA8" w:rsidR="00E17149" w:rsidRDefault="00E17149" w:rsidP="006A595E">
      <w:pPr>
        <w:rPr>
          <w:lang w:val="en-GB"/>
        </w:rPr>
      </w:pPr>
    </w:p>
    <w:p w14:paraId="208C90E7" w14:textId="77777777" w:rsidR="00E17149" w:rsidRPr="00FF434E" w:rsidRDefault="00E17149" w:rsidP="00E17149">
      <w:pPr>
        <w:pStyle w:val="Caption"/>
        <w:rPr>
          <w:lang w:val="en-GB"/>
        </w:rPr>
      </w:pPr>
      <w:r w:rsidRPr="00FF434E">
        <w:rPr>
          <w:b/>
          <w:lang w:val="en-GB"/>
        </w:rPr>
        <w:t xml:space="preserve">Table </w:t>
      </w:r>
      <w:r w:rsidRPr="00FF434E">
        <w:rPr>
          <w:b/>
          <w:lang w:val="en-GB"/>
        </w:rPr>
        <w:fldChar w:fldCharType="begin"/>
      </w:r>
      <w:r w:rsidRPr="00FF434E">
        <w:rPr>
          <w:b/>
          <w:lang w:val="en-GB"/>
        </w:rPr>
        <w:instrText xml:space="preserve"> SEQ Table \* ARABIC </w:instrText>
      </w:r>
      <w:r w:rsidRPr="00FF434E">
        <w:rPr>
          <w:b/>
          <w:lang w:val="en-GB"/>
        </w:rPr>
        <w:fldChar w:fldCharType="separate"/>
      </w:r>
      <w:r w:rsidRPr="00FF434E">
        <w:rPr>
          <w:b/>
          <w:noProof/>
          <w:lang w:val="en-GB"/>
        </w:rPr>
        <w:t>1</w:t>
      </w:r>
      <w:r w:rsidRPr="00FF434E">
        <w:rPr>
          <w:b/>
          <w:lang w:val="en-GB"/>
        </w:rPr>
        <w:fldChar w:fldCharType="end"/>
      </w:r>
      <w:r w:rsidRPr="00FF434E">
        <w:rPr>
          <w:lang w:val="en-GB"/>
        </w:rPr>
        <w:t xml:space="preserve"> CUPUM Conferences</w:t>
      </w:r>
    </w:p>
    <w:tbl>
      <w:tblPr>
        <w:tblStyle w:val="TableGrid"/>
        <w:tblW w:w="0" w:type="auto"/>
        <w:jc w:val="center"/>
        <w:tblBorders>
          <w:top w:val="none" w:sz="0" w:space="0" w:color="auto"/>
          <w:left w:val="none" w:sz="0" w:space="0" w:color="auto"/>
          <w:bottom w:val="none" w:sz="0" w:space="0" w:color="auto"/>
          <w:right w:val="none" w:sz="0" w:space="0" w:color="auto"/>
        </w:tblBorders>
        <w:tblLayout w:type="fixed"/>
        <w:tblLook w:val="0420" w:firstRow="1" w:lastRow="0" w:firstColumn="0" w:lastColumn="0" w:noHBand="0" w:noVBand="1"/>
      </w:tblPr>
      <w:tblGrid>
        <w:gridCol w:w="1620"/>
        <w:gridCol w:w="3600"/>
        <w:gridCol w:w="1350"/>
        <w:gridCol w:w="1440"/>
        <w:gridCol w:w="991"/>
      </w:tblGrid>
      <w:tr w:rsidR="00FE5D44" w:rsidRPr="00FE5D44" w14:paraId="66131289" w14:textId="77777777" w:rsidTr="009C5524">
        <w:trPr>
          <w:trHeight w:val="501"/>
          <w:jc w:val="center"/>
        </w:trPr>
        <w:tc>
          <w:tcPr>
            <w:tcW w:w="1620" w:type="dxa"/>
            <w:vAlign w:val="center"/>
          </w:tcPr>
          <w:p w14:paraId="74145EAC" w14:textId="51787B29" w:rsidR="00FE5D44" w:rsidRPr="00FE5D44" w:rsidRDefault="00FE5D44" w:rsidP="00FE5D44">
            <w:pPr>
              <w:jc w:val="center"/>
              <w:rPr>
                <w:bCs/>
                <w:lang w:val="en-GB"/>
              </w:rPr>
            </w:pPr>
            <w:r w:rsidRPr="00FE5D44">
              <w:rPr>
                <w:bCs/>
                <w:lang w:val="en-GB"/>
              </w:rPr>
              <w:t>Type</w:t>
            </w:r>
          </w:p>
        </w:tc>
        <w:tc>
          <w:tcPr>
            <w:tcW w:w="3600" w:type="dxa"/>
            <w:vAlign w:val="center"/>
            <w:hideMark/>
          </w:tcPr>
          <w:p w14:paraId="0D3D4D80" w14:textId="6C00C1B6" w:rsidR="00FE5D44" w:rsidRPr="00FE5D44" w:rsidRDefault="00FE5D44" w:rsidP="00FE5D44">
            <w:pPr>
              <w:jc w:val="center"/>
              <w:rPr>
                <w:lang w:val="en-GB"/>
              </w:rPr>
            </w:pPr>
            <w:r w:rsidRPr="00FE5D44">
              <w:rPr>
                <w:bCs/>
                <w:lang w:val="en-GB"/>
              </w:rPr>
              <w:t>Uncertainties</w:t>
            </w:r>
          </w:p>
        </w:tc>
        <w:tc>
          <w:tcPr>
            <w:tcW w:w="1350" w:type="dxa"/>
            <w:vAlign w:val="center"/>
            <w:hideMark/>
          </w:tcPr>
          <w:p w14:paraId="03D2ECBD" w14:textId="77777777" w:rsidR="00FE5D44" w:rsidRPr="00FE5D44" w:rsidRDefault="00FE5D44" w:rsidP="00FE5D44">
            <w:pPr>
              <w:jc w:val="center"/>
              <w:rPr>
                <w:lang w:val="en-GB"/>
              </w:rPr>
            </w:pPr>
            <w:r w:rsidRPr="00FE5D44">
              <w:rPr>
                <w:bCs/>
                <w:lang w:val="en-GB"/>
              </w:rPr>
              <w:t>Min. Value</w:t>
            </w:r>
          </w:p>
        </w:tc>
        <w:tc>
          <w:tcPr>
            <w:tcW w:w="1440" w:type="dxa"/>
            <w:vAlign w:val="center"/>
            <w:hideMark/>
          </w:tcPr>
          <w:p w14:paraId="4DD0BBD7" w14:textId="77777777" w:rsidR="00FE5D44" w:rsidRPr="00FE5D44" w:rsidRDefault="00FE5D44" w:rsidP="00FE5D44">
            <w:pPr>
              <w:jc w:val="center"/>
              <w:rPr>
                <w:lang w:val="en-GB"/>
              </w:rPr>
            </w:pPr>
            <w:r w:rsidRPr="00FE5D44">
              <w:rPr>
                <w:bCs/>
                <w:lang w:val="en-GB"/>
              </w:rPr>
              <w:t>Max. Value</w:t>
            </w:r>
          </w:p>
        </w:tc>
        <w:tc>
          <w:tcPr>
            <w:tcW w:w="991" w:type="dxa"/>
            <w:vAlign w:val="center"/>
            <w:hideMark/>
          </w:tcPr>
          <w:p w14:paraId="5BC31540" w14:textId="20F682D2" w:rsidR="00FE5D44" w:rsidRPr="00FE5D44" w:rsidRDefault="00FE5D44" w:rsidP="009C5524">
            <w:pPr>
              <w:jc w:val="center"/>
              <w:rPr>
                <w:lang w:val="en-GB"/>
              </w:rPr>
            </w:pPr>
            <w:r w:rsidRPr="00FE5D44">
              <w:rPr>
                <w:bCs/>
                <w:lang w:val="en-GB"/>
              </w:rPr>
              <w:t>PDF</w:t>
            </w:r>
          </w:p>
        </w:tc>
      </w:tr>
      <w:tr w:rsidR="00FE5D44" w:rsidRPr="00FE5D44" w14:paraId="335429BD" w14:textId="77777777" w:rsidTr="009C5524">
        <w:trPr>
          <w:trHeight w:val="338"/>
          <w:jc w:val="center"/>
        </w:trPr>
        <w:tc>
          <w:tcPr>
            <w:tcW w:w="1620" w:type="dxa"/>
            <w:vAlign w:val="center"/>
          </w:tcPr>
          <w:p w14:paraId="064D4CFC" w14:textId="6D0D4CA0" w:rsidR="00FE5D44" w:rsidRPr="00FE5D44" w:rsidRDefault="00FE5D44" w:rsidP="00FE5D44">
            <w:pPr>
              <w:jc w:val="center"/>
              <w:rPr>
                <w:bCs/>
                <w:lang w:val="en-GB"/>
              </w:rPr>
            </w:pPr>
            <w:r w:rsidRPr="00FE5D44">
              <w:rPr>
                <w:bCs/>
                <w:lang w:val="en-GB"/>
              </w:rPr>
              <w:t>Transition Rate</w:t>
            </w:r>
          </w:p>
        </w:tc>
        <w:tc>
          <w:tcPr>
            <w:tcW w:w="3600" w:type="dxa"/>
            <w:vAlign w:val="center"/>
            <w:hideMark/>
          </w:tcPr>
          <w:p w14:paraId="04BB0D41" w14:textId="7EC272F7" w:rsidR="00FE5D44" w:rsidRPr="00FE5D44" w:rsidRDefault="00FE5D44" w:rsidP="00FE5D44">
            <w:pPr>
              <w:jc w:val="center"/>
              <w:rPr>
                <w:lang w:val="en-GB"/>
              </w:rPr>
            </w:pPr>
            <w:r>
              <w:rPr>
                <w:lang w:val="en-GB"/>
              </w:rPr>
              <w:t>Residential low-density to high-density</w:t>
            </w:r>
          </w:p>
        </w:tc>
        <w:tc>
          <w:tcPr>
            <w:tcW w:w="1350" w:type="dxa"/>
            <w:vAlign w:val="center"/>
            <w:hideMark/>
          </w:tcPr>
          <w:p w14:paraId="16F83747" w14:textId="77777777" w:rsidR="00FE5D44" w:rsidRPr="00FE5D44" w:rsidRDefault="00FE5D44" w:rsidP="00FE5D44">
            <w:pPr>
              <w:jc w:val="center"/>
              <w:rPr>
                <w:lang w:val="en-GB"/>
              </w:rPr>
            </w:pPr>
            <w:r w:rsidRPr="00FE5D44">
              <w:rPr>
                <w:lang w:val="en-GB"/>
              </w:rPr>
              <w:t>0.25</w:t>
            </w:r>
          </w:p>
        </w:tc>
        <w:tc>
          <w:tcPr>
            <w:tcW w:w="1440" w:type="dxa"/>
            <w:vAlign w:val="center"/>
            <w:hideMark/>
          </w:tcPr>
          <w:p w14:paraId="4B6D6F44" w14:textId="77777777" w:rsidR="00FE5D44" w:rsidRPr="00FE5D44" w:rsidRDefault="00FE5D44" w:rsidP="00FE5D44">
            <w:pPr>
              <w:jc w:val="center"/>
              <w:rPr>
                <w:lang w:val="en-GB"/>
              </w:rPr>
            </w:pPr>
            <w:r w:rsidRPr="00FE5D44">
              <w:rPr>
                <w:lang w:val="en-GB"/>
              </w:rPr>
              <w:t>0.35</w:t>
            </w:r>
          </w:p>
        </w:tc>
        <w:tc>
          <w:tcPr>
            <w:tcW w:w="991" w:type="dxa"/>
            <w:vAlign w:val="center"/>
            <w:hideMark/>
          </w:tcPr>
          <w:p w14:paraId="405260B0" w14:textId="77777777" w:rsidR="00FE5D44" w:rsidRPr="00FE5D44" w:rsidRDefault="00FE5D44" w:rsidP="00FE5D44">
            <w:pPr>
              <w:jc w:val="center"/>
              <w:rPr>
                <w:lang w:val="en-GB"/>
              </w:rPr>
            </w:pPr>
            <w:r w:rsidRPr="00FE5D44">
              <w:rPr>
                <w:lang w:val="en-GB"/>
              </w:rPr>
              <w:t>Uniform</w:t>
            </w:r>
          </w:p>
        </w:tc>
      </w:tr>
      <w:tr w:rsidR="00FE5D44" w:rsidRPr="00FE5D44" w14:paraId="6E7DA14E" w14:textId="77777777" w:rsidTr="009C5524">
        <w:trPr>
          <w:trHeight w:val="356"/>
          <w:jc w:val="center"/>
        </w:trPr>
        <w:tc>
          <w:tcPr>
            <w:tcW w:w="1620" w:type="dxa"/>
            <w:vAlign w:val="center"/>
          </w:tcPr>
          <w:p w14:paraId="32CDF3DC" w14:textId="682285A5" w:rsidR="00FE5D44" w:rsidRPr="00FE5D44" w:rsidRDefault="00FE5D44" w:rsidP="00FE5D44">
            <w:pPr>
              <w:jc w:val="center"/>
              <w:rPr>
                <w:bCs/>
                <w:lang w:val="en-GB"/>
              </w:rPr>
            </w:pPr>
            <w:r w:rsidRPr="00FE5D44">
              <w:rPr>
                <w:bCs/>
                <w:lang w:val="en-GB"/>
              </w:rPr>
              <w:t>Transition Rate</w:t>
            </w:r>
          </w:p>
        </w:tc>
        <w:tc>
          <w:tcPr>
            <w:tcW w:w="3600" w:type="dxa"/>
            <w:vAlign w:val="center"/>
            <w:hideMark/>
          </w:tcPr>
          <w:p w14:paraId="3ED1FD6B" w14:textId="4B11824E" w:rsidR="00FE5D44" w:rsidRPr="00FE5D44" w:rsidRDefault="00FE5D44" w:rsidP="00FE5D44">
            <w:pPr>
              <w:jc w:val="center"/>
              <w:rPr>
                <w:lang w:val="en-GB"/>
              </w:rPr>
            </w:pPr>
            <w:r>
              <w:rPr>
                <w:lang w:val="en-GB"/>
              </w:rPr>
              <w:t>Residential</w:t>
            </w:r>
            <w:r>
              <w:rPr>
                <w:bCs/>
                <w:lang w:val="en-GB"/>
              </w:rPr>
              <w:t xml:space="preserve"> h</w:t>
            </w:r>
            <w:r>
              <w:rPr>
                <w:lang w:val="en-GB"/>
              </w:rPr>
              <w:t>igh- to low-density</w:t>
            </w:r>
          </w:p>
        </w:tc>
        <w:tc>
          <w:tcPr>
            <w:tcW w:w="1350" w:type="dxa"/>
            <w:vAlign w:val="center"/>
            <w:hideMark/>
          </w:tcPr>
          <w:p w14:paraId="18F3CFD5" w14:textId="77777777" w:rsidR="00FE5D44" w:rsidRPr="00FE5D44" w:rsidRDefault="00FE5D44" w:rsidP="00FE5D44">
            <w:pPr>
              <w:jc w:val="center"/>
              <w:rPr>
                <w:lang w:val="en-GB"/>
              </w:rPr>
            </w:pPr>
            <w:r w:rsidRPr="00FE5D44">
              <w:rPr>
                <w:lang w:val="en-GB"/>
              </w:rPr>
              <w:t>0.14</w:t>
            </w:r>
          </w:p>
        </w:tc>
        <w:tc>
          <w:tcPr>
            <w:tcW w:w="1440" w:type="dxa"/>
            <w:vAlign w:val="center"/>
            <w:hideMark/>
          </w:tcPr>
          <w:p w14:paraId="5C78EFAD" w14:textId="77777777" w:rsidR="00FE5D44" w:rsidRPr="00FE5D44" w:rsidRDefault="00FE5D44" w:rsidP="00FE5D44">
            <w:pPr>
              <w:jc w:val="center"/>
              <w:rPr>
                <w:lang w:val="en-GB"/>
              </w:rPr>
            </w:pPr>
            <w:r w:rsidRPr="00FE5D44">
              <w:rPr>
                <w:lang w:val="en-GB"/>
              </w:rPr>
              <w:t>0.24</w:t>
            </w:r>
          </w:p>
        </w:tc>
        <w:tc>
          <w:tcPr>
            <w:tcW w:w="991" w:type="dxa"/>
            <w:vAlign w:val="center"/>
            <w:hideMark/>
          </w:tcPr>
          <w:p w14:paraId="268F9CC3" w14:textId="77777777" w:rsidR="00FE5D44" w:rsidRPr="00FE5D44" w:rsidRDefault="00FE5D44" w:rsidP="00FE5D44">
            <w:pPr>
              <w:jc w:val="center"/>
              <w:rPr>
                <w:lang w:val="en-GB"/>
              </w:rPr>
            </w:pPr>
            <w:r w:rsidRPr="00FE5D44">
              <w:rPr>
                <w:lang w:val="en-GB"/>
              </w:rPr>
              <w:t>Uniform</w:t>
            </w:r>
          </w:p>
        </w:tc>
      </w:tr>
      <w:tr w:rsidR="00FE5D44" w:rsidRPr="00FE5D44" w14:paraId="7213712C" w14:textId="77777777" w:rsidTr="009C5524">
        <w:trPr>
          <w:trHeight w:val="590"/>
          <w:jc w:val="center"/>
        </w:trPr>
        <w:tc>
          <w:tcPr>
            <w:tcW w:w="1620" w:type="dxa"/>
            <w:vAlign w:val="center"/>
          </w:tcPr>
          <w:p w14:paraId="041DEBF5" w14:textId="0715A578" w:rsidR="00FE5D44" w:rsidRPr="00FE5D44" w:rsidRDefault="00FE5D44" w:rsidP="00FE5D44">
            <w:pPr>
              <w:jc w:val="center"/>
              <w:rPr>
                <w:bCs/>
                <w:lang w:val="en-GB"/>
              </w:rPr>
            </w:pPr>
            <w:r w:rsidRPr="00FE5D44">
              <w:rPr>
                <w:bCs/>
                <w:lang w:val="en-GB"/>
              </w:rPr>
              <w:t>Transition Rate</w:t>
            </w:r>
          </w:p>
        </w:tc>
        <w:tc>
          <w:tcPr>
            <w:tcW w:w="3600" w:type="dxa"/>
            <w:vAlign w:val="center"/>
            <w:hideMark/>
          </w:tcPr>
          <w:p w14:paraId="64A21D94" w14:textId="134C7553" w:rsidR="00FE5D44" w:rsidRPr="00FE5D44" w:rsidRDefault="00FE5D44" w:rsidP="00FE5D44">
            <w:pPr>
              <w:jc w:val="center"/>
              <w:rPr>
                <w:lang w:val="en-GB"/>
              </w:rPr>
            </w:pPr>
            <w:r>
              <w:rPr>
                <w:bCs/>
                <w:lang w:val="en-GB"/>
              </w:rPr>
              <w:t>I</w:t>
            </w:r>
            <w:r w:rsidRPr="00FE5D44">
              <w:rPr>
                <w:lang w:val="en-GB"/>
              </w:rPr>
              <w:t>ndustrial</w:t>
            </w:r>
            <w:r>
              <w:rPr>
                <w:lang w:val="en-GB"/>
              </w:rPr>
              <w:t>/</w:t>
            </w:r>
            <w:r w:rsidRPr="00FE5D44">
              <w:rPr>
                <w:lang w:val="en-GB"/>
              </w:rPr>
              <w:t xml:space="preserve">commercial </w:t>
            </w:r>
            <w:r>
              <w:rPr>
                <w:lang w:val="en-GB"/>
              </w:rPr>
              <w:t>to residential low-density</w:t>
            </w:r>
          </w:p>
        </w:tc>
        <w:tc>
          <w:tcPr>
            <w:tcW w:w="1350" w:type="dxa"/>
            <w:vAlign w:val="center"/>
            <w:hideMark/>
          </w:tcPr>
          <w:p w14:paraId="3A559480" w14:textId="77777777" w:rsidR="00FE5D44" w:rsidRPr="00FE5D44" w:rsidRDefault="00FE5D44" w:rsidP="00FE5D44">
            <w:pPr>
              <w:jc w:val="center"/>
              <w:rPr>
                <w:lang w:val="en-GB"/>
              </w:rPr>
            </w:pPr>
            <w:r w:rsidRPr="00FE5D44">
              <w:rPr>
                <w:lang w:val="en-GB"/>
              </w:rPr>
              <w:t>0.04</w:t>
            </w:r>
          </w:p>
        </w:tc>
        <w:tc>
          <w:tcPr>
            <w:tcW w:w="1440" w:type="dxa"/>
            <w:vAlign w:val="center"/>
            <w:hideMark/>
          </w:tcPr>
          <w:p w14:paraId="002ED542" w14:textId="77777777" w:rsidR="00FE5D44" w:rsidRPr="00FE5D44" w:rsidRDefault="00FE5D44" w:rsidP="00FE5D44">
            <w:pPr>
              <w:jc w:val="center"/>
              <w:rPr>
                <w:lang w:val="en-GB"/>
              </w:rPr>
            </w:pPr>
            <w:r w:rsidRPr="00FE5D44">
              <w:rPr>
                <w:lang w:val="en-GB"/>
              </w:rPr>
              <w:t>0.05</w:t>
            </w:r>
          </w:p>
        </w:tc>
        <w:tc>
          <w:tcPr>
            <w:tcW w:w="991" w:type="dxa"/>
            <w:vAlign w:val="center"/>
            <w:hideMark/>
          </w:tcPr>
          <w:p w14:paraId="1FB807E4" w14:textId="77777777" w:rsidR="00FE5D44" w:rsidRPr="00FE5D44" w:rsidRDefault="00FE5D44" w:rsidP="00FE5D44">
            <w:pPr>
              <w:jc w:val="center"/>
              <w:rPr>
                <w:lang w:val="en-GB"/>
              </w:rPr>
            </w:pPr>
            <w:r w:rsidRPr="00FE5D44">
              <w:rPr>
                <w:lang w:val="en-GB"/>
              </w:rPr>
              <w:t>Uniform</w:t>
            </w:r>
          </w:p>
        </w:tc>
      </w:tr>
      <w:tr w:rsidR="00FE5D44" w:rsidRPr="00FE5D44" w14:paraId="37D36C55" w14:textId="77777777" w:rsidTr="009C5524">
        <w:trPr>
          <w:trHeight w:val="527"/>
          <w:jc w:val="center"/>
        </w:trPr>
        <w:tc>
          <w:tcPr>
            <w:tcW w:w="1620" w:type="dxa"/>
            <w:vAlign w:val="center"/>
          </w:tcPr>
          <w:p w14:paraId="77D1309B" w14:textId="3EA5AC5B" w:rsidR="00FE5D44" w:rsidRPr="00FE5D44" w:rsidRDefault="00FE5D44" w:rsidP="00FE5D44">
            <w:pPr>
              <w:jc w:val="center"/>
              <w:rPr>
                <w:bCs/>
                <w:lang w:val="en-GB"/>
              </w:rPr>
            </w:pPr>
            <w:r w:rsidRPr="00FE5D44">
              <w:rPr>
                <w:bCs/>
                <w:lang w:val="en-GB"/>
              </w:rPr>
              <w:t>Transition Rate</w:t>
            </w:r>
          </w:p>
        </w:tc>
        <w:tc>
          <w:tcPr>
            <w:tcW w:w="3600" w:type="dxa"/>
            <w:vAlign w:val="center"/>
            <w:hideMark/>
          </w:tcPr>
          <w:p w14:paraId="6EE987D0" w14:textId="6ED98086" w:rsidR="00FE5D44" w:rsidRPr="00FE5D44" w:rsidRDefault="00FE5D44" w:rsidP="00FE5D44">
            <w:pPr>
              <w:jc w:val="center"/>
              <w:rPr>
                <w:lang w:val="en-GB"/>
              </w:rPr>
            </w:pPr>
            <w:r>
              <w:rPr>
                <w:lang w:val="en-GB"/>
              </w:rPr>
              <w:t>Industrial/</w:t>
            </w:r>
            <w:r w:rsidRPr="00FE5D44">
              <w:rPr>
                <w:lang w:val="en-GB"/>
              </w:rPr>
              <w:t xml:space="preserve">commercial </w:t>
            </w:r>
            <w:r>
              <w:rPr>
                <w:lang w:val="en-GB"/>
              </w:rPr>
              <w:t>to residential high-density</w:t>
            </w:r>
          </w:p>
        </w:tc>
        <w:tc>
          <w:tcPr>
            <w:tcW w:w="1350" w:type="dxa"/>
            <w:vAlign w:val="center"/>
            <w:hideMark/>
          </w:tcPr>
          <w:p w14:paraId="100C26E2" w14:textId="77777777" w:rsidR="00FE5D44" w:rsidRPr="00FE5D44" w:rsidRDefault="00FE5D44" w:rsidP="00FE5D44">
            <w:pPr>
              <w:jc w:val="center"/>
              <w:rPr>
                <w:lang w:val="en-GB"/>
              </w:rPr>
            </w:pPr>
            <w:r w:rsidRPr="00FE5D44">
              <w:rPr>
                <w:lang w:val="en-GB"/>
              </w:rPr>
              <w:t>0.10</w:t>
            </w:r>
          </w:p>
        </w:tc>
        <w:tc>
          <w:tcPr>
            <w:tcW w:w="1440" w:type="dxa"/>
            <w:vAlign w:val="center"/>
            <w:hideMark/>
          </w:tcPr>
          <w:p w14:paraId="3D3C6A5E" w14:textId="77777777" w:rsidR="00FE5D44" w:rsidRPr="00FE5D44" w:rsidRDefault="00FE5D44" w:rsidP="00FE5D44">
            <w:pPr>
              <w:jc w:val="center"/>
              <w:rPr>
                <w:lang w:val="en-GB"/>
              </w:rPr>
            </w:pPr>
            <w:r w:rsidRPr="00FE5D44">
              <w:rPr>
                <w:lang w:val="en-GB"/>
              </w:rPr>
              <w:t>0.12</w:t>
            </w:r>
          </w:p>
        </w:tc>
        <w:tc>
          <w:tcPr>
            <w:tcW w:w="991" w:type="dxa"/>
            <w:vAlign w:val="center"/>
            <w:hideMark/>
          </w:tcPr>
          <w:p w14:paraId="51C96FD0" w14:textId="77777777" w:rsidR="00FE5D44" w:rsidRPr="00FE5D44" w:rsidRDefault="00FE5D44" w:rsidP="00FE5D44">
            <w:pPr>
              <w:jc w:val="center"/>
              <w:rPr>
                <w:lang w:val="en-GB"/>
              </w:rPr>
            </w:pPr>
            <w:r w:rsidRPr="00FE5D44">
              <w:rPr>
                <w:lang w:val="en-GB"/>
              </w:rPr>
              <w:t>Uniform</w:t>
            </w:r>
          </w:p>
        </w:tc>
      </w:tr>
      <w:tr w:rsidR="00FE5D44" w:rsidRPr="00FE5D44" w14:paraId="3833F579" w14:textId="77777777" w:rsidTr="009C5524">
        <w:trPr>
          <w:trHeight w:val="554"/>
          <w:jc w:val="center"/>
        </w:trPr>
        <w:tc>
          <w:tcPr>
            <w:tcW w:w="1620" w:type="dxa"/>
            <w:vAlign w:val="center"/>
          </w:tcPr>
          <w:p w14:paraId="27C00183" w14:textId="610B4F9C" w:rsidR="00FE5D44" w:rsidRPr="00FE5D44" w:rsidRDefault="00FE5D44" w:rsidP="00FE5D44">
            <w:pPr>
              <w:jc w:val="center"/>
              <w:rPr>
                <w:bCs/>
                <w:lang w:val="en-GB"/>
              </w:rPr>
            </w:pPr>
            <w:r w:rsidRPr="00FE5D44">
              <w:rPr>
                <w:bCs/>
                <w:lang w:val="en-GB"/>
              </w:rPr>
              <w:t>Transition Rate</w:t>
            </w:r>
          </w:p>
        </w:tc>
        <w:tc>
          <w:tcPr>
            <w:tcW w:w="3600" w:type="dxa"/>
            <w:vAlign w:val="center"/>
            <w:hideMark/>
          </w:tcPr>
          <w:p w14:paraId="44EFD6B0" w14:textId="4E8E413E" w:rsidR="00FE5D44" w:rsidRPr="00FE5D44" w:rsidRDefault="00FE5D44" w:rsidP="00FE5D44">
            <w:pPr>
              <w:jc w:val="center"/>
              <w:rPr>
                <w:lang w:val="en-GB"/>
              </w:rPr>
            </w:pPr>
            <w:r>
              <w:rPr>
                <w:bCs/>
                <w:lang w:val="en-GB"/>
              </w:rPr>
              <w:t>A</w:t>
            </w:r>
            <w:r w:rsidRPr="00FE5D44">
              <w:rPr>
                <w:lang w:val="en-GB"/>
              </w:rPr>
              <w:t xml:space="preserve">gricultural </w:t>
            </w:r>
            <w:r>
              <w:rPr>
                <w:lang w:val="en-GB"/>
              </w:rPr>
              <w:t>to residential low-density</w:t>
            </w:r>
          </w:p>
        </w:tc>
        <w:tc>
          <w:tcPr>
            <w:tcW w:w="1350" w:type="dxa"/>
            <w:vAlign w:val="center"/>
            <w:hideMark/>
          </w:tcPr>
          <w:p w14:paraId="400C07A9" w14:textId="77777777" w:rsidR="00FE5D44" w:rsidRPr="00FE5D44" w:rsidRDefault="00FE5D44" w:rsidP="00FE5D44">
            <w:pPr>
              <w:jc w:val="center"/>
              <w:rPr>
                <w:lang w:val="en-GB"/>
              </w:rPr>
            </w:pPr>
            <w:r w:rsidRPr="00FE5D44">
              <w:rPr>
                <w:lang w:val="en-GB"/>
              </w:rPr>
              <w:t>0.04</w:t>
            </w:r>
          </w:p>
        </w:tc>
        <w:tc>
          <w:tcPr>
            <w:tcW w:w="1440" w:type="dxa"/>
            <w:vAlign w:val="center"/>
            <w:hideMark/>
          </w:tcPr>
          <w:p w14:paraId="288EC38D" w14:textId="77777777" w:rsidR="00FE5D44" w:rsidRPr="00FE5D44" w:rsidRDefault="00FE5D44" w:rsidP="00FE5D44">
            <w:pPr>
              <w:jc w:val="center"/>
              <w:rPr>
                <w:lang w:val="en-GB"/>
              </w:rPr>
            </w:pPr>
            <w:r w:rsidRPr="00FE5D44">
              <w:rPr>
                <w:lang w:val="en-GB"/>
              </w:rPr>
              <w:t>0.07</w:t>
            </w:r>
          </w:p>
        </w:tc>
        <w:tc>
          <w:tcPr>
            <w:tcW w:w="991" w:type="dxa"/>
            <w:vAlign w:val="center"/>
            <w:hideMark/>
          </w:tcPr>
          <w:p w14:paraId="07F0B3F2" w14:textId="77777777" w:rsidR="00FE5D44" w:rsidRPr="00FE5D44" w:rsidRDefault="00FE5D44" w:rsidP="00FE5D44">
            <w:pPr>
              <w:jc w:val="center"/>
              <w:rPr>
                <w:lang w:val="en-GB"/>
              </w:rPr>
            </w:pPr>
            <w:r w:rsidRPr="00FE5D44">
              <w:rPr>
                <w:lang w:val="en-GB"/>
              </w:rPr>
              <w:t>Uniform</w:t>
            </w:r>
          </w:p>
        </w:tc>
      </w:tr>
      <w:tr w:rsidR="00FE5D44" w:rsidRPr="00FE5D44" w14:paraId="38BECDB8" w14:textId="77777777" w:rsidTr="009C5524">
        <w:trPr>
          <w:trHeight w:val="617"/>
          <w:jc w:val="center"/>
        </w:trPr>
        <w:tc>
          <w:tcPr>
            <w:tcW w:w="1620" w:type="dxa"/>
            <w:vAlign w:val="center"/>
          </w:tcPr>
          <w:p w14:paraId="7D8FE6CB" w14:textId="4FD28E95" w:rsidR="00FE5D44" w:rsidRPr="00FE5D44" w:rsidRDefault="00FE5D44" w:rsidP="00FE5D44">
            <w:pPr>
              <w:jc w:val="center"/>
              <w:rPr>
                <w:bCs/>
                <w:lang w:val="en-GB"/>
              </w:rPr>
            </w:pPr>
            <w:r w:rsidRPr="00FE5D44">
              <w:rPr>
                <w:bCs/>
                <w:lang w:val="en-GB"/>
              </w:rPr>
              <w:t>Transition Rate</w:t>
            </w:r>
          </w:p>
        </w:tc>
        <w:tc>
          <w:tcPr>
            <w:tcW w:w="3600" w:type="dxa"/>
            <w:vAlign w:val="center"/>
            <w:hideMark/>
          </w:tcPr>
          <w:p w14:paraId="3C5D0364" w14:textId="35C2F7E2" w:rsidR="00FE5D44" w:rsidRPr="00FE5D44" w:rsidRDefault="00FE5D44" w:rsidP="00FE5D44">
            <w:pPr>
              <w:jc w:val="center"/>
              <w:rPr>
                <w:lang w:val="en-GB"/>
              </w:rPr>
            </w:pPr>
            <w:r>
              <w:rPr>
                <w:bCs/>
                <w:lang w:val="en-GB"/>
              </w:rPr>
              <w:t>A</w:t>
            </w:r>
            <w:r w:rsidRPr="00FE5D44">
              <w:rPr>
                <w:lang w:val="en-GB"/>
              </w:rPr>
              <w:t>g</w:t>
            </w:r>
            <w:r>
              <w:rPr>
                <w:lang w:val="en-GB"/>
              </w:rPr>
              <w:t>ricultural area to residential high-density</w:t>
            </w:r>
          </w:p>
        </w:tc>
        <w:tc>
          <w:tcPr>
            <w:tcW w:w="1350" w:type="dxa"/>
            <w:vAlign w:val="center"/>
            <w:hideMark/>
          </w:tcPr>
          <w:p w14:paraId="5757E466" w14:textId="77777777" w:rsidR="00FE5D44" w:rsidRPr="00FE5D44" w:rsidRDefault="00FE5D44" w:rsidP="00FE5D44">
            <w:pPr>
              <w:jc w:val="center"/>
              <w:rPr>
                <w:lang w:val="en-GB"/>
              </w:rPr>
            </w:pPr>
            <w:r w:rsidRPr="00FE5D44">
              <w:rPr>
                <w:lang w:val="en-GB"/>
              </w:rPr>
              <w:t>0.04</w:t>
            </w:r>
          </w:p>
        </w:tc>
        <w:tc>
          <w:tcPr>
            <w:tcW w:w="1440" w:type="dxa"/>
            <w:vAlign w:val="center"/>
            <w:hideMark/>
          </w:tcPr>
          <w:p w14:paraId="61E20B6C" w14:textId="77777777" w:rsidR="00FE5D44" w:rsidRPr="00FE5D44" w:rsidRDefault="00FE5D44" w:rsidP="00FE5D44">
            <w:pPr>
              <w:jc w:val="center"/>
              <w:rPr>
                <w:lang w:val="en-GB"/>
              </w:rPr>
            </w:pPr>
            <w:r w:rsidRPr="00FE5D44">
              <w:rPr>
                <w:lang w:val="en-GB"/>
              </w:rPr>
              <w:t>0.05</w:t>
            </w:r>
          </w:p>
        </w:tc>
        <w:tc>
          <w:tcPr>
            <w:tcW w:w="991" w:type="dxa"/>
            <w:vAlign w:val="center"/>
            <w:hideMark/>
          </w:tcPr>
          <w:p w14:paraId="37DD1D6E" w14:textId="77777777" w:rsidR="00FE5D44" w:rsidRPr="00FE5D44" w:rsidRDefault="00FE5D44" w:rsidP="00FE5D44">
            <w:pPr>
              <w:jc w:val="center"/>
              <w:rPr>
                <w:lang w:val="en-GB"/>
              </w:rPr>
            </w:pPr>
            <w:r w:rsidRPr="00FE5D44">
              <w:rPr>
                <w:lang w:val="en-GB"/>
              </w:rPr>
              <w:t>Uniform</w:t>
            </w:r>
          </w:p>
        </w:tc>
      </w:tr>
      <w:tr w:rsidR="00FE5D44" w:rsidRPr="00FE5D44" w14:paraId="12F12E20" w14:textId="77777777" w:rsidTr="009C5524">
        <w:trPr>
          <w:trHeight w:val="626"/>
          <w:jc w:val="center"/>
        </w:trPr>
        <w:tc>
          <w:tcPr>
            <w:tcW w:w="1620" w:type="dxa"/>
            <w:vAlign w:val="center"/>
          </w:tcPr>
          <w:p w14:paraId="586093EC" w14:textId="2E0C35B3" w:rsidR="00FE5D44" w:rsidRPr="00FE5D44" w:rsidRDefault="00FE5D44" w:rsidP="00FE5D44">
            <w:pPr>
              <w:jc w:val="center"/>
              <w:rPr>
                <w:bCs/>
                <w:lang w:val="en-GB"/>
              </w:rPr>
            </w:pPr>
            <w:r w:rsidRPr="00FE5D44">
              <w:rPr>
                <w:bCs/>
                <w:lang w:val="en-GB"/>
              </w:rPr>
              <w:t>Transition Rate</w:t>
            </w:r>
          </w:p>
        </w:tc>
        <w:tc>
          <w:tcPr>
            <w:tcW w:w="3600" w:type="dxa"/>
            <w:vAlign w:val="center"/>
            <w:hideMark/>
          </w:tcPr>
          <w:p w14:paraId="0AE6CDA2" w14:textId="2CB00F41" w:rsidR="00FE5D44" w:rsidRPr="00FE5D44" w:rsidRDefault="00FE5D44" w:rsidP="00FE5D44">
            <w:pPr>
              <w:jc w:val="center"/>
              <w:rPr>
                <w:lang w:val="en-GB"/>
              </w:rPr>
            </w:pPr>
            <w:r>
              <w:rPr>
                <w:bCs/>
                <w:lang w:val="en-GB"/>
              </w:rPr>
              <w:t>A</w:t>
            </w:r>
            <w:r w:rsidRPr="00FE5D44">
              <w:rPr>
                <w:lang w:val="en-GB"/>
              </w:rPr>
              <w:t>gricultural area to industrial</w:t>
            </w:r>
            <w:r>
              <w:rPr>
                <w:lang w:val="en-GB"/>
              </w:rPr>
              <w:t>/commercial</w:t>
            </w:r>
          </w:p>
        </w:tc>
        <w:tc>
          <w:tcPr>
            <w:tcW w:w="1350" w:type="dxa"/>
            <w:vAlign w:val="center"/>
            <w:hideMark/>
          </w:tcPr>
          <w:p w14:paraId="536B85C2" w14:textId="77777777" w:rsidR="00FE5D44" w:rsidRPr="00FE5D44" w:rsidRDefault="00FE5D44" w:rsidP="00FE5D44">
            <w:pPr>
              <w:jc w:val="center"/>
              <w:rPr>
                <w:lang w:val="en-GB"/>
              </w:rPr>
            </w:pPr>
            <w:r w:rsidRPr="00FE5D44">
              <w:rPr>
                <w:lang w:val="en-GB"/>
              </w:rPr>
              <w:t>0.04</w:t>
            </w:r>
          </w:p>
        </w:tc>
        <w:tc>
          <w:tcPr>
            <w:tcW w:w="1440" w:type="dxa"/>
            <w:vAlign w:val="center"/>
            <w:hideMark/>
          </w:tcPr>
          <w:p w14:paraId="5EF74F5F" w14:textId="77777777" w:rsidR="00FE5D44" w:rsidRPr="00FE5D44" w:rsidRDefault="00FE5D44" w:rsidP="00FE5D44">
            <w:pPr>
              <w:jc w:val="center"/>
              <w:rPr>
                <w:lang w:val="en-GB"/>
              </w:rPr>
            </w:pPr>
            <w:r w:rsidRPr="00FE5D44">
              <w:rPr>
                <w:lang w:val="en-GB"/>
              </w:rPr>
              <w:t>0.06</w:t>
            </w:r>
          </w:p>
        </w:tc>
        <w:tc>
          <w:tcPr>
            <w:tcW w:w="991" w:type="dxa"/>
            <w:vAlign w:val="center"/>
            <w:hideMark/>
          </w:tcPr>
          <w:p w14:paraId="50ACDEEE" w14:textId="77777777" w:rsidR="00FE5D44" w:rsidRPr="00FE5D44" w:rsidRDefault="00FE5D44" w:rsidP="00FE5D44">
            <w:pPr>
              <w:jc w:val="center"/>
              <w:rPr>
                <w:lang w:val="en-GB"/>
              </w:rPr>
            </w:pPr>
            <w:r w:rsidRPr="00FE5D44">
              <w:rPr>
                <w:lang w:val="en-GB"/>
              </w:rPr>
              <w:t>Uniform</w:t>
            </w:r>
          </w:p>
        </w:tc>
      </w:tr>
      <w:tr w:rsidR="00FE5D44" w:rsidRPr="00FE5D44" w14:paraId="3B65FE85" w14:textId="77777777" w:rsidTr="009C5524">
        <w:trPr>
          <w:trHeight w:val="562"/>
          <w:jc w:val="center"/>
        </w:trPr>
        <w:tc>
          <w:tcPr>
            <w:tcW w:w="1620" w:type="dxa"/>
            <w:vAlign w:val="center"/>
          </w:tcPr>
          <w:p w14:paraId="03CEC0B0" w14:textId="77F54C29" w:rsidR="00FE5D44" w:rsidRPr="00FE5D44" w:rsidRDefault="00FE5D44" w:rsidP="00FE5D44">
            <w:pPr>
              <w:jc w:val="center"/>
              <w:rPr>
                <w:bCs/>
                <w:lang w:val="en-GB"/>
              </w:rPr>
            </w:pPr>
            <w:r w:rsidRPr="00FE5D44">
              <w:rPr>
                <w:bCs/>
                <w:lang w:val="en-GB"/>
              </w:rPr>
              <w:t>Weights of Evidence</w:t>
            </w:r>
          </w:p>
        </w:tc>
        <w:tc>
          <w:tcPr>
            <w:tcW w:w="3600" w:type="dxa"/>
            <w:vAlign w:val="center"/>
            <w:hideMark/>
          </w:tcPr>
          <w:p w14:paraId="4983370C" w14:textId="51D091C3" w:rsidR="00FE5D44" w:rsidRPr="00FE5D44" w:rsidRDefault="00FE5D44" w:rsidP="00FE5D44">
            <w:pPr>
              <w:jc w:val="center"/>
              <w:rPr>
                <w:lang w:val="en-GB"/>
              </w:rPr>
            </w:pPr>
            <w:r w:rsidRPr="00FE5D44">
              <w:rPr>
                <w:lang w:val="en-GB"/>
              </w:rPr>
              <w:t>Train</w:t>
            </w:r>
            <w:r>
              <w:rPr>
                <w:lang w:val="en-GB"/>
              </w:rPr>
              <w:t xml:space="preserve"> Stations/Highway access points</w:t>
            </w:r>
          </w:p>
        </w:tc>
        <w:tc>
          <w:tcPr>
            <w:tcW w:w="1350" w:type="dxa"/>
            <w:vAlign w:val="center"/>
            <w:hideMark/>
          </w:tcPr>
          <w:p w14:paraId="49E3B4C1" w14:textId="77777777" w:rsidR="00FE5D44" w:rsidRPr="00FE5D44" w:rsidRDefault="00FE5D44" w:rsidP="00FE5D44">
            <w:pPr>
              <w:jc w:val="center"/>
              <w:rPr>
                <w:lang w:val="en-GB"/>
              </w:rPr>
            </w:pPr>
            <w:r w:rsidRPr="00FE5D44">
              <w:rPr>
                <w:lang w:val="en-GB"/>
              </w:rPr>
              <w:t>-50%/+50%</w:t>
            </w:r>
          </w:p>
        </w:tc>
        <w:tc>
          <w:tcPr>
            <w:tcW w:w="1440" w:type="dxa"/>
            <w:vAlign w:val="center"/>
            <w:hideMark/>
          </w:tcPr>
          <w:p w14:paraId="3F9A3172" w14:textId="77777777" w:rsidR="00FE5D44" w:rsidRPr="00FE5D44" w:rsidRDefault="00FE5D44" w:rsidP="00FE5D44">
            <w:pPr>
              <w:jc w:val="center"/>
              <w:rPr>
                <w:lang w:val="en-GB"/>
              </w:rPr>
            </w:pPr>
            <w:r w:rsidRPr="00FE5D44">
              <w:rPr>
                <w:lang w:val="en-GB"/>
              </w:rPr>
              <w:t>+50%/-50%</w:t>
            </w:r>
          </w:p>
        </w:tc>
        <w:tc>
          <w:tcPr>
            <w:tcW w:w="991" w:type="dxa"/>
            <w:vAlign w:val="center"/>
            <w:hideMark/>
          </w:tcPr>
          <w:p w14:paraId="1967BA62" w14:textId="77777777" w:rsidR="00FE5D44" w:rsidRPr="00FE5D44" w:rsidRDefault="00FE5D44" w:rsidP="00FE5D44">
            <w:pPr>
              <w:jc w:val="center"/>
              <w:rPr>
                <w:lang w:val="en-GB"/>
              </w:rPr>
            </w:pPr>
            <w:r w:rsidRPr="00FE5D44">
              <w:rPr>
                <w:lang w:val="en-GB"/>
              </w:rPr>
              <w:t>Uniform</w:t>
            </w:r>
          </w:p>
        </w:tc>
      </w:tr>
      <w:tr w:rsidR="00FE5D44" w:rsidRPr="00FE5D44" w14:paraId="04A776BC" w14:textId="77777777" w:rsidTr="009C5524">
        <w:trPr>
          <w:trHeight w:val="562"/>
          <w:jc w:val="center"/>
        </w:trPr>
        <w:tc>
          <w:tcPr>
            <w:tcW w:w="1620" w:type="dxa"/>
            <w:vAlign w:val="center"/>
          </w:tcPr>
          <w:p w14:paraId="24BCCC20" w14:textId="004683A8" w:rsidR="00FE5D44" w:rsidRPr="00FE5D44" w:rsidRDefault="00FE5D44" w:rsidP="00FE5D44">
            <w:pPr>
              <w:jc w:val="center"/>
              <w:rPr>
                <w:bCs/>
                <w:lang w:val="en-GB"/>
              </w:rPr>
            </w:pPr>
            <w:r w:rsidRPr="00FE5D44">
              <w:rPr>
                <w:bCs/>
                <w:lang w:val="en-GB"/>
              </w:rPr>
              <w:t>Weights of Evidence</w:t>
            </w:r>
          </w:p>
        </w:tc>
        <w:tc>
          <w:tcPr>
            <w:tcW w:w="3600" w:type="dxa"/>
            <w:vAlign w:val="center"/>
            <w:hideMark/>
          </w:tcPr>
          <w:p w14:paraId="52E201A4" w14:textId="2AE42E84" w:rsidR="00FE5D44" w:rsidRPr="00FE5D44" w:rsidRDefault="00FE5D44" w:rsidP="00FE5D44">
            <w:pPr>
              <w:jc w:val="center"/>
              <w:rPr>
                <w:lang w:val="en-GB"/>
              </w:rPr>
            </w:pPr>
            <w:r w:rsidRPr="00FE5D44">
              <w:rPr>
                <w:lang w:val="en-GB"/>
              </w:rPr>
              <w:t>Smaller cities/</w:t>
            </w:r>
            <w:r>
              <w:rPr>
                <w:lang w:val="en-GB"/>
              </w:rPr>
              <w:t>Metropolitan areas</w:t>
            </w:r>
          </w:p>
        </w:tc>
        <w:tc>
          <w:tcPr>
            <w:tcW w:w="1350" w:type="dxa"/>
            <w:vAlign w:val="center"/>
            <w:hideMark/>
          </w:tcPr>
          <w:p w14:paraId="4365DBCD" w14:textId="77777777" w:rsidR="00FE5D44" w:rsidRPr="00FE5D44" w:rsidRDefault="00FE5D44" w:rsidP="00FE5D44">
            <w:pPr>
              <w:jc w:val="center"/>
              <w:rPr>
                <w:lang w:val="en-GB"/>
              </w:rPr>
            </w:pPr>
            <w:r w:rsidRPr="00FE5D44">
              <w:rPr>
                <w:lang w:val="en-GB"/>
              </w:rPr>
              <w:t>-50%/+50%</w:t>
            </w:r>
          </w:p>
        </w:tc>
        <w:tc>
          <w:tcPr>
            <w:tcW w:w="1440" w:type="dxa"/>
            <w:vAlign w:val="center"/>
            <w:hideMark/>
          </w:tcPr>
          <w:p w14:paraId="35AE1E8A" w14:textId="77777777" w:rsidR="00FE5D44" w:rsidRPr="00FE5D44" w:rsidRDefault="00FE5D44" w:rsidP="00FE5D44">
            <w:pPr>
              <w:jc w:val="center"/>
              <w:rPr>
                <w:lang w:val="en-GB"/>
              </w:rPr>
            </w:pPr>
            <w:r w:rsidRPr="00FE5D44">
              <w:rPr>
                <w:lang w:val="en-GB"/>
              </w:rPr>
              <w:t>+50%/-50%</w:t>
            </w:r>
          </w:p>
        </w:tc>
        <w:tc>
          <w:tcPr>
            <w:tcW w:w="991" w:type="dxa"/>
            <w:vAlign w:val="center"/>
            <w:hideMark/>
          </w:tcPr>
          <w:p w14:paraId="73D67084" w14:textId="77777777" w:rsidR="00FE5D44" w:rsidRPr="00FE5D44" w:rsidRDefault="00FE5D44" w:rsidP="00FE5D44">
            <w:pPr>
              <w:jc w:val="center"/>
              <w:rPr>
                <w:lang w:val="en-GB"/>
              </w:rPr>
            </w:pPr>
            <w:r w:rsidRPr="00FE5D44">
              <w:rPr>
                <w:lang w:val="en-GB"/>
              </w:rPr>
              <w:t>Uniform</w:t>
            </w:r>
          </w:p>
        </w:tc>
      </w:tr>
    </w:tbl>
    <w:p w14:paraId="779D5BAD" w14:textId="77777777" w:rsidR="006605CC" w:rsidRPr="00FF434E" w:rsidRDefault="006605CC" w:rsidP="006A595E">
      <w:pPr>
        <w:rPr>
          <w:lang w:val="en-GB"/>
        </w:rPr>
      </w:pPr>
    </w:p>
    <w:p w14:paraId="5FFD54AD" w14:textId="77777777" w:rsidR="00270751" w:rsidRPr="00FF434E" w:rsidRDefault="00270751" w:rsidP="006A595E">
      <w:pPr>
        <w:rPr>
          <w:lang w:val="en-GB"/>
        </w:rPr>
      </w:pPr>
    </w:p>
    <w:p w14:paraId="45F81D87" w14:textId="18F3E5C9" w:rsidR="00FA6C12" w:rsidRPr="00FF434E" w:rsidRDefault="00FA6C12" w:rsidP="00FA6C12">
      <w:pPr>
        <w:pStyle w:val="Heading2"/>
        <w:numPr>
          <w:ilvl w:val="1"/>
          <w:numId w:val="3"/>
        </w:numPr>
        <w:ind w:left="432"/>
        <w:rPr>
          <w:lang w:val="en-GB"/>
        </w:rPr>
      </w:pPr>
      <w:r w:rsidRPr="00FF434E">
        <w:rPr>
          <w:lang w:val="en-GB"/>
        </w:rPr>
        <w:t>Spatial Similarity</w:t>
      </w:r>
    </w:p>
    <w:p w14:paraId="4281E195" w14:textId="33484BDB" w:rsidR="007F6363" w:rsidRPr="00FF434E" w:rsidRDefault="00D002DB" w:rsidP="006A595E">
      <w:pPr>
        <w:rPr>
          <w:lang w:val="en-GB"/>
        </w:rPr>
      </w:pPr>
      <w:r w:rsidRPr="009C5524">
        <w:rPr>
          <w:lang w:val="en-GB"/>
        </w:rPr>
        <w:t xml:space="preserve">To identify clusters of simulations, a measurement of spatial similarity is required. </w:t>
      </w:r>
      <w:r w:rsidR="009C5524" w:rsidRPr="009C5524">
        <w:rPr>
          <w:lang w:val="en-GB"/>
        </w:rPr>
        <w:t>In this paper, w</w:t>
      </w:r>
      <w:r w:rsidR="000139D0" w:rsidRPr="009C5524">
        <w:rPr>
          <w:lang w:val="en-GB"/>
        </w:rPr>
        <w:t xml:space="preserve">e used </w:t>
      </w:r>
      <w:r w:rsidRPr="009C5524">
        <w:rPr>
          <w:lang w:val="en-GB"/>
        </w:rPr>
        <w:t>Kappa</w:t>
      </w:r>
      <w:r w:rsidR="000139D0" w:rsidRPr="009C5524">
        <w:rPr>
          <w:lang w:val="en-GB"/>
        </w:rPr>
        <w:t xml:space="preserve">, which is </w:t>
      </w:r>
      <w:r w:rsidR="00180B30" w:rsidRPr="009C5524">
        <w:rPr>
          <w:lang w:val="en-GB"/>
        </w:rPr>
        <w:t>a measure of</w:t>
      </w:r>
      <w:r w:rsidR="000139D0" w:rsidRPr="009C5524">
        <w:rPr>
          <w:lang w:val="en-GB"/>
        </w:rPr>
        <w:t xml:space="preserve"> accuracy between </w:t>
      </w:r>
      <w:r w:rsidR="00180B30" w:rsidRPr="009C5524">
        <w:rPr>
          <w:lang w:val="en-GB"/>
        </w:rPr>
        <w:t xml:space="preserve">maps, often used to compare </w:t>
      </w:r>
      <w:r w:rsidR="000139D0" w:rsidRPr="009C5524">
        <w:rPr>
          <w:lang w:val="en-GB"/>
        </w:rPr>
        <w:t>a simulated LUCC map and a ground-truth map.</w:t>
      </w:r>
      <w:r w:rsidRPr="009C5524">
        <w:rPr>
          <w:lang w:val="en-GB"/>
        </w:rPr>
        <w:t xml:space="preserve"> </w:t>
      </w:r>
      <w:r w:rsidR="000139D0" w:rsidRPr="009C5524">
        <w:rPr>
          <w:lang w:val="en-GB"/>
        </w:rPr>
        <w:t xml:space="preserve">However, our methodology can be used with </w:t>
      </w:r>
      <w:r w:rsidR="009C5524" w:rsidRPr="009C5524">
        <w:rPr>
          <w:lang w:val="en-GB"/>
        </w:rPr>
        <w:t>other</w:t>
      </w:r>
      <w:r w:rsidR="000139D0" w:rsidRPr="009C5524">
        <w:rPr>
          <w:lang w:val="en-GB"/>
        </w:rPr>
        <w:t xml:space="preserve"> spatial similarity metric</w:t>
      </w:r>
      <w:r w:rsidR="009C5524" w:rsidRPr="009C5524">
        <w:rPr>
          <w:lang w:val="en-GB"/>
        </w:rPr>
        <w:t>s</w:t>
      </w:r>
      <w:r w:rsidR="000139D0" w:rsidRPr="009C5524">
        <w:rPr>
          <w:lang w:val="en-GB"/>
        </w:rPr>
        <w:t>.</w:t>
      </w:r>
      <w:r w:rsidRPr="00FF434E">
        <w:rPr>
          <w:lang w:val="en-GB"/>
        </w:rPr>
        <w:t xml:space="preserve"> </w:t>
      </w:r>
      <w:r w:rsidR="007F6363" w:rsidRPr="00FF434E">
        <w:rPr>
          <w:lang w:val="en-GB"/>
        </w:rPr>
        <w:t>As Kappa is a metric of spatial agreement, (1-Kappa) was used as the distance (disagreement) metric.</w:t>
      </w:r>
      <w:r w:rsidR="009C5524">
        <w:rPr>
          <w:lang w:val="en-GB"/>
        </w:rPr>
        <w:t xml:space="preserve"> This Kappa-based distance metric</w:t>
      </w:r>
      <w:r w:rsidR="009C5524" w:rsidRPr="00FF434E">
        <w:rPr>
          <w:lang w:val="en-GB"/>
        </w:rPr>
        <w:t xml:space="preserve"> was computed between each pair of the 800 simulated maps generating </w:t>
      </w:r>
      <w:proofErr w:type="gramStart"/>
      <w:r w:rsidR="009C5524" w:rsidRPr="00FF434E">
        <w:rPr>
          <w:lang w:val="en-GB"/>
        </w:rPr>
        <w:t>a</w:t>
      </w:r>
      <w:proofErr w:type="gramEnd"/>
      <w:r w:rsidR="009C5524" w:rsidRPr="00FF434E">
        <w:rPr>
          <w:lang w:val="en-GB"/>
        </w:rPr>
        <w:t xml:space="preserve"> 800x800 matrix.</w:t>
      </w:r>
    </w:p>
    <w:p w14:paraId="4AB4CC41" w14:textId="77777777" w:rsidR="00FA6C12" w:rsidRPr="00FF434E" w:rsidRDefault="00FA6C12" w:rsidP="006A595E">
      <w:pPr>
        <w:rPr>
          <w:lang w:val="en-GB"/>
        </w:rPr>
      </w:pPr>
    </w:p>
    <w:p w14:paraId="76E456B6" w14:textId="341BC049" w:rsidR="00FA6C12" w:rsidRPr="00FF434E" w:rsidRDefault="00FA6C12" w:rsidP="00FA6C12">
      <w:pPr>
        <w:pStyle w:val="Heading2"/>
        <w:numPr>
          <w:ilvl w:val="1"/>
          <w:numId w:val="3"/>
        </w:numPr>
        <w:ind w:left="432"/>
        <w:rPr>
          <w:lang w:val="en-GB"/>
        </w:rPr>
      </w:pPr>
      <w:r w:rsidRPr="00FF434E">
        <w:rPr>
          <w:lang w:val="en-GB"/>
        </w:rPr>
        <w:t>Clustering</w:t>
      </w:r>
    </w:p>
    <w:p w14:paraId="27AC88DD" w14:textId="53C3E7EB" w:rsidR="00FA6C12" w:rsidRDefault="00D900F5" w:rsidP="006A595E">
      <w:pPr>
        <w:rPr>
          <w:lang w:val="en-GB"/>
        </w:rPr>
      </w:pPr>
      <w:r w:rsidRPr="00FF434E">
        <w:rPr>
          <w:lang w:val="en-GB"/>
        </w:rPr>
        <w:t>A hierarchical agglomerative clustering was applied to the 800x800 distance matrix</w:t>
      </w:r>
      <w:r w:rsidR="00C74E99">
        <w:rPr>
          <w:lang w:val="en-GB"/>
        </w:rPr>
        <w:t xml:space="preserve"> to identify 4 clusters within the ensemble results</w:t>
      </w:r>
      <w:r w:rsidRPr="00FF434E">
        <w:rPr>
          <w:lang w:val="en-GB"/>
        </w:rPr>
        <w:t xml:space="preserve">. </w:t>
      </w:r>
      <w:r w:rsidR="002B616A" w:rsidRPr="00FF434E">
        <w:rPr>
          <w:lang w:val="en-GB"/>
        </w:rPr>
        <w:t xml:space="preserve">We </w:t>
      </w:r>
      <w:r w:rsidR="00C74E99">
        <w:rPr>
          <w:lang w:val="en-GB"/>
        </w:rPr>
        <w:t>then</w:t>
      </w:r>
      <w:r w:rsidR="002B616A" w:rsidRPr="00FF434E">
        <w:rPr>
          <w:lang w:val="en-GB"/>
        </w:rPr>
        <w:t xml:space="preserve"> perform</w:t>
      </w:r>
      <w:r w:rsidR="00C74E99">
        <w:rPr>
          <w:lang w:val="en-GB"/>
        </w:rPr>
        <w:t>ed</w:t>
      </w:r>
      <w:r w:rsidR="002B616A" w:rsidRPr="00FF434E">
        <w:rPr>
          <w:lang w:val="en-GB"/>
        </w:rPr>
        <w:t xml:space="preserve"> feature </w:t>
      </w:r>
      <w:r w:rsidR="00A92D85">
        <w:rPr>
          <w:lang w:val="en-GB"/>
        </w:rPr>
        <w:t>scoring</w:t>
      </w:r>
      <w:r w:rsidR="00C74E99">
        <w:rPr>
          <w:lang w:val="en-GB"/>
        </w:rPr>
        <w:t>, which is technique commonly used in machine learning to identify the most important factors of a model,</w:t>
      </w:r>
      <w:r w:rsidR="002B616A" w:rsidRPr="00FF434E">
        <w:rPr>
          <w:lang w:val="en-GB"/>
        </w:rPr>
        <w:t xml:space="preserve"> </w:t>
      </w:r>
      <w:r w:rsidR="009A0916">
        <w:rPr>
          <w:lang w:val="en-GB"/>
        </w:rPr>
        <w:t xml:space="preserve">on the uncertainties’ </w:t>
      </w:r>
      <w:r w:rsidR="00146325">
        <w:rPr>
          <w:lang w:val="en-GB"/>
        </w:rPr>
        <w:t>influence in the clustering</w:t>
      </w:r>
      <w:r w:rsidR="002B616A" w:rsidRPr="00FF434E">
        <w:rPr>
          <w:lang w:val="en-GB"/>
        </w:rPr>
        <w:t xml:space="preserve">. </w:t>
      </w:r>
      <w:r w:rsidR="007779B5">
        <w:rPr>
          <w:lang w:val="en-GB"/>
        </w:rPr>
        <w:t>T</w:t>
      </w:r>
      <w:r w:rsidR="009A0916">
        <w:rPr>
          <w:lang w:val="en-GB"/>
        </w:rPr>
        <w:t xml:space="preserve">he two </w:t>
      </w:r>
      <w:r w:rsidR="007779B5">
        <w:rPr>
          <w:lang w:val="en-GB"/>
        </w:rPr>
        <w:t>f</w:t>
      </w:r>
      <w:r w:rsidR="00146325">
        <w:rPr>
          <w:lang w:val="en-GB"/>
        </w:rPr>
        <w:t xml:space="preserve">actors </w:t>
      </w:r>
      <w:r w:rsidR="007779B5">
        <w:rPr>
          <w:lang w:val="en-GB"/>
        </w:rPr>
        <w:t xml:space="preserve">related to the spatial distribution of LUCC, </w:t>
      </w:r>
      <w:r w:rsidR="007779B5" w:rsidRPr="00FE5D44">
        <w:rPr>
          <w:lang w:val="en-GB"/>
        </w:rPr>
        <w:t>Train</w:t>
      </w:r>
      <w:r w:rsidR="007779B5">
        <w:rPr>
          <w:lang w:val="en-GB"/>
        </w:rPr>
        <w:t xml:space="preserve"> Stations/Highway access points</w:t>
      </w:r>
      <w:r w:rsidR="00146325">
        <w:rPr>
          <w:lang w:val="en-GB"/>
        </w:rPr>
        <w:t xml:space="preserve"> and </w:t>
      </w:r>
      <w:r w:rsidR="007779B5" w:rsidRPr="00FE5D44">
        <w:rPr>
          <w:lang w:val="en-GB"/>
        </w:rPr>
        <w:t>Smaller cities/</w:t>
      </w:r>
      <w:r w:rsidR="007779B5">
        <w:rPr>
          <w:lang w:val="en-GB"/>
        </w:rPr>
        <w:t>Metropolitan areas, were found to explain 65% and 10% of</w:t>
      </w:r>
      <w:r w:rsidR="00146325">
        <w:rPr>
          <w:lang w:val="en-GB"/>
        </w:rPr>
        <w:t xml:space="preserve"> the clustering</w:t>
      </w:r>
      <w:r w:rsidR="007779B5">
        <w:rPr>
          <w:lang w:val="en-GB"/>
        </w:rPr>
        <w:t xml:space="preserve"> respectively</w:t>
      </w:r>
      <w:r w:rsidR="00146325">
        <w:rPr>
          <w:lang w:val="en-GB"/>
        </w:rPr>
        <w:t>.</w:t>
      </w:r>
      <w:r w:rsidR="007779B5">
        <w:rPr>
          <w:lang w:val="en-GB"/>
        </w:rPr>
        <w:t xml:space="preserve"> Therefore, these two factors were used as the two axes of the </w:t>
      </w:r>
      <w:r w:rsidR="007779B5">
        <w:rPr>
          <w:lang w:val="en-GB"/>
        </w:rPr>
        <w:lastRenderedPageBreak/>
        <w:t>scenario map shown in Figure 2 and dubbed as “Transport Orientation” and “Urban Structure”.</w:t>
      </w:r>
    </w:p>
    <w:p w14:paraId="1ED821A8" w14:textId="39FB3887" w:rsidR="00A92D85" w:rsidRPr="00FF434E" w:rsidRDefault="00A92D85" w:rsidP="007779B5">
      <w:pPr>
        <w:rPr>
          <w:lang w:val="en-GB"/>
        </w:rPr>
      </w:pPr>
    </w:p>
    <w:p w14:paraId="096D5046" w14:textId="592A4A33" w:rsidR="007D6F32" w:rsidRPr="00FF434E" w:rsidRDefault="00E906E4" w:rsidP="00E906E4">
      <w:pPr>
        <w:pStyle w:val="Heading2"/>
        <w:numPr>
          <w:ilvl w:val="1"/>
          <w:numId w:val="3"/>
        </w:numPr>
        <w:ind w:left="432"/>
        <w:rPr>
          <w:lang w:val="en-GB"/>
        </w:rPr>
      </w:pPr>
      <w:r>
        <w:rPr>
          <w:lang w:val="en-GB"/>
        </w:rPr>
        <w:t>Visualization</w:t>
      </w:r>
      <w:r w:rsidR="007D6F32" w:rsidRPr="00FF434E">
        <w:rPr>
          <w:lang w:val="en-GB"/>
        </w:rPr>
        <w:t xml:space="preserve"> </w:t>
      </w:r>
    </w:p>
    <w:p w14:paraId="096D5047" w14:textId="77777777" w:rsidR="007D6F32" w:rsidRPr="00FF434E" w:rsidRDefault="007D6F32" w:rsidP="006A595E">
      <w:pPr>
        <w:pStyle w:val="BodyText"/>
        <w:rPr>
          <w:lang w:val="en-GB"/>
        </w:rPr>
      </w:pPr>
    </w:p>
    <w:p w14:paraId="096D5048" w14:textId="1887407D" w:rsidR="007D6F32" w:rsidRDefault="003C3801" w:rsidP="006A595E">
      <w:pPr>
        <w:pStyle w:val="BodyText"/>
        <w:rPr>
          <w:lang w:val="en-GB"/>
        </w:rPr>
      </w:pPr>
      <w:r w:rsidRPr="00FF434E">
        <w:rPr>
          <w:lang w:val="en-GB"/>
        </w:rPr>
        <w:t xml:space="preserve">Figure 2 shows the </w:t>
      </w:r>
      <w:r w:rsidR="00F11D2F">
        <w:rPr>
          <w:lang w:val="en-GB"/>
        </w:rPr>
        <w:t xml:space="preserve">800 simulations coloured according to the cluster they belong to. A probability surface was calculated to </w:t>
      </w:r>
      <w:proofErr w:type="gramStart"/>
      <w:r w:rsidR="00F11D2F">
        <w:rPr>
          <w:lang w:val="en-GB"/>
        </w:rPr>
        <w:t>coloured</w:t>
      </w:r>
      <w:proofErr w:type="gramEnd"/>
      <w:r w:rsidR="00F11D2F">
        <w:rPr>
          <w:lang w:val="en-GB"/>
        </w:rPr>
        <w:t xml:space="preserve"> the regions where its more than 80% likely to be classified in each cluster. The four clusters are located around the 4 </w:t>
      </w:r>
      <w:proofErr w:type="spellStart"/>
      <w:r w:rsidR="00F11D2F">
        <w:rPr>
          <w:lang w:val="en-GB"/>
        </w:rPr>
        <w:t>cuadrants</w:t>
      </w:r>
      <w:proofErr w:type="spellEnd"/>
      <w:r w:rsidR="00F11D2F">
        <w:rPr>
          <w:lang w:val="en-GB"/>
        </w:rPr>
        <w:t xml:space="preserve"> of the Figure, facilitating their labelling. The boundaries are mainly orthogonal to the axes but most of them differ from a predefined 2X2 scenarios matrix (as shown in Figure 1).</w:t>
      </w:r>
      <w:r w:rsidRPr="00FF434E">
        <w:rPr>
          <w:lang w:val="en-GB"/>
        </w:rPr>
        <w:t xml:space="preserve"> </w:t>
      </w:r>
    </w:p>
    <w:p w14:paraId="17C1B615" w14:textId="0F6147E8" w:rsidR="007779B5" w:rsidRDefault="007779B5" w:rsidP="006A595E">
      <w:pPr>
        <w:pStyle w:val="BodyText"/>
        <w:rPr>
          <w:lang w:val="en-GB"/>
        </w:rPr>
      </w:pPr>
    </w:p>
    <w:p w14:paraId="2210562A" w14:textId="4B490639" w:rsidR="007779B5" w:rsidRPr="007779B5" w:rsidRDefault="007779B5" w:rsidP="006A595E">
      <w:pPr>
        <w:pStyle w:val="BodyText"/>
        <w:rPr>
          <w:lang w:val="en-US"/>
        </w:rPr>
      </w:pPr>
      <w:r w:rsidRPr="007779B5">
        <w:rPr>
          <w:lang w:val="en-US"/>
        </w:rPr>
        <w:t xml:space="preserve">Figure 2 provides a more </w:t>
      </w:r>
      <w:proofErr w:type="spellStart"/>
      <w:r w:rsidRPr="007779B5">
        <w:rPr>
          <w:lang w:val="en-US"/>
        </w:rPr>
        <w:t>quantiative</w:t>
      </w:r>
      <w:proofErr w:type="spellEnd"/>
      <w:r w:rsidRPr="007779B5">
        <w:rPr>
          <w:lang w:val="en-US"/>
        </w:rPr>
        <w:t xml:space="preserve"> found</w:t>
      </w:r>
      <w:r>
        <w:rPr>
          <w:lang w:val="en-US"/>
        </w:rPr>
        <w:t xml:space="preserve">ation to understand </w:t>
      </w:r>
      <w:r w:rsidR="00AB2168">
        <w:rPr>
          <w:lang w:val="en-US"/>
        </w:rPr>
        <w:t>under which conditions</w:t>
      </w:r>
      <w:r>
        <w:rPr>
          <w:lang w:val="en-US"/>
        </w:rPr>
        <w:t xml:space="preserve"> each sce</w:t>
      </w:r>
      <w:r w:rsidR="00AB2168">
        <w:rPr>
          <w:lang w:val="en-US"/>
        </w:rPr>
        <w:t>nario can occur. For example, the “</w:t>
      </w:r>
      <w:proofErr w:type="spellStart"/>
      <w:r w:rsidR="00AB2168">
        <w:rPr>
          <w:lang w:val="en-US"/>
        </w:rPr>
        <w:t>Centralised</w:t>
      </w:r>
      <w:proofErr w:type="spellEnd"/>
      <w:r w:rsidR="00AB2168">
        <w:rPr>
          <w:lang w:val="en-US"/>
        </w:rPr>
        <w:t xml:space="preserve"> transit hubs” scenario occurs if the influence of metropolitan areas is equal or higher than the period 2009-2018, and across most of the values in the transport orientation axis except when highways influence is higher than 25% than the period 2009-2018. </w:t>
      </w:r>
      <w:r w:rsidR="00962D1D">
        <w:rPr>
          <w:lang w:val="en-US"/>
        </w:rPr>
        <w:t>Similar storylines can be developed for each of the four identified scenarios.</w:t>
      </w:r>
    </w:p>
    <w:p w14:paraId="096D5049" w14:textId="3029E8D6" w:rsidR="007D6F32" w:rsidRPr="007779B5" w:rsidRDefault="007D6F32" w:rsidP="006A595E">
      <w:pPr>
        <w:rPr>
          <w:lang w:val="en-US"/>
        </w:rPr>
      </w:pPr>
    </w:p>
    <w:p w14:paraId="52D631B5" w14:textId="7A9A16DE" w:rsidR="003C3801" w:rsidRPr="00FF434E" w:rsidRDefault="003C3801" w:rsidP="003C3801">
      <w:pPr>
        <w:jc w:val="center"/>
        <w:rPr>
          <w:lang w:val="en-GB"/>
        </w:rPr>
      </w:pPr>
      <w:r w:rsidRPr="00FF434E">
        <w:rPr>
          <w:noProof/>
          <w:lang w:val="en-GB"/>
        </w:rPr>
        <w:drawing>
          <wp:inline distT="0" distB="0" distL="0" distR="0" wp14:anchorId="0F10E53E" wp14:editId="0A2755A1">
            <wp:extent cx="4345229" cy="37253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5207" cy="3733934"/>
                    </a:xfrm>
                    <a:prstGeom prst="rect">
                      <a:avLst/>
                    </a:prstGeom>
                  </pic:spPr>
                </pic:pic>
              </a:graphicData>
            </a:graphic>
          </wp:inline>
        </w:drawing>
      </w:r>
    </w:p>
    <w:p w14:paraId="6FA2F6E7" w14:textId="52D41FEA" w:rsidR="00A92D85" w:rsidRPr="00FF434E" w:rsidRDefault="00A92D85" w:rsidP="00A92D85">
      <w:pPr>
        <w:pStyle w:val="Caption"/>
        <w:rPr>
          <w:lang w:val="en-GB"/>
        </w:rPr>
      </w:pPr>
      <w:r w:rsidRPr="00FF434E">
        <w:rPr>
          <w:b/>
          <w:lang w:val="en-GB"/>
        </w:rPr>
        <w:t xml:space="preserve">Figure </w:t>
      </w:r>
      <w:r w:rsidRPr="00FF434E">
        <w:rPr>
          <w:b/>
          <w:lang w:val="en-GB"/>
        </w:rPr>
        <w:fldChar w:fldCharType="begin"/>
      </w:r>
      <w:r w:rsidRPr="00FF434E">
        <w:rPr>
          <w:b/>
          <w:lang w:val="en-GB"/>
        </w:rPr>
        <w:instrText xml:space="preserve"> SEQ Figure \* ARABIC </w:instrText>
      </w:r>
      <w:r w:rsidRPr="00FF434E">
        <w:rPr>
          <w:b/>
          <w:lang w:val="en-GB"/>
        </w:rPr>
        <w:fldChar w:fldCharType="separate"/>
      </w:r>
      <w:r w:rsidR="007779B5">
        <w:rPr>
          <w:b/>
          <w:noProof/>
          <w:lang w:val="en-GB"/>
        </w:rPr>
        <w:t>2</w:t>
      </w:r>
      <w:r w:rsidRPr="00FF434E">
        <w:rPr>
          <w:b/>
          <w:lang w:val="en-GB"/>
        </w:rPr>
        <w:fldChar w:fldCharType="end"/>
      </w:r>
      <w:r w:rsidRPr="00FF434E">
        <w:rPr>
          <w:lang w:val="en-GB"/>
        </w:rPr>
        <w:t xml:space="preserve"> </w:t>
      </w:r>
      <w:r w:rsidR="007779B5">
        <w:rPr>
          <w:lang w:val="en-GB"/>
        </w:rPr>
        <w:t>Scenario map</w:t>
      </w:r>
    </w:p>
    <w:p w14:paraId="046C4DDF" w14:textId="77777777" w:rsidR="003C3801" w:rsidRPr="00FF434E" w:rsidRDefault="003C3801" w:rsidP="003C3801">
      <w:pPr>
        <w:jc w:val="center"/>
        <w:rPr>
          <w:lang w:val="en-GB"/>
        </w:rPr>
      </w:pPr>
    </w:p>
    <w:p w14:paraId="096D504A" w14:textId="05494321" w:rsidR="007D6F32" w:rsidRPr="00FF434E" w:rsidRDefault="003B5590" w:rsidP="006A595E">
      <w:pPr>
        <w:pStyle w:val="Heading1"/>
        <w:rPr>
          <w:lang w:val="en-GB"/>
        </w:rPr>
      </w:pPr>
      <w:r w:rsidRPr="00FF434E">
        <w:rPr>
          <w:lang w:val="en-GB"/>
        </w:rPr>
        <w:t>Conclusions</w:t>
      </w:r>
    </w:p>
    <w:p w14:paraId="096D504B" w14:textId="77777777" w:rsidR="007D6F32" w:rsidRPr="00FF434E" w:rsidRDefault="007D6F32" w:rsidP="006A595E">
      <w:pPr>
        <w:pStyle w:val="BodyText"/>
        <w:rPr>
          <w:lang w:val="en-GB"/>
        </w:rPr>
      </w:pPr>
    </w:p>
    <w:p w14:paraId="23EC54DD" w14:textId="7E5ED7AB" w:rsidR="00905219" w:rsidRDefault="00962D1D" w:rsidP="00FD3090">
      <w:pPr>
        <w:rPr>
          <w:lang w:val="en-GB"/>
        </w:rPr>
      </w:pPr>
      <w:r>
        <w:rPr>
          <w:lang w:val="en-GB"/>
        </w:rPr>
        <w:t>This paper introduces a “Scope, Simulation and Story” approach that</w:t>
      </w:r>
      <w:r w:rsidR="00905219" w:rsidRPr="00FF434E">
        <w:rPr>
          <w:lang w:val="en-GB"/>
        </w:rPr>
        <w:t xml:space="preserve"> integrates </w:t>
      </w:r>
      <w:r>
        <w:rPr>
          <w:lang w:val="en-GB"/>
        </w:rPr>
        <w:t xml:space="preserve">participatory processes, </w:t>
      </w:r>
      <w:r w:rsidR="00905219" w:rsidRPr="00FF434E">
        <w:rPr>
          <w:lang w:val="en-GB"/>
        </w:rPr>
        <w:t xml:space="preserve">spatial development simulation models, spatial similarity analysis, and clustering techniques to define scenario boundaries that reflect spatial patterns. We apply this method to simulate spatial development in the Canton of Zurich for 2050 using a cellular automata Land Use Cover Change (LUCC) model. By varying LUCC transition rates and </w:t>
      </w:r>
      <w:r w:rsidR="001159D3">
        <w:rPr>
          <w:lang w:val="en-GB"/>
        </w:rPr>
        <w:t>the influence of different LUCC drivers</w:t>
      </w:r>
      <w:r w:rsidR="00905219" w:rsidRPr="00FF434E">
        <w:rPr>
          <w:lang w:val="en-GB"/>
        </w:rPr>
        <w:t>, we simulate</w:t>
      </w:r>
      <w:r w:rsidR="001159D3">
        <w:rPr>
          <w:lang w:val="en-GB"/>
        </w:rPr>
        <w:t>d</w:t>
      </w:r>
      <w:r w:rsidR="00905219" w:rsidRPr="00FF434E">
        <w:rPr>
          <w:lang w:val="en-GB"/>
        </w:rPr>
        <w:t xml:space="preserve"> an ensemble of </w:t>
      </w:r>
      <w:r w:rsidR="001159D3">
        <w:rPr>
          <w:lang w:val="en-GB"/>
        </w:rPr>
        <w:t>800 potential futures and identified</w:t>
      </w:r>
      <w:r w:rsidR="00905219" w:rsidRPr="00FF434E">
        <w:rPr>
          <w:lang w:val="en-GB"/>
        </w:rPr>
        <w:t xml:space="preserve"> </w:t>
      </w:r>
      <w:r w:rsidR="001159D3">
        <w:rPr>
          <w:lang w:val="en-GB"/>
        </w:rPr>
        <w:t>four</w:t>
      </w:r>
      <w:r w:rsidR="00905219" w:rsidRPr="00FF434E">
        <w:rPr>
          <w:lang w:val="en-GB"/>
        </w:rPr>
        <w:t xml:space="preserve"> distinct scenarios</w:t>
      </w:r>
      <w:r w:rsidR="001159D3">
        <w:rPr>
          <w:lang w:val="en-GB"/>
        </w:rPr>
        <w:t>.</w:t>
      </w:r>
    </w:p>
    <w:p w14:paraId="4EA7E844" w14:textId="77777777" w:rsidR="00905219" w:rsidRDefault="00905219" w:rsidP="00FD3090">
      <w:pPr>
        <w:rPr>
          <w:lang w:val="en-GB"/>
        </w:rPr>
      </w:pPr>
    </w:p>
    <w:p w14:paraId="1B7D5BC9" w14:textId="2E34EC14" w:rsidR="00FD3090" w:rsidRPr="00FF434E" w:rsidRDefault="00FD3090" w:rsidP="00FD3090">
      <w:pPr>
        <w:rPr>
          <w:lang w:val="en-GB"/>
        </w:rPr>
      </w:pPr>
      <w:r w:rsidRPr="00FF434E">
        <w:rPr>
          <w:lang w:val="en-GB"/>
        </w:rPr>
        <w:t xml:space="preserve">This study shows how </w:t>
      </w:r>
      <w:r>
        <w:rPr>
          <w:lang w:val="en-GB"/>
        </w:rPr>
        <w:t>a</w:t>
      </w:r>
      <w:r w:rsidRPr="00FF434E">
        <w:rPr>
          <w:lang w:val="en-GB"/>
        </w:rPr>
        <w:t xml:space="preserve"> “</w:t>
      </w:r>
      <w:r w:rsidR="001159D3">
        <w:rPr>
          <w:lang w:val="en-GB"/>
        </w:rPr>
        <w:t xml:space="preserve">Scope, </w:t>
      </w:r>
      <w:r w:rsidRPr="00FF434E">
        <w:rPr>
          <w:lang w:val="en-GB"/>
        </w:rPr>
        <w:t xml:space="preserve">Simulation and Story” approach, instead of the classical “Story and Simulation” approach, has potential to enhance scenario planning. Our approach proposes a data-driven foundation that can help the construction of scenario narratives by ensuring that the generated scenarios </w:t>
      </w:r>
      <w:r w:rsidRPr="00FF434E">
        <w:rPr>
          <w:lang w:val="en-GB"/>
        </w:rPr>
        <w:lastRenderedPageBreak/>
        <w:t>are relevant for planning and spatially different.</w:t>
      </w:r>
    </w:p>
    <w:p w14:paraId="096D504D" w14:textId="58039C56" w:rsidR="00916334" w:rsidRPr="00FF434E" w:rsidRDefault="00916334" w:rsidP="00171D8C">
      <w:pPr>
        <w:tabs>
          <w:tab w:val="left" w:pos="3935"/>
        </w:tabs>
        <w:rPr>
          <w:lang w:val="en-GB"/>
        </w:rPr>
      </w:pPr>
    </w:p>
    <w:p w14:paraId="096D504E" w14:textId="77777777" w:rsidR="007D6F32" w:rsidRPr="00FF434E" w:rsidRDefault="007D6F32" w:rsidP="006A595E">
      <w:pPr>
        <w:pStyle w:val="Heading1"/>
        <w:rPr>
          <w:lang w:val="en-GB"/>
        </w:rPr>
      </w:pPr>
      <w:r w:rsidRPr="00FF434E">
        <w:rPr>
          <w:lang w:val="en-GB"/>
        </w:rPr>
        <w:t xml:space="preserve">Acknowledgements </w:t>
      </w:r>
    </w:p>
    <w:p w14:paraId="096D504F" w14:textId="77777777" w:rsidR="007D6F32" w:rsidRPr="00FF434E" w:rsidRDefault="007D6F32" w:rsidP="006A595E">
      <w:pPr>
        <w:pStyle w:val="Heading1"/>
        <w:numPr>
          <w:ilvl w:val="0"/>
          <w:numId w:val="0"/>
        </w:numPr>
        <w:rPr>
          <w:lang w:val="en-GB"/>
        </w:rPr>
      </w:pPr>
    </w:p>
    <w:p w14:paraId="12E9854B" w14:textId="77777777" w:rsidR="0018492B" w:rsidRDefault="0018492B" w:rsidP="006A595E">
      <w:pPr>
        <w:rPr>
          <w:lang w:val="en-GB"/>
        </w:rPr>
      </w:pPr>
      <w:r w:rsidRPr="0018492B">
        <w:rPr>
          <w:lang w:val="en-GB"/>
        </w:rPr>
        <w:t>This research was conducted at the Future Cities Lab Global at ETH Zurich. Future Cities Lab Global is supported and funded by the National Research Foundation, Prime Minister’s Office, Singapore under its Campus for Research Excellence and Technological Enterprise (CREATE) programme and ETH Zurich (ETHZ), with additional contributions from the National University of Singapore (NUS), Nanyang Technological University (NTU), Singapore and the Singapore University of Technology and Design (SUTD).</w:t>
      </w:r>
    </w:p>
    <w:p w14:paraId="096D5052" w14:textId="77777777" w:rsidR="007D6F32" w:rsidRPr="00FF434E" w:rsidRDefault="007D6F32" w:rsidP="006A595E">
      <w:pPr>
        <w:rPr>
          <w:lang w:val="en-GB"/>
        </w:rPr>
      </w:pPr>
    </w:p>
    <w:p w14:paraId="096D5053" w14:textId="77777777" w:rsidR="007D6F32" w:rsidRPr="00FF434E" w:rsidRDefault="007D6F32" w:rsidP="006A595E">
      <w:pPr>
        <w:pStyle w:val="Heading1"/>
        <w:numPr>
          <w:ilvl w:val="0"/>
          <w:numId w:val="0"/>
        </w:numPr>
        <w:ind w:left="360" w:hanging="360"/>
        <w:rPr>
          <w:lang w:val="en-GB"/>
        </w:rPr>
      </w:pPr>
      <w:r w:rsidRPr="00FF434E">
        <w:rPr>
          <w:lang w:val="en-GB"/>
        </w:rPr>
        <w:t xml:space="preserve">References </w:t>
      </w:r>
    </w:p>
    <w:p w14:paraId="096D5054" w14:textId="77777777" w:rsidR="006A595E" w:rsidRPr="00FF434E" w:rsidRDefault="006A595E" w:rsidP="00BA711E">
      <w:pPr>
        <w:ind w:left="284" w:hanging="284"/>
        <w:rPr>
          <w:lang w:val="en-GB"/>
        </w:rPr>
      </w:pPr>
    </w:p>
    <w:p w14:paraId="6DAC9E2D" w14:textId="77777777" w:rsidR="00905219" w:rsidRPr="00905219" w:rsidRDefault="00D2006C" w:rsidP="00905219">
      <w:pPr>
        <w:pStyle w:val="Bibliography"/>
      </w:pPr>
      <w:r w:rsidRPr="00FF434E">
        <w:rPr>
          <w:rFonts w:eastAsia="ArialMT"/>
          <w:lang w:val="en-GB"/>
        </w:rPr>
        <w:fldChar w:fldCharType="begin"/>
      </w:r>
      <w:r w:rsidRPr="00FF434E">
        <w:rPr>
          <w:rFonts w:eastAsia="ArialMT"/>
          <w:lang w:val="en-GB"/>
        </w:rPr>
        <w:instrText xml:space="preserve"> ADDIN ZOTERO_BIBL {"uncited":[],"omitted":[],"custom":[]} CSL_BIBLIOGRAPHY </w:instrText>
      </w:r>
      <w:r w:rsidRPr="00FF434E">
        <w:rPr>
          <w:rFonts w:eastAsia="ArialMT"/>
          <w:lang w:val="en-GB"/>
        </w:rPr>
        <w:fldChar w:fldCharType="separate"/>
      </w:r>
      <w:r w:rsidR="00905219" w:rsidRPr="00905219">
        <w:t xml:space="preserve">Abou Jaoude, G., Mumm, O. and Carlow, V.M. (2022) ‘An Overview of Scenario Approaches: A Guide for Urban Design and Planning’, </w:t>
      </w:r>
      <w:r w:rsidR="00905219" w:rsidRPr="00905219">
        <w:rPr>
          <w:i/>
          <w:iCs/>
        </w:rPr>
        <w:t>Journal of Planning Literature</w:t>
      </w:r>
      <w:r w:rsidR="00905219" w:rsidRPr="00905219">
        <w:t>, 37(3), pp. 467–487. Available at: https://doi.org/10.1177/08854122221083546.</w:t>
      </w:r>
    </w:p>
    <w:p w14:paraId="123D272D" w14:textId="77777777" w:rsidR="00905219" w:rsidRPr="00905219" w:rsidRDefault="00905219" w:rsidP="00905219">
      <w:pPr>
        <w:pStyle w:val="Bibliography"/>
      </w:pPr>
      <w:r w:rsidRPr="00905219">
        <w:t xml:space="preserve">Alcamo, J. (2008) ‘Chapter Six The SAS Approach: Combining Qualitative and Quantitative Knowledge in Environmental Scenarios’, in J. Alcamo (ed.) </w:t>
      </w:r>
      <w:r w:rsidRPr="00905219">
        <w:rPr>
          <w:i/>
          <w:iCs/>
        </w:rPr>
        <w:t>Developments in Integrated Environmental Assessment</w:t>
      </w:r>
      <w:r w:rsidRPr="00905219">
        <w:t>. Elsevier (Environmental Futures), pp. 123–150. Available at: https://doi.org/10.1016/S1574-101X(08)00406-7.</w:t>
      </w:r>
    </w:p>
    <w:p w14:paraId="4F14A284" w14:textId="77777777" w:rsidR="00905219" w:rsidRPr="00905219" w:rsidRDefault="00905219" w:rsidP="00905219">
      <w:pPr>
        <w:pStyle w:val="Bibliography"/>
      </w:pPr>
      <w:r w:rsidRPr="00905219">
        <w:t xml:space="preserve">Avin, U. and Goodspeed, R. (2020) ‘Using Exploratory Scenarios in Planning Practice’, </w:t>
      </w:r>
      <w:r w:rsidRPr="00905219">
        <w:rPr>
          <w:i/>
          <w:iCs/>
        </w:rPr>
        <w:t>Journal of the American Planning Association</w:t>
      </w:r>
      <w:r w:rsidRPr="00905219">
        <w:t>, 86(4), pp. 403–416. Available at: https://doi.org/10.1080/01944363.2020.1746688.</w:t>
      </w:r>
    </w:p>
    <w:p w14:paraId="65AB927E" w14:textId="77777777" w:rsidR="00905219" w:rsidRPr="00905219" w:rsidRDefault="00905219" w:rsidP="00905219">
      <w:pPr>
        <w:pStyle w:val="Bibliography"/>
      </w:pPr>
      <w:r w:rsidRPr="00905219">
        <w:t xml:space="preserve">Bankes, S. (1993) ‘Exploratory Modeling for Policy Analysis’, </w:t>
      </w:r>
      <w:r w:rsidRPr="00905219">
        <w:rPr>
          <w:i/>
          <w:iCs/>
        </w:rPr>
        <w:t>Operations Research</w:t>
      </w:r>
      <w:r w:rsidRPr="00905219">
        <w:t>, 41(3), pp. 435–449. Available at: https://doi.org/10.1287/opre.41.3.435.</w:t>
      </w:r>
    </w:p>
    <w:p w14:paraId="021FE53C" w14:textId="77777777" w:rsidR="00905219" w:rsidRPr="00905219" w:rsidRDefault="00905219" w:rsidP="00905219">
      <w:pPr>
        <w:pStyle w:val="Bibliography"/>
        <w:rPr>
          <w:lang w:val="fr-CH"/>
        </w:rPr>
      </w:pPr>
      <w:r w:rsidRPr="00905219">
        <w:t xml:space="preserve">Bryant, B.P. and Lempert, R.J. (2010) ‘Thinking inside the box: A participatory, computer-assisted approach to scenario discovery’, </w:t>
      </w:r>
      <w:r w:rsidRPr="00905219">
        <w:rPr>
          <w:i/>
          <w:iCs/>
        </w:rPr>
        <w:t>Technological Forecasting and Social Change</w:t>
      </w:r>
      <w:r w:rsidRPr="00905219">
        <w:t xml:space="preserve">, 77(1), pp. 34–49. </w:t>
      </w:r>
      <w:r w:rsidRPr="00905219">
        <w:rPr>
          <w:lang w:val="fr-CH"/>
        </w:rPr>
        <w:t>Available at: https://doi.org/10.1016/j.techfore.2009.08.002.</w:t>
      </w:r>
    </w:p>
    <w:p w14:paraId="1CA9F322" w14:textId="77777777" w:rsidR="00905219" w:rsidRPr="00905219" w:rsidRDefault="00905219" w:rsidP="00905219">
      <w:pPr>
        <w:pStyle w:val="Bibliography"/>
      </w:pPr>
      <w:r w:rsidRPr="00905219">
        <w:rPr>
          <w:lang w:val="fr-CH"/>
        </w:rPr>
        <w:t xml:space="preserve">Haga, C. </w:t>
      </w:r>
      <w:r w:rsidRPr="00905219">
        <w:rPr>
          <w:i/>
          <w:iCs/>
          <w:lang w:val="fr-CH"/>
        </w:rPr>
        <w:t>et al.</w:t>
      </w:r>
      <w:r w:rsidRPr="00905219">
        <w:rPr>
          <w:lang w:val="fr-CH"/>
        </w:rPr>
        <w:t xml:space="preserve"> </w:t>
      </w:r>
      <w:r w:rsidRPr="00905219">
        <w:t xml:space="preserve">(2023) ‘Modeling desirable futures at local scale by combining the nature futures framework and multi-objective optimization’, </w:t>
      </w:r>
      <w:r w:rsidRPr="00905219">
        <w:rPr>
          <w:i/>
          <w:iCs/>
        </w:rPr>
        <w:t>Sustainability Science</w:t>
      </w:r>
      <w:r w:rsidRPr="00905219">
        <w:t xml:space="preserve"> [Preprint]. Available at: https://doi.org/10.1007/s11625-023-01301-8.</w:t>
      </w:r>
    </w:p>
    <w:p w14:paraId="3EE12C02" w14:textId="77777777" w:rsidR="00905219" w:rsidRPr="00905219" w:rsidRDefault="00905219" w:rsidP="00905219">
      <w:pPr>
        <w:pStyle w:val="Bibliography"/>
      </w:pPr>
      <w:r w:rsidRPr="00905219">
        <w:t xml:space="preserve">Lempert, R.J., Popper, S.W. and Bankes, S.C. (2003) </w:t>
      </w:r>
      <w:r w:rsidRPr="00905219">
        <w:rPr>
          <w:i/>
          <w:iCs/>
        </w:rPr>
        <w:t>Shaping the Next One Hundred Years: New Methods for Quantitative, Long-Term Policy Analysis</w:t>
      </w:r>
      <w:r w:rsidRPr="00905219">
        <w:t>. RAND Corporation. Available at: https://www.rand.org/pubs/monograph_reports/MR1626.html (Accessed: 19 April 2023).</w:t>
      </w:r>
    </w:p>
    <w:p w14:paraId="5F620C3C" w14:textId="77777777" w:rsidR="00905219" w:rsidRPr="00905219" w:rsidRDefault="00905219" w:rsidP="00905219">
      <w:pPr>
        <w:pStyle w:val="Bibliography"/>
      </w:pPr>
      <w:r w:rsidRPr="00905219">
        <w:t xml:space="preserve">Nakicenovic, N. and Swart, R. (2000) </w:t>
      </w:r>
      <w:r w:rsidRPr="00905219">
        <w:rPr>
          <w:i/>
          <w:iCs/>
        </w:rPr>
        <w:t>Special Report on Emissions Scenarios (SRES) – A Special Report of Working Group III of the Intergovernmental Panel on Climate Change</w:t>
      </w:r>
      <w:r w:rsidRPr="00905219">
        <w:t>. Cambridge University Press.</w:t>
      </w:r>
    </w:p>
    <w:p w14:paraId="4F7C4CE3" w14:textId="77777777" w:rsidR="00905219" w:rsidRPr="00905219" w:rsidRDefault="00905219" w:rsidP="00905219">
      <w:pPr>
        <w:pStyle w:val="Bibliography"/>
      </w:pPr>
      <w:r w:rsidRPr="00905219">
        <w:t xml:space="preserve">Reed, P.M. </w:t>
      </w:r>
      <w:r w:rsidRPr="00905219">
        <w:rPr>
          <w:i/>
          <w:iCs/>
        </w:rPr>
        <w:t>et al.</w:t>
      </w:r>
      <w:r w:rsidRPr="00905219">
        <w:t xml:space="preserve"> (2022) </w:t>
      </w:r>
      <w:r w:rsidRPr="00905219">
        <w:rPr>
          <w:i/>
          <w:iCs/>
        </w:rPr>
        <w:t>Addressing uncertainty in multisector dynamics research</w:t>
      </w:r>
      <w:r w:rsidRPr="00905219">
        <w:t>. Zenodo. Available at: https://doi.org/10.5281/zenodo.6110623.</w:t>
      </w:r>
    </w:p>
    <w:p w14:paraId="165A81D8" w14:textId="1D86D75D" w:rsidR="00D2006C" w:rsidRPr="00FF434E" w:rsidRDefault="00D2006C" w:rsidP="00BA711E">
      <w:pPr>
        <w:ind w:left="284" w:hanging="284"/>
        <w:rPr>
          <w:rFonts w:eastAsia="ArialMT"/>
          <w:lang w:val="en-GB"/>
        </w:rPr>
      </w:pPr>
      <w:r w:rsidRPr="00FF434E">
        <w:rPr>
          <w:rFonts w:eastAsia="ArialMT"/>
          <w:lang w:val="en-GB"/>
        </w:rPr>
        <w:fldChar w:fldCharType="end"/>
      </w:r>
    </w:p>
    <w:p w14:paraId="096D5059" w14:textId="77777777" w:rsidR="00675CA0" w:rsidRPr="00FF434E" w:rsidRDefault="00675CA0" w:rsidP="00675CA0">
      <w:pPr>
        <w:pStyle w:val="Heading1"/>
        <w:numPr>
          <w:ilvl w:val="0"/>
          <w:numId w:val="0"/>
        </w:numPr>
        <w:ind w:left="360" w:hanging="360"/>
        <w:rPr>
          <w:lang w:val="en-GB"/>
        </w:rPr>
      </w:pPr>
      <w:r w:rsidRPr="00FF434E">
        <w:rPr>
          <w:lang w:val="en-GB"/>
        </w:rPr>
        <w:t>Biographies</w:t>
      </w:r>
    </w:p>
    <w:p w14:paraId="096D505A" w14:textId="77777777" w:rsidR="00675CA0" w:rsidRPr="00FF434E" w:rsidRDefault="00675CA0" w:rsidP="00675CA0">
      <w:pPr>
        <w:rPr>
          <w:lang w:val="en-GB"/>
        </w:rPr>
      </w:pPr>
    </w:p>
    <w:p w14:paraId="4FC01FE8" w14:textId="6924A0F5" w:rsidR="001159D3" w:rsidRDefault="001159D3" w:rsidP="001159D3">
      <w:pPr>
        <w:rPr>
          <w:lang w:val="en-US"/>
        </w:rPr>
      </w:pPr>
      <w:r w:rsidRPr="001159D3">
        <w:rPr>
          <w:lang w:val="en-US"/>
        </w:rPr>
        <w:t>Orlando Roman is a doct</w:t>
      </w:r>
      <w:r>
        <w:rPr>
          <w:lang w:val="en-US"/>
        </w:rPr>
        <w:t>oral candidate at the Chair of Infrastructure Management at ETH Zurich. His research interest is in decision-making under deep uncertainty for infrastructure systems.</w:t>
      </w:r>
      <w:r w:rsidR="001B282F">
        <w:rPr>
          <w:lang w:val="en-US"/>
        </w:rPr>
        <w:t xml:space="preserve"> This includes the modelling of urban systems, the generation of future scenarios and the identification of desirable adaptive pathways.</w:t>
      </w:r>
    </w:p>
    <w:p w14:paraId="0DF202EC" w14:textId="77777777" w:rsidR="001159D3" w:rsidRPr="001159D3" w:rsidRDefault="001159D3" w:rsidP="001159D3">
      <w:pPr>
        <w:rPr>
          <w:lang w:val="en-US"/>
        </w:rPr>
      </w:pPr>
    </w:p>
    <w:p w14:paraId="431E25D0" w14:textId="0078B499" w:rsidR="001159D3" w:rsidRDefault="001159D3" w:rsidP="001159D3">
      <w:pPr>
        <w:rPr>
          <w:lang w:val="en-GB"/>
        </w:rPr>
      </w:pPr>
      <w:r w:rsidRPr="001159D3">
        <w:rPr>
          <w:lang w:val="en-GB"/>
        </w:rPr>
        <w:t>Jan Kwakkel</w:t>
      </w:r>
      <w:r>
        <w:rPr>
          <w:lang w:val="en-GB"/>
        </w:rPr>
        <w:t xml:space="preserve"> is Full professor of Decision Making under Deep Uncertainty at TU Delft. </w:t>
      </w:r>
      <w:r w:rsidRPr="001159D3">
        <w:rPr>
          <w:lang w:val="en-GB"/>
        </w:rPr>
        <w:t>His research interest is model-based support for decision making under deep uncertainty. His research focuses on the developing and testing innovative model-based techniques for the design of dynamic adaptive policy pathways.</w:t>
      </w:r>
    </w:p>
    <w:p w14:paraId="1C96F70A" w14:textId="77777777" w:rsidR="001159D3" w:rsidRPr="001159D3" w:rsidRDefault="001159D3" w:rsidP="001159D3">
      <w:pPr>
        <w:rPr>
          <w:lang w:val="en-GB"/>
        </w:rPr>
      </w:pPr>
    </w:p>
    <w:p w14:paraId="306EA928" w14:textId="109AFE2E" w:rsidR="001159D3" w:rsidRDefault="001159D3" w:rsidP="001159D3">
      <w:pPr>
        <w:rPr>
          <w:lang w:val="en-GB"/>
        </w:rPr>
      </w:pPr>
      <w:r w:rsidRPr="001159D3">
        <w:rPr>
          <w:lang w:val="en-GB"/>
        </w:rPr>
        <w:t>Bryan Adey</w:t>
      </w:r>
      <w:r>
        <w:rPr>
          <w:lang w:val="en-GB"/>
        </w:rPr>
        <w:t xml:space="preserve"> is Full professor at the Chair of Infrastructure Management at ETH Zurich.</w:t>
      </w:r>
      <w:r w:rsidR="001B282F">
        <w:rPr>
          <w:lang w:val="en-GB"/>
        </w:rPr>
        <w:t xml:space="preserve"> </w:t>
      </w:r>
      <w:r w:rsidR="001B282F" w:rsidRPr="001B282F">
        <w:rPr>
          <w:lang w:val="en-GB"/>
        </w:rPr>
        <w:t>Prof. Adey’s research is focused on improving the effectiveness and efficiency of infrastructure management. This includes the definition and standardization of the infrastructure management process, from setting goals to determining optimal monitoring and intervention programs, and evaluating the performance of infrastructure management organisations.</w:t>
      </w:r>
    </w:p>
    <w:p w14:paraId="2CAFC965" w14:textId="77777777" w:rsidR="001159D3" w:rsidRPr="001159D3" w:rsidRDefault="001159D3" w:rsidP="001159D3">
      <w:pPr>
        <w:rPr>
          <w:lang w:val="en-GB"/>
        </w:rPr>
      </w:pPr>
    </w:p>
    <w:p w14:paraId="3CF12BF4" w14:textId="781B7C78" w:rsidR="003026B0" w:rsidRPr="001159D3" w:rsidRDefault="001159D3" w:rsidP="001159D3">
      <w:pPr>
        <w:rPr>
          <w:lang w:val="en-US"/>
        </w:rPr>
      </w:pPr>
      <w:r w:rsidRPr="001159D3">
        <w:rPr>
          <w:lang w:val="en-US"/>
        </w:rPr>
        <w:t xml:space="preserve">Benjamin Black is a doctoral candidate at the Chair of Planning of Landscape and Urban Systems at ETH Zurich. </w:t>
      </w:r>
      <w:r w:rsidR="001B282F">
        <w:rPr>
          <w:lang w:val="en-US"/>
        </w:rPr>
        <w:t xml:space="preserve">His research interest </w:t>
      </w:r>
      <w:proofErr w:type="gramStart"/>
      <w:r w:rsidR="001B282F">
        <w:rPr>
          <w:lang w:val="en-US"/>
        </w:rPr>
        <w:t>are</w:t>
      </w:r>
      <w:proofErr w:type="gramEnd"/>
      <w:r w:rsidR="001B282F">
        <w:rPr>
          <w:lang w:val="en-US"/>
        </w:rPr>
        <w:t xml:space="preserve"> related to the s</w:t>
      </w:r>
      <w:r w:rsidRPr="001159D3">
        <w:rPr>
          <w:lang w:val="en-US"/>
        </w:rPr>
        <w:t>imulation modelling of socio-ecological systems</w:t>
      </w:r>
      <w:r w:rsidR="001B282F">
        <w:rPr>
          <w:lang w:val="en-US"/>
        </w:rPr>
        <w:t xml:space="preserve"> and q</w:t>
      </w:r>
      <w:r w:rsidRPr="001159D3">
        <w:rPr>
          <w:lang w:val="en-US"/>
        </w:rPr>
        <w:t>uantification of uncertainty and non-stationarity in predictive models of land use change</w:t>
      </w:r>
      <w:r w:rsidR="001B282F">
        <w:rPr>
          <w:lang w:val="en-US"/>
        </w:rPr>
        <w:t>.</w:t>
      </w:r>
    </w:p>
    <w:sectPr w:rsidR="003026B0" w:rsidRPr="001159D3" w:rsidSect="003E451D">
      <w:headerReference w:type="even" r:id="rId12"/>
      <w:headerReference w:type="default" r:id="rId13"/>
      <w:footerReference w:type="even" r:id="rId14"/>
      <w:footerReference w:type="default" r:id="rId15"/>
      <w:headerReference w:type="first" r:id="rId16"/>
      <w:footerReference w:type="first" r:id="rId17"/>
      <w:footnotePr>
        <w:numFmt w:val="chicago"/>
      </w:footnotePr>
      <w:pgSz w:w="11905" w:h="16837"/>
      <w:pgMar w:top="1452" w:right="1452" w:bottom="1452" w:left="14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C3904" w14:textId="77777777" w:rsidR="00053E4E" w:rsidRDefault="00053E4E" w:rsidP="006A595E">
      <w:r>
        <w:separator/>
      </w:r>
    </w:p>
  </w:endnote>
  <w:endnote w:type="continuationSeparator" w:id="0">
    <w:p w14:paraId="3E040E2E" w14:textId="77777777" w:rsidR="00053E4E" w:rsidRDefault="00053E4E" w:rsidP="006A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M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6FBDE" w14:textId="77777777" w:rsidR="007779B5" w:rsidRDefault="00777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3844515"/>
      <w:docPartObj>
        <w:docPartGallery w:val="Page Numbers (Bottom of Page)"/>
        <w:docPartUnique/>
      </w:docPartObj>
    </w:sdtPr>
    <w:sdtContent>
      <w:p w14:paraId="096D5063" w14:textId="546A8CC6" w:rsidR="007779B5" w:rsidRDefault="007779B5">
        <w:pPr>
          <w:pStyle w:val="Footer"/>
          <w:jc w:val="right"/>
        </w:pPr>
        <w:r>
          <w:t xml:space="preserve">Page | </w:t>
        </w:r>
        <w:r>
          <w:fldChar w:fldCharType="begin"/>
        </w:r>
        <w:r>
          <w:instrText xml:space="preserve"> PAGE   \* MERGEFORMAT </w:instrText>
        </w:r>
        <w:r>
          <w:fldChar w:fldCharType="separate"/>
        </w:r>
        <w:r w:rsidR="00962D1D">
          <w:rPr>
            <w:noProof/>
          </w:rPr>
          <w:t>1</w:t>
        </w:r>
        <w:r>
          <w:rPr>
            <w:noProof/>
          </w:rPr>
          <w:fldChar w:fldCharType="end"/>
        </w:r>
        <w:r>
          <w:t xml:space="preserve"> </w:t>
        </w:r>
      </w:p>
    </w:sdtContent>
  </w:sdt>
  <w:p w14:paraId="096D5064" w14:textId="77777777" w:rsidR="007779B5" w:rsidRDefault="007779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F3335" w14:textId="77777777" w:rsidR="007779B5" w:rsidRDefault="00777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DC6DB" w14:textId="77777777" w:rsidR="00053E4E" w:rsidRDefault="00053E4E" w:rsidP="006A595E">
      <w:r>
        <w:separator/>
      </w:r>
    </w:p>
  </w:footnote>
  <w:footnote w:type="continuationSeparator" w:id="0">
    <w:p w14:paraId="0F2F4418" w14:textId="77777777" w:rsidR="00053E4E" w:rsidRDefault="00053E4E" w:rsidP="006A595E">
      <w:r>
        <w:continuationSeparator/>
      </w:r>
    </w:p>
  </w:footnote>
  <w:footnote w:id="1">
    <w:p w14:paraId="096D5065" w14:textId="7AD28A92" w:rsidR="007779B5" w:rsidRPr="005C2750" w:rsidRDefault="007779B5" w:rsidP="006A595E">
      <w:pPr>
        <w:pStyle w:val="FootnoteText"/>
        <w:rPr>
          <w:lang w:val="en-US"/>
        </w:rPr>
      </w:pPr>
      <w:r>
        <w:rPr>
          <w:rStyle w:val="FootnoteReference"/>
        </w:rPr>
        <w:footnoteRef/>
      </w:r>
      <w:r>
        <w:t xml:space="preserve"> </w:t>
      </w:r>
      <w:r w:rsidRPr="00766089">
        <w:t>roman@ibi.baug.ethz.ch</w:t>
      </w:r>
    </w:p>
  </w:footnote>
  <w:footnote w:id="2">
    <w:p w14:paraId="096D5066" w14:textId="2F778D27" w:rsidR="007779B5" w:rsidRPr="005C2750" w:rsidRDefault="007779B5" w:rsidP="006A595E">
      <w:pPr>
        <w:pStyle w:val="FootnoteText"/>
        <w:rPr>
          <w:lang w:val="en-US"/>
        </w:rPr>
      </w:pPr>
      <w:r>
        <w:rPr>
          <w:rStyle w:val="FootnoteReference"/>
        </w:rPr>
        <w:footnoteRef/>
      </w:r>
      <w:r>
        <w:t xml:space="preserve"> </w:t>
      </w:r>
      <w:r w:rsidRPr="00766089">
        <w:t>j.h.kwakkel@tudelft.nl</w:t>
      </w:r>
    </w:p>
  </w:footnote>
  <w:footnote w:id="3">
    <w:p w14:paraId="096D5067" w14:textId="59EE3748" w:rsidR="007779B5" w:rsidRPr="006177FD" w:rsidRDefault="007779B5" w:rsidP="006A595E">
      <w:pPr>
        <w:pStyle w:val="FootnoteText"/>
        <w:rPr>
          <w:lang w:val="en-US"/>
        </w:rPr>
      </w:pPr>
      <w:r>
        <w:rPr>
          <w:rStyle w:val="FootnoteReference"/>
        </w:rPr>
        <w:footnoteRef/>
      </w:r>
      <w:r>
        <w:t xml:space="preserve"> </w:t>
      </w:r>
      <w:r w:rsidRPr="00766089">
        <w:rPr>
          <w:lang w:val="en-US"/>
        </w:rPr>
        <w:t>adey@ibi.baug.ethz.ch</w:t>
      </w:r>
    </w:p>
  </w:footnote>
  <w:footnote w:id="4">
    <w:p w14:paraId="6C6B1EFC" w14:textId="27624ADE" w:rsidR="007779B5" w:rsidRPr="006177FD" w:rsidRDefault="007779B5" w:rsidP="00146325">
      <w:pPr>
        <w:pStyle w:val="FootnoteText"/>
        <w:rPr>
          <w:lang w:val="en-US"/>
        </w:rPr>
      </w:pPr>
      <w:r>
        <w:rPr>
          <w:rStyle w:val="FootnoteReference"/>
        </w:rPr>
        <w:footnoteRef/>
      </w:r>
      <w:r>
        <w:t xml:space="preserve"> </w:t>
      </w:r>
      <w:r w:rsidRPr="00766089">
        <w:rPr>
          <w:lang w:val="en-US"/>
        </w:rPr>
        <w:t>bblack@ethz.ch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54EC" w14:textId="77777777" w:rsidR="007779B5" w:rsidRDefault="00777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CDEE5" w14:textId="77777777" w:rsidR="007779B5" w:rsidRDefault="00777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AFE53" w14:textId="77777777" w:rsidR="007779B5" w:rsidRDefault="00777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6E84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3C6F9B"/>
    <w:multiLevelType w:val="multilevel"/>
    <w:tmpl w:val="0409001F"/>
    <w:numStyleLink w:val="111111"/>
  </w:abstractNum>
  <w:abstractNum w:abstractNumId="2" w15:restartNumberingAfterBreak="0">
    <w:nsid w:val="390249B9"/>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4654B3"/>
    <w:multiLevelType w:val="multilevel"/>
    <w:tmpl w:val="5F58496E"/>
    <w:lvl w:ilvl="0">
      <w:start w:val="1"/>
      <w:numFmt w:val="decimal"/>
      <w:lvlText w:val="%1."/>
      <w:lvlJc w:val="left"/>
      <w:pPr>
        <w:ind w:left="72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5C23949"/>
    <w:multiLevelType w:val="hybridMultilevel"/>
    <w:tmpl w:val="B7CC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97F02"/>
    <w:multiLevelType w:val="hybridMultilevel"/>
    <w:tmpl w:val="A322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B65C6"/>
    <w:multiLevelType w:val="multilevel"/>
    <w:tmpl w:val="0409001F"/>
    <w:numStyleLink w:val="111111"/>
  </w:abstractNum>
  <w:abstractNum w:abstractNumId="7" w15:restartNumberingAfterBreak="0">
    <w:nsid w:val="6F142383"/>
    <w:multiLevelType w:val="multilevel"/>
    <w:tmpl w:val="490E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955502">
    <w:abstractNumId w:val="0"/>
  </w:num>
  <w:num w:numId="2" w16cid:durableId="1439062120">
    <w:abstractNumId w:val="2"/>
  </w:num>
  <w:num w:numId="3" w16cid:durableId="1524203465">
    <w:abstractNumId w:val="1"/>
  </w:num>
  <w:num w:numId="4" w16cid:durableId="1407264655">
    <w:abstractNumId w:val="6"/>
  </w:num>
  <w:num w:numId="5" w16cid:durableId="704452267">
    <w:abstractNumId w:val="6"/>
  </w:num>
  <w:num w:numId="6" w16cid:durableId="1202672364">
    <w:abstractNumId w:val="5"/>
  </w:num>
  <w:num w:numId="7" w16cid:durableId="1161118079">
    <w:abstractNumId w:val="1"/>
  </w:num>
  <w:num w:numId="8" w16cid:durableId="1200774878">
    <w:abstractNumId w:val="3"/>
  </w:num>
  <w:num w:numId="9" w16cid:durableId="1461071576">
    <w:abstractNumId w:val="4"/>
  </w:num>
  <w:num w:numId="10" w16cid:durableId="1071851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63"/>
    <w:rsid w:val="000139D0"/>
    <w:rsid w:val="00042975"/>
    <w:rsid w:val="00053E4E"/>
    <w:rsid w:val="000707AA"/>
    <w:rsid w:val="000B291F"/>
    <w:rsid w:val="000D5B7D"/>
    <w:rsid w:val="000F31A9"/>
    <w:rsid w:val="00107285"/>
    <w:rsid w:val="001127EF"/>
    <w:rsid w:val="001159D3"/>
    <w:rsid w:val="0013396D"/>
    <w:rsid w:val="00146325"/>
    <w:rsid w:val="00146F01"/>
    <w:rsid w:val="00171D8C"/>
    <w:rsid w:val="00180B30"/>
    <w:rsid w:val="00183176"/>
    <w:rsid w:val="0018492B"/>
    <w:rsid w:val="001B282F"/>
    <w:rsid w:val="00204C30"/>
    <w:rsid w:val="00220523"/>
    <w:rsid w:val="002533C5"/>
    <w:rsid w:val="00270751"/>
    <w:rsid w:val="00275363"/>
    <w:rsid w:val="00286788"/>
    <w:rsid w:val="002A5780"/>
    <w:rsid w:val="002B616A"/>
    <w:rsid w:val="002C0F75"/>
    <w:rsid w:val="002E109E"/>
    <w:rsid w:val="003026B0"/>
    <w:rsid w:val="00317788"/>
    <w:rsid w:val="003403A9"/>
    <w:rsid w:val="0036336D"/>
    <w:rsid w:val="003B5590"/>
    <w:rsid w:val="003C3801"/>
    <w:rsid w:val="003D68EB"/>
    <w:rsid w:val="003E451D"/>
    <w:rsid w:val="00410A6C"/>
    <w:rsid w:val="00445CCB"/>
    <w:rsid w:val="00463B80"/>
    <w:rsid w:val="00475EBE"/>
    <w:rsid w:val="00496A71"/>
    <w:rsid w:val="00545BB5"/>
    <w:rsid w:val="005C2750"/>
    <w:rsid w:val="005F4053"/>
    <w:rsid w:val="006177FD"/>
    <w:rsid w:val="006274C3"/>
    <w:rsid w:val="006605CC"/>
    <w:rsid w:val="00675CA0"/>
    <w:rsid w:val="006A595E"/>
    <w:rsid w:val="006B430F"/>
    <w:rsid w:val="006B52CB"/>
    <w:rsid w:val="006B5342"/>
    <w:rsid w:val="006F2685"/>
    <w:rsid w:val="00715349"/>
    <w:rsid w:val="00723F25"/>
    <w:rsid w:val="00766089"/>
    <w:rsid w:val="007668FA"/>
    <w:rsid w:val="00774423"/>
    <w:rsid w:val="00774A93"/>
    <w:rsid w:val="007779B5"/>
    <w:rsid w:val="0078108F"/>
    <w:rsid w:val="007822D2"/>
    <w:rsid w:val="00785D9C"/>
    <w:rsid w:val="007D6F32"/>
    <w:rsid w:val="007F6363"/>
    <w:rsid w:val="007F6AC8"/>
    <w:rsid w:val="008338EE"/>
    <w:rsid w:val="0083795A"/>
    <w:rsid w:val="00865BC6"/>
    <w:rsid w:val="008866C6"/>
    <w:rsid w:val="008A01A4"/>
    <w:rsid w:val="00905219"/>
    <w:rsid w:val="00916334"/>
    <w:rsid w:val="0092574D"/>
    <w:rsid w:val="0093040A"/>
    <w:rsid w:val="0093465A"/>
    <w:rsid w:val="00962D1D"/>
    <w:rsid w:val="0099069A"/>
    <w:rsid w:val="009A0916"/>
    <w:rsid w:val="009B3962"/>
    <w:rsid w:val="009C0284"/>
    <w:rsid w:val="009C35F8"/>
    <w:rsid w:val="009C5524"/>
    <w:rsid w:val="009C62CE"/>
    <w:rsid w:val="009E048C"/>
    <w:rsid w:val="00A36974"/>
    <w:rsid w:val="00A36C16"/>
    <w:rsid w:val="00A40D87"/>
    <w:rsid w:val="00A42464"/>
    <w:rsid w:val="00A87933"/>
    <w:rsid w:val="00A92D85"/>
    <w:rsid w:val="00AB2168"/>
    <w:rsid w:val="00AC3F06"/>
    <w:rsid w:val="00AD7AEB"/>
    <w:rsid w:val="00B60597"/>
    <w:rsid w:val="00B84B33"/>
    <w:rsid w:val="00BA711E"/>
    <w:rsid w:val="00C16DC1"/>
    <w:rsid w:val="00C5259F"/>
    <w:rsid w:val="00C74E99"/>
    <w:rsid w:val="00C94C78"/>
    <w:rsid w:val="00CB0DB9"/>
    <w:rsid w:val="00CB0F5C"/>
    <w:rsid w:val="00CB1E8B"/>
    <w:rsid w:val="00CD2DAB"/>
    <w:rsid w:val="00D002DB"/>
    <w:rsid w:val="00D2006C"/>
    <w:rsid w:val="00D26B40"/>
    <w:rsid w:val="00D47602"/>
    <w:rsid w:val="00D50542"/>
    <w:rsid w:val="00D60A04"/>
    <w:rsid w:val="00D656D2"/>
    <w:rsid w:val="00D87EF8"/>
    <w:rsid w:val="00D900F5"/>
    <w:rsid w:val="00D919A1"/>
    <w:rsid w:val="00DA643E"/>
    <w:rsid w:val="00DC5754"/>
    <w:rsid w:val="00DE05F4"/>
    <w:rsid w:val="00E0077A"/>
    <w:rsid w:val="00E17149"/>
    <w:rsid w:val="00E5545F"/>
    <w:rsid w:val="00E65638"/>
    <w:rsid w:val="00E906E4"/>
    <w:rsid w:val="00EF51BD"/>
    <w:rsid w:val="00F11D2F"/>
    <w:rsid w:val="00F14CDC"/>
    <w:rsid w:val="00F26608"/>
    <w:rsid w:val="00F3165D"/>
    <w:rsid w:val="00F3500D"/>
    <w:rsid w:val="00F35AC5"/>
    <w:rsid w:val="00F53EA2"/>
    <w:rsid w:val="00F64D76"/>
    <w:rsid w:val="00F94A6F"/>
    <w:rsid w:val="00F95E7A"/>
    <w:rsid w:val="00FA6C12"/>
    <w:rsid w:val="00FD3090"/>
    <w:rsid w:val="00FE5D44"/>
    <w:rsid w:val="00FF434E"/>
  </w:rsids>
  <m:mathPr>
    <m:mathFont m:val="Cambria Math"/>
    <m:brkBin m:val="before"/>
    <m:brkBinSub m:val="--"/>
    <m:smallFrac m:val="0"/>
    <m:dispDef m:val="0"/>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6D5007"/>
  <w15:docId w15:val="{682FB570-1DAD-4EDD-B828-506B633A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35F8"/>
    <w:pPr>
      <w:widowControl w:val="0"/>
      <w:suppressAutoHyphens/>
      <w:jc w:val="both"/>
    </w:pPr>
    <w:rPr>
      <w:sz w:val="22"/>
      <w:szCs w:val="22"/>
      <w:lang w:val="en-CA" w:eastAsia="ar-SA"/>
    </w:rPr>
  </w:style>
  <w:style w:type="paragraph" w:styleId="Heading1">
    <w:name w:val="heading 1"/>
    <w:basedOn w:val="Normal"/>
    <w:next w:val="Normal"/>
    <w:link w:val="Heading1Char"/>
    <w:qFormat/>
    <w:rsid w:val="006A595E"/>
    <w:pPr>
      <w:numPr>
        <w:numId w:val="3"/>
      </w:numPr>
      <w:outlineLvl w:val="0"/>
    </w:pPr>
    <w:rPr>
      <w:b/>
      <w:bCs/>
    </w:rPr>
  </w:style>
  <w:style w:type="paragraph" w:styleId="Heading2">
    <w:name w:val="heading 2"/>
    <w:basedOn w:val="Normal"/>
    <w:next w:val="Normal"/>
    <w:link w:val="Heading2Char"/>
    <w:unhideWhenUsed/>
    <w:qFormat/>
    <w:rsid w:val="006A595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E451D"/>
  </w:style>
  <w:style w:type="character" w:customStyle="1" w:styleId="Policepardfaut">
    <w:name w:val="Police par défaut"/>
    <w:rsid w:val="003E451D"/>
  </w:style>
  <w:style w:type="character" w:styleId="Hyperlink">
    <w:name w:val="Hyperlink"/>
    <w:basedOn w:val="Policepardfaut"/>
    <w:rsid w:val="003E451D"/>
    <w:rPr>
      <w:color w:val="0000FF"/>
      <w:u w:val="single"/>
    </w:rPr>
  </w:style>
  <w:style w:type="character" w:styleId="FollowedHyperlink">
    <w:name w:val="FollowedHyperlink"/>
    <w:basedOn w:val="Policepardfaut"/>
    <w:rsid w:val="003E451D"/>
    <w:rPr>
      <w:color w:val="800080"/>
      <w:u w:val="single"/>
    </w:rPr>
  </w:style>
  <w:style w:type="character" w:customStyle="1" w:styleId="NumberingSymbols">
    <w:name w:val="Numbering Symbols"/>
    <w:rsid w:val="003E451D"/>
  </w:style>
  <w:style w:type="paragraph" w:customStyle="1" w:styleId="Heading">
    <w:name w:val="Heading"/>
    <w:basedOn w:val="Normal"/>
    <w:next w:val="BodyText"/>
    <w:rsid w:val="003E451D"/>
    <w:pPr>
      <w:keepNext/>
      <w:spacing w:before="240" w:after="120"/>
    </w:pPr>
    <w:rPr>
      <w:rFonts w:ascii="Arial" w:eastAsia="Lucida Sans Unicode" w:hAnsi="Arial" w:cs="Tahoma"/>
      <w:sz w:val="28"/>
      <w:szCs w:val="28"/>
    </w:rPr>
  </w:style>
  <w:style w:type="paragraph" w:styleId="BodyText">
    <w:name w:val="Body Text"/>
    <w:basedOn w:val="Normal"/>
    <w:link w:val="BodyTextChar"/>
    <w:rsid w:val="003E451D"/>
    <w:pPr>
      <w:tabs>
        <w:tab w:val="left" w:pos="360"/>
      </w:tabs>
    </w:pPr>
  </w:style>
  <w:style w:type="paragraph" w:styleId="List">
    <w:name w:val="List"/>
    <w:basedOn w:val="BodyText"/>
    <w:rsid w:val="003E451D"/>
    <w:rPr>
      <w:rFonts w:cs="Tahoma"/>
    </w:rPr>
  </w:style>
  <w:style w:type="paragraph" w:styleId="Caption">
    <w:name w:val="caption"/>
    <w:basedOn w:val="Normal"/>
    <w:qFormat/>
    <w:rsid w:val="006A595E"/>
    <w:pPr>
      <w:suppressLineNumbers/>
      <w:spacing w:before="120" w:after="120"/>
      <w:jc w:val="center"/>
    </w:pPr>
    <w:rPr>
      <w:rFonts w:cs="Tahoma"/>
      <w:iCs/>
      <w:szCs w:val="20"/>
    </w:rPr>
  </w:style>
  <w:style w:type="paragraph" w:customStyle="1" w:styleId="Index">
    <w:name w:val="Index"/>
    <w:basedOn w:val="Normal"/>
    <w:rsid w:val="003E451D"/>
    <w:pPr>
      <w:suppressLineNumbers/>
    </w:pPr>
    <w:rPr>
      <w:rFonts w:cs="Tahoma"/>
    </w:rPr>
  </w:style>
  <w:style w:type="paragraph" w:customStyle="1" w:styleId="DefinitionTerm">
    <w:name w:val="Definition Term"/>
    <w:basedOn w:val="Normal"/>
    <w:next w:val="Normal"/>
    <w:rsid w:val="003E451D"/>
  </w:style>
  <w:style w:type="paragraph" w:customStyle="1" w:styleId="TableContents">
    <w:name w:val="Table Contents"/>
    <w:basedOn w:val="Normal"/>
    <w:rsid w:val="003E451D"/>
    <w:pPr>
      <w:suppressLineNumbers/>
    </w:pPr>
  </w:style>
  <w:style w:type="paragraph" w:customStyle="1" w:styleId="TableHeading">
    <w:name w:val="Table Heading"/>
    <w:basedOn w:val="TableContents"/>
    <w:rsid w:val="003E451D"/>
    <w:pPr>
      <w:jc w:val="center"/>
    </w:pPr>
    <w:rPr>
      <w:b/>
      <w:bCs/>
      <w:i/>
      <w:iCs/>
    </w:rPr>
  </w:style>
  <w:style w:type="paragraph" w:styleId="BalloonText">
    <w:name w:val="Balloon Text"/>
    <w:basedOn w:val="Normal"/>
    <w:link w:val="BalloonTextChar"/>
    <w:rsid w:val="00D656D2"/>
    <w:rPr>
      <w:rFonts w:ascii="Lucida Grande" w:hAnsi="Lucida Grande" w:cs="Lucida Grande"/>
      <w:sz w:val="18"/>
      <w:szCs w:val="18"/>
    </w:rPr>
  </w:style>
  <w:style w:type="character" w:customStyle="1" w:styleId="BalloonTextChar">
    <w:name w:val="Balloon Text Char"/>
    <w:basedOn w:val="DefaultParagraphFont"/>
    <w:link w:val="BalloonText"/>
    <w:rsid w:val="00D656D2"/>
    <w:rPr>
      <w:rFonts w:ascii="Lucida Grande" w:hAnsi="Lucida Grande" w:cs="Lucida Grande"/>
      <w:sz w:val="18"/>
      <w:szCs w:val="18"/>
      <w:lang w:eastAsia="ar-SA"/>
    </w:rPr>
  </w:style>
  <w:style w:type="paragraph" w:styleId="FootnoteText">
    <w:name w:val="footnote text"/>
    <w:basedOn w:val="Normal"/>
    <w:link w:val="FootnoteTextChar"/>
    <w:rsid w:val="005C2750"/>
  </w:style>
  <w:style w:type="character" w:customStyle="1" w:styleId="FootnoteTextChar">
    <w:name w:val="Footnote Text Char"/>
    <w:basedOn w:val="DefaultParagraphFont"/>
    <w:link w:val="FootnoteText"/>
    <w:rsid w:val="005C2750"/>
    <w:rPr>
      <w:sz w:val="24"/>
      <w:szCs w:val="24"/>
      <w:lang w:eastAsia="ar-SA"/>
    </w:rPr>
  </w:style>
  <w:style w:type="character" w:styleId="FootnoteReference">
    <w:name w:val="footnote reference"/>
    <w:basedOn w:val="DefaultParagraphFont"/>
    <w:rsid w:val="005C2750"/>
    <w:rPr>
      <w:vertAlign w:val="superscript"/>
    </w:rPr>
  </w:style>
  <w:style w:type="character" w:customStyle="1" w:styleId="Heading1Char">
    <w:name w:val="Heading 1 Char"/>
    <w:basedOn w:val="DefaultParagraphFont"/>
    <w:link w:val="Heading1"/>
    <w:rsid w:val="006A595E"/>
    <w:rPr>
      <w:b/>
      <w:bCs/>
      <w:sz w:val="22"/>
      <w:szCs w:val="22"/>
      <w:lang w:val="en-CA" w:eastAsia="ar-SA"/>
    </w:rPr>
  </w:style>
  <w:style w:type="character" w:customStyle="1" w:styleId="Heading2Char">
    <w:name w:val="Heading 2 Char"/>
    <w:basedOn w:val="DefaultParagraphFont"/>
    <w:link w:val="Heading2"/>
    <w:rsid w:val="006A595E"/>
    <w:rPr>
      <w:b/>
      <w:sz w:val="22"/>
      <w:szCs w:val="22"/>
      <w:lang w:val="en-CA" w:eastAsia="ar-SA"/>
    </w:rPr>
  </w:style>
  <w:style w:type="numbering" w:styleId="111111">
    <w:name w:val="Outline List 2"/>
    <w:basedOn w:val="NoList"/>
    <w:rsid w:val="006A595E"/>
    <w:pPr>
      <w:numPr>
        <w:numId w:val="2"/>
      </w:numPr>
    </w:pPr>
  </w:style>
  <w:style w:type="character" w:customStyle="1" w:styleId="BodyTextChar">
    <w:name w:val="Body Text Char"/>
    <w:basedOn w:val="DefaultParagraphFont"/>
    <w:link w:val="BodyText"/>
    <w:rsid w:val="006A595E"/>
    <w:rPr>
      <w:sz w:val="22"/>
      <w:szCs w:val="22"/>
      <w:lang w:val="en-CA" w:eastAsia="ar-SA"/>
    </w:rPr>
  </w:style>
  <w:style w:type="paragraph" w:styleId="Header">
    <w:name w:val="header"/>
    <w:basedOn w:val="Normal"/>
    <w:link w:val="HeaderChar"/>
    <w:unhideWhenUsed/>
    <w:rsid w:val="009C0284"/>
    <w:pPr>
      <w:tabs>
        <w:tab w:val="center" w:pos="4513"/>
        <w:tab w:val="right" w:pos="9026"/>
      </w:tabs>
    </w:pPr>
  </w:style>
  <w:style w:type="character" w:customStyle="1" w:styleId="HeaderChar">
    <w:name w:val="Header Char"/>
    <w:basedOn w:val="DefaultParagraphFont"/>
    <w:link w:val="Header"/>
    <w:rsid w:val="009C0284"/>
    <w:rPr>
      <w:sz w:val="22"/>
      <w:szCs w:val="22"/>
      <w:lang w:val="en-CA" w:eastAsia="ar-SA"/>
    </w:rPr>
  </w:style>
  <w:style w:type="paragraph" w:styleId="Footer">
    <w:name w:val="footer"/>
    <w:basedOn w:val="Normal"/>
    <w:link w:val="FooterChar"/>
    <w:uiPriority w:val="99"/>
    <w:unhideWhenUsed/>
    <w:rsid w:val="009C0284"/>
    <w:pPr>
      <w:tabs>
        <w:tab w:val="center" w:pos="4513"/>
        <w:tab w:val="right" w:pos="9026"/>
      </w:tabs>
    </w:pPr>
  </w:style>
  <w:style w:type="character" w:customStyle="1" w:styleId="FooterChar">
    <w:name w:val="Footer Char"/>
    <w:basedOn w:val="DefaultParagraphFont"/>
    <w:link w:val="Footer"/>
    <w:uiPriority w:val="99"/>
    <w:rsid w:val="009C0284"/>
    <w:rPr>
      <w:sz w:val="22"/>
      <w:szCs w:val="22"/>
      <w:lang w:val="en-CA" w:eastAsia="ar-SA"/>
    </w:rPr>
  </w:style>
  <w:style w:type="paragraph" w:styleId="NoSpacing">
    <w:name w:val="No Spacing"/>
    <w:next w:val="Normal"/>
    <w:uiPriority w:val="1"/>
    <w:qFormat/>
    <w:rsid w:val="00D2006C"/>
    <w:pPr>
      <w:spacing w:after="160" w:line="264" w:lineRule="auto"/>
      <w:jc w:val="both"/>
    </w:pPr>
    <w:rPr>
      <w:rFonts w:ascii="Arial" w:eastAsia="Arial" w:hAnsi="Arial" w:cs="Arial"/>
      <w:sz w:val="22"/>
      <w:szCs w:val="22"/>
      <w:lang w:eastAsia="de-CH"/>
    </w:rPr>
  </w:style>
  <w:style w:type="paragraph" w:styleId="Bibliography">
    <w:name w:val="Bibliography"/>
    <w:basedOn w:val="Normal"/>
    <w:next w:val="Normal"/>
    <w:uiPriority w:val="37"/>
    <w:unhideWhenUsed/>
    <w:rsid w:val="00D2006C"/>
    <w:pPr>
      <w:spacing w:after="240"/>
    </w:pPr>
  </w:style>
  <w:style w:type="paragraph" w:styleId="ListParagraph">
    <w:name w:val="List Paragraph"/>
    <w:basedOn w:val="Normal"/>
    <w:uiPriority w:val="34"/>
    <w:qFormat/>
    <w:rsid w:val="009C35F8"/>
    <w:pPr>
      <w:widowControl/>
      <w:suppressAutoHyphens w:val="0"/>
      <w:spacing w:after="160" w:line="259" w:lineRule="auto"/>
      <w:ind w:left="720"/>
      <w:contextualSpacing/>
    </w:pPr>
    <w:rPr>
      <w:rFonts w:ascii="Arial" w:eastAsiaTheme="minorHAnsi" w:hAnsi="Arial" w:cstheme="minorBidi"/>
      <w:lang w:val="de-CH" w:eastAsia="en-US"/>
    </w:rPr>
  </w:style>
  <w:style w:type="table" w:styleId="TableGrid">
    <w:name w:val="Table Grid"/>
    <w:basedOn w:val="TableNormal"/>
    <w:rsid w:val="00660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206124">
      <w:bodyDiv w:val="1"/>
      <w:marLeft w:val="0"/>
      <w:marRight w:val="0"/>
      <w:marTop w:val="0"/>
      <w:marBottom w:val="0"/>
      <w:divBdr>
        <w:top w:val="none" w:sz="0" w:space="0" w:color="auto"/>
        <w:left w:val="none" w:sz="0" w:space="0" w:color="auto"/>
        <w:bottom w:val="none" w:sz="0" w:space="0" w:color="auto"/>
        <w:right w:val="none" w:sz="0" w:space="0" w:color="auto"/>
      </w:divBdr>
    </w:div>
    <w:div w:id="910383845">
      <w:bodyDiv w:val="1"/>
      <w:marLeft w:val="0"/>
      <w:marRight w:val="0"/>
      <w:marTop w:val="0"/>
      <w:marBottom w:val="0"/>
      <w:divBdr>
        <w:top w:val="none" w:sz="0" w:space="0" w:color="auto"/>
        <w:left w:val="none" w:sz="0" w:space="0" w:color="auto"/>
        <w:bottom w:val="none" w:sz="0" w:space="0" w:color="auto"/>
        <w:right w:val="none" w:sz="0" w:space="0" w:color="auto"/>
      </w:divBdr>
    </w:div>
    <w:div w:id="1738940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dfd7e1-493d-435c-bc21-04f0faababca">
      <Terms xmlns="http://schemas.microsoft.com/office/infopath/2007/PartnerControls"/>
    </lcf76f155ced4ddcb4097134ff3c332f>
    <TaxCatchAll xmlns="d513664a-139f-4179-8e07-7a9a880b2dc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411B4FA17AEB4F93E4A7818827A35C" ma:contentTypeVersion="7" ma:contentTypeDescription="Create a new document." ma:contentTypeScope="" ma:versionID="1c510d8146ed78f47722b5fe7052a80b">
  <xsd:schema xmlns:xsd="http://www.w3.org/2001/XMLSchema" xmlns:xs="http://www.w3.org/2001/XMLSchema" xmlns:p="http://schemas.microsoft.com/office/2006/metadata/properties" xmlns:ns2="cddfd7e1-493d-435c-bc21-04f0faababca" xmlns:ns3="d513664a-139f-4179-8e07-7a9a880b2dcc" targetNamespace="http://schemas.microsoft.com/office/2006/metadata/properties" ma:root="true" ma:fieldsID="631792d1541d7ed49c36c0b79c42f445" ns2:_="" ns3:_="">
    <xsd:import namespace="cddfd7e1-493d-435c-bc21-04f0faababca"/>
    <xsd:import namespace="d513664a-139f-4179-8e07-7a9a880b2d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d7e1-493d-435c-bc21-04f0faab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306b285-ac2c-4225-b56d-e54690cf9c9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13664a-139f-4179-8e07-7a9a880b2dc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39b7f4-6984-49f8-b7c9-922f1ebd89d3}" ma:internalName="TaxCatchAll" ma:showField="CatchAllData" ma:web="d513664a-139f-4179-8e07-7a9a880b2d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42A268-5BC1-413C-8A58-572A3970E8FF}">
  <ds:schemaRefs>
    <ds:schemaRef ds:uri="http://schemas.microsoft.com/office/2006/metadata/properties"/>
    <ds:schemaRef ds:uri="http://schemas.microsoft.com/office/infopath/2007/PartnerControls"/>
    <ds:schemaRef ds:uri="cddfd7e1-493d-435c-bc21-04f0faababca"/>
    <ds:schemaRef ds:uri="d513664a-139f-4179-8e07-7a9a880b2dcc"/>
  </ds:schemaRefs>
</ds:datastoreItem>
</file>

<file path=customXml/itemProps2.xml><?xml version="1.0" encoding="utf-8"?>
<ds:datastoreItem xmlns:ds="http://schemas.openxmlformats.org/officeDocument/2006/customXml" ds:itemID="{5555E337-35D1-4BF6-B8BE-51DE66056CFF}">
  <ds:schemaRefs>
    <ds:schemaRef ds:uri="http://schemas.microsoft.com/sharepoint/v3/contenttype/forms"/>
  </ds:schemaRefs>
</ds:datastoreItem>
</file>

<file path=customXml/itemProps3.xml><?xml version="1.0" encoding="utf-8"?>
<ds:datastoreItem xmlns:ds="http://schemas.openxmlformats.org/officeDocument/2006/customXml" ds:itemID="{4A90C5DF-E110-40C9-ACD3-42192C42C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fd7e1-493d-435c-bc21-04f0faababca"/>
    <ds:schemaRef ds:uri="d513664a-139f-4179-8e07-7a9a880b2d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5054</Words>
  <Characters>31843</Characters>
  <Application>Microsoft Office Word</Application>
  <DocSecurity>0</DocSecurity>
  <Lines>265</Lines>
  <Paragraphs>73</Paragraphs>
  <ScaleCrop>false</ScaleCrop>
  <HeadingPairs>
    <vt:vector size="2" baseType="variant">
      <vt:variant>
        <vt:lpstr>Title</vt:lpstr>
      </vt:variant>
      <vt:variant>
        <vt:i4>1</vt:i4>
      </vt:variant>
    </vt:vector>
  </HeadingPairs>
  <TitlesOfParts>
    <vt:vector size="1" baseType="lpstr">
      <vt:lpstr>GISRUK 2004 Author Instructions</vt:lpstr>
    </vt:vector>
  </TitlesOfParts>
  <Company>University of Newcastle</Company>
  <LinksUpToDate>false</LinksUpToDate>
  <CharactersWithSpaces>36824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GISRUK 2004 Author Instructions</dc:title>
  <dc:subject/>
  <dc:creator>Katy Appleton</dc:creator>
  <cp:keywords/>
  <dc:description/>
  <cp:lastModifiedBy>Black  Benjamin</cp:lastModifiedBy>
  <cp:revision>2</cp:revision>
  <cp:lastPrinted>2018-09-18T14:55:00Z</cp:lastPrinted>
  <dcterms:created xsi:type="dcterms:W3CDTF">2025-06-26T10:09:00Z</dcterms:created>
  <dcterms:modified xsi:type="dcterms:W3CDTF">2025-06-26T10:09:00Z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0x01010089411B4FA17AEB4F93E4A7818827A35C</vt:lpwstr>
  </property>
  <property fmtid="{D5CDD505-2E9C-101B-9397-08002B2CF9AE}" pid="4" name="GrammarlyDocumentId">
    <vt:lpwstr>912db2dadaf48412222bcbeb8acff96184650f2e3ad5ef9e6b96462d0f8cb4b1</vt:lpwstr>
  </property>
  <property fmtid="{D5CDD505-2E9C-101B-9397-08002B2CF9AE}" pid="5" name="ZOTERO_PREF_1">
    <vt:lpwstr>&lt;data data-version="3" zotero-version="6.0.13"&gt;&lt;session id="YtXc3oLH"/&gt;&lt;style id="http://www.zotero.org/styles/harvard-cite-them-right" hasBibliography="1" bibliographyStyleHasBeenSet="1"/&gt;&lt;prefs&gt;&lt;pref name="fieldType" value="Field"/&gt;&lt;/prefs&gt;&lt;/data&gt;</vt:lpwstr>
  </property>
</Properties>
</file>