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b/>
          <w:color w:val="051C2C"/>
          <w:sz w:val="64"/>
        </w:rPr>
        <w:t>Modellannahmen</w:t>
      </w:r>
    </w:p>
    <w:p>
      <w:pPr>
        <w:jc w:val="center"/>
      </w:pPr>
      <w:r>
        <w:rPr>
          <w:color w:val="034B6F"/>
          <w:sz w:val="26"/>
        </w:rPr>
        <w:t>EU Banking Credit Stress Cockpit</w:t>
        <w:br/>
        <w:t>2-Faktor-Kreditstress (Basel-III-IRB) · Zielgröße CET1-Quote · Pillar-3-Datenbasis</w:t>
      </w:r>
    </w:p>
    <w:p>
      <w:pPr>
        <w:spacing w:before="600"/>
        <w:jc w:val="center"/>
      </w:pPr>
      <w:r>
        <w:rPr>
          <w:color w:val="6E6E6E"/>
          <w:sz w:val="19"/>
        </w:rPr>
        <w:t>Kuratierte Abgabefassung · Stand 08.07.2026</w:t>
        <w:br/>
        <w:t>Technische Referenz: Modellarchitektur/docs/MODEL_ASSUMPTIONS.md (V2.1)</w:t>
      </w:r>
    </w:p>
    <w:p>
      <w:r>
        <w:br w:type="page"/>
      </w:r>
    </w:p>
    <w:p>
      <w:r>
        <w:rPr>
          <w:b/>
          <w:color w:val="051C2C"/>
          <w:sz w:val="32"/>
        </w:rPr>
        <w:t>Inhaltsverzeichnis</w:t>
      </w:r>
    </w:p>
    <w:p>
      <w:fldSimple w:instr="TOC \o &quot;1-2&quot; \h \z \u">
        <w:r>
          <w:t>Das Inhaltsverzeichnis wird beim Öffnen in Word automatisch aufgebaut (Feld-Aktualisierung ist im Dokument hinterlegt).</w:t>
        </w:r>
      </w:fldSimple>
    </w:p>
    <w:p>
      <w:r>
        <w:br w:type="page"/>
      </w:r>
    </w:p>
    <w:p>
      <w:pPr>
        <w:pStyle w:val="Heading1"/>
      </w:pPr>
      <w:r>
        <w:t>Abkürzungen und Symbole</w:t>
      </w:r>
    </w:p>
    <w:p>
      <w:pPr>
        <w:spacing w:after="140"/>
      </w:pPr>
      <w:r>
        <w:rPr>
          <w:b w:val="0"/>
          <w:i w:val="0"/>
          <w:sz w:val="21"/>
        </w:rPr>
        <w:t>Kurzreferenz für die kritische Durchsicht — jede Abkürzung wird zusätzlich bei ihrem ersten inhaltlichen Auftreten im Text erläutert.</w:t>
      </w:r>
    </w:p>
    <w:p>
      <w:pPr>
        <w:pStyle w:val="Heading2"/>
      </w:pPr>
      <w:r>
        <w:t>Abkürzungen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600"/>
            <w:shd w:val="clear" w:fill="D9E4EC"/>
          </w:tcPr>
          <w:p>
            <w:r/>
            <w:r>
              <w:rPr>
                <w:b/>
                <w:sz w:val="17"/>
              </w:rPr>
              <w:t>Abkürzung</w:t>
            </w:r>
          </w:p>
        </w:tc>
        <w:tc>
          <w:tcPr>
            <w:tcW w:type="dxa" w:w="7811"/>
            <w:shd w:val="clear" w:fill="D9E4EC"/>
          </w:tcPr>
          <w:p>
            <w:r/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A-IRB / F-IRB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Advanced / Foundation Internal Ratings-Based — im A-IRB schätzt die Bank PD und LGD selbst, im F-IRB nur die PD (LGD regulatorisch, z. B. 45 % für unbesicherte Senior-Forderungen)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AC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Amortised Cost — zu fortgeführten Anschaffungskosten bilanziert; kein laufender Marktwert-Effekt im Eigenkapital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ASRF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Asymptotic Single Risk Factor — Portfoliomodell hinter der Basel-IRB-Formel (Vasicek/Gordy)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bp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Basispunkt = 0,01 Prozentpunkte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CCF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Credit Conversion Factor — Umrechnungsfaktor für außerbilanzielle Kreditzusagen in EAD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CET1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Common Equity Tier 1 — hartes Kernkapital; die CET1-Quote (CET1 ÷ RWA) ist die Zielgröße des Modells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CRR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Capital Requirements Regulation — Verordnung (EU) Nr. 575/2013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EAD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Exposure at Default — Forderungshöhe bei Ausfall (post-CCF)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EBA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European Banking Authority — EU-Bankenaufsichtsbehörde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EL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Expected Loss — erwarteter Verlust = PD · LGD · EAD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EU CR6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Pillar-3-Offenlegungstemplate für IRB-Kreditrisiko (PD/LGD/EAD je Exposure-Klasse; EBA ITS/2020/04)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FVOCI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Fair Value through Other Comprehensive Income — Marktwertänderungen wirken erfolgsneutral direkt im Eigenkapital (OCI)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FVTPL / HfT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Fair Value through Profit or Loss / Held for Trading — Marktwertänderungen wirken über die Gewinn- und Verlustrechnung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ICAAP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Internal Capital Adequacy Assessment Process — bankinterner Kapitaladäquanz-Prozess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IRB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Internal Ratings-Based Approach — auf internen Ratings basierender Ansatz der Kapitalunterlegung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LEI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Legal Entity Identifier — eindeutige Kennung je Institut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LGD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Loss Given Default — Verlustquote bei Ausfall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MAE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Mean Absolute Error — mittlerer absoluter Prognosefehler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MtM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Mark-to-Market — Bewertung zum aktuellen Marktwert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NII / NIM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Net Interest Income / Margin — Zinsüberschuss bzw. Zinsmarge einer Bank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OCI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Other Comprehensive Income — erfolgsneutrales Eigenkapital (sonstiges Ergebnis)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PD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Probability of Default — 1-Jahres-Ausfallwahrscheinlichkeit (CRR Art. 180)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PIT / TTC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Point-in-Time / Through-the-Cycle — stichtagsbezogene vs. über den Zyklus geglättete Risikomessung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pp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Prozentpunkte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QRRE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Qualifying Revolving Retail Exposures — revolvierende Konsumentenkredite (z. B. Kreditkarten)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RWA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Risk-Weighted Assets — risikogewichtete Aktiva; Nenner der CET1-Quote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SREP</w:t>
            </w:r>
          </w:p>
        </w:tc>
        <w:tc>
          <w:tcPr>
            <w:tcW w:type="dxa" w:w="7811"/>
          </w:tcPr>
          <w:p>
            <w:r/>
            <w:r>
              <w:rPr>
                <w:b w:val="0"/>
                <w:sz w:val="17"/>
              </w:rPr>
              <w:t>Supervisory Review and Evaluation Process — aufsichtlicher Überprüfungsprozess</w:t>
            </w:r>
          </w:p>
        </w:tc>
      </w:tr>
    </w:tbl>
    <w:p>
      <w:pPr>
        <w:spacing w:after="80"/>
      </w:pPr>
    </w:p>
    <w:p>
      <w:pPr>
        <w:pStyle w:val="Heading2"/>
      </w:pPr>
      <w:r>
        <w:t>Symbole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06"/>
            <w:shd w:val="clear" w:fill="D9E4EC"/>
          </w:tcPr>
          <w:p>
            <w:r/>
            <w:r>
              <w:rPr>
                <w:b/>
                <w:sz w:val="17"/>
              </w:rPr>
              <w:t>Symbol</w:t>
            </w:r>
          </w:p>
        </w:tc>
        <w:tc>
          <w:tcPr>
            <w:tcW w:type="dxa" w:w="5835"/>
            <w:shd w:val="clear" w:fill="D9E4EC"/>
          </w:tcPr>
          <w:p>
            <w:r/>
            <w:r>
              <w:rPr>
                <w:b/>
                <w:sz w:val="17"/>
              </w:rPr>
              <w:t>Bedeutung</w:t>
            </w:r>
          </w:p>
        </w:tc>
        <w:tc>
          <w:tcPr>
            <w:tcW w:type="dxa" w:w="2070"/>
            <w:shd w:val="clear" w:fill="D9E4EC"/>
          </w:tcPr>
          <w:p>
            <w:r/>
            <w:r>
              <w:rPr>
                <w:b/>
                <w:sz w:val="17"/>
              </w:rPr>
              <w:t>Ort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ΔBrent_log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Ölpreis-Schock als log-Return ln(P₁/P₀); +0,50 ≈ +65 % Preis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2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Δr_10y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Parallelverschiebung des 10-Jahres-Zinses in pp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2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β_Öl, β_Zins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PD-Sensitivitäten je Kreditklasse (pp ΔPD pro Faktoreinheit)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3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γ_Öl, γ_Zins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LGD-Sensitivitäten je Kreditklasse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3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ρ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Asset-Korrelation der IRB-Formel (CRR Art. 153/154)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K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Kapitalanforderung je Einheit Exposure (IRB-Formel)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N, N⁻¹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Standardnormal-Verteilungsfunktion und ihre Inverse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α = 99,9 %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Konfidenzniveau der IRB-Formel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b(PD), MA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Laufzeit-Glättungsfunktion und Laufzeit-Adjustment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effektive Restlaufzeit; Konvention M = 2,5 Jahre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Jahresumsatz für die KMU-ρ-Anpassung; Konvention 20 Mio. €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D_bucket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Modified Duration je Laufzeit-Bucket (Sovereign-Kanal)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ΔRWA, ΔEL, ΔMtM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Stress-Deltas der CET1-Bridge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4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 w:val="0"/>
                <w:sz w:val="17"/>
              </w:rPr>
              <w:t>e_i, MAE, Bias</w:t>
            </w:r>
          </w:p>
        </w:tc>
        <w:tc>
          <w:tcPr>
            <w:tcW w:type="dxa" w:w="5835"/>
          </w:tcPr>
          <w:p>
            <w:r/>
            <w:r>
              <w:rPr>
                <w:b w:val="0"/>
                <w:sz w:val="17"/>
              </w:rPr>
              <w:t>Prognosefehler je Bank-Jahr und Fehlermaße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Abschnitt 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 · Das Modell auf einen Blick</w:t>
      </w:r>
    </w:p>
    <w:p>
      <w:pPr>
        <w:spacing w:after="140"/>
      </w:pPr>
      <w:r>
        <w:rPr>
          <w:b w:val="0"/>
          <w:i w:val="0"/>
          <w:sz w:val="21"/>
        </w:rPr>
        <w:t xml:space="preserve">Das Cockpit beantwortet eine aufsichtlich zentrale Frage: </w:t>
      </w:r>
      <w:r>
        <w:rPr>
          <w:b/>
          <w:i w:val="0"/>
          <w:sz w:val="21"/>
        </w:rPr>
        <w:t>Wie stünde die harte Kernkapitalquote (CET1) der zehn größten EU-IRB-Banken, wenn ein Ölpreis- und/oder Zinsschock einträte?</w:t>
      </w:r>
      <w:r>
        <w:rPr>
          <w:b w:val="0"/>
          <w:i w:val="0"/>
          <w:sz w:val="21"/>
        </w:rPr>
        <w:t xml:space="preserve"> Die CET1-Quote ist die Solvenz-Kennzahl der Bankenaufsicht — fällt sie unter die gestaffelten Mindestanforderungen, greifen aufsichtliche Maßnahmen bis hin zu Ausschüttungssperren.</w:t>
      </w:r>
    </w:p>
    <w:p>
      <w:pPr>
        <w:spacing w:after="140"/>
      </w:pPr>
      <w:r>
        <w:rPr>
          <w:b w:val="0"/>
          <w:i w:val="0"/>
          <w:sz w:val="21"/>
        </w:rPr>
        <w:t>Vier Prinzipien tragen das Modell:</w:t>
      </w:r>
    </w:p>
    <w:p>
      <w:pPr>
        <w:pStyle w:val="ListBullet"/>
      </w:pPr>
      <w:r>
        <w:rPr>
          <w:b/>
          <w:sz w:val="21"/>
        </w:rPr>
        <w:t>Quellenreine Datenbasis</w:t>
      </w:r>
      <w:r>
        <w:rPr>
          <w:b w:val="0"/>
          <w:sz w:val="21"/>
        </w:rPr>
        <w:t xml:space="preserve"> — alle Risikoparameter (PD, LGD, EAD) stammen aus den offiziellen Pillar-3-Offenlegungen (EU CR6) der Banken selbst; kein Wert wird geschätzt oder abgeleitet.</w:t>
      </w:r>
    </w:p>
    <w:p>
      <w:pPr>
        <w:pStyle w:val="ListBullet"/>
      </w:pPr>
      <w:r>
        <w:rPr>
          <w:b/>
          <w:sz w:val="21"/>
        </w:rPr>
        <w:t>Zwei getrennte, messbare Faktoren</w:t>
      </w:r>
      <w:r>
        <w:rPr>
          <w:b w:val="0"/>
          <w:sz w:val="21"/>
        </w:rPr>
        <w:t xml:space="preserve"> — Ölpreis (ΔBrent) und 10-Jahres-Zins (Δr_10y) werden nicht zu einem Kunstfaktor aggregiert, sondern wirken einzeln und beobachtbar.</w:t>
      </w:r>
    </w:p>
    <w:p>
      <w:pPr>
        <w:pStyle w:val="ListBullet"/>
      </w:pPr>
      <w:r>
        <w:rPr>
          <w:b/>
          <w:sz w:val="21"/>
        </w:rPr>
        <w:t>Sektor-differenzierte Transmission</w:t>
      </w:r>
      <w:r>
        <w:rPr>
          <w:b w:val="0"/>
          <w:sz w:val="21"/>
        </w:rPr>
        <w:t xml:space="preserve"> — jede Kreditklasse reagiert gemäß quellenbelegter Sensitivitäten unterschiedlich (eine Hypothek anders als ein Kreditkartenbuch).</w:t>
      </w:r>
    </w:p>
    <w:p>
      <w:pPr>
        <w:pStyle w:val="ListBullet"/>
      </w:pPr>
      <w:r>
        <w:rPr>
          <w:b/>
          <w:sz w:val="21"/>
        </w:rPr>
        <w:t>Konservative Auslegung</w:t>
      </w:r>
      <w:r>
        <w:rPr>
          <w:b w:val="0"/>
          <w:sz w:val="21"/>
        </w:rPr>
        <w:t xml:space="preserve"> — im Zweifel überschätzt das Modell den Kapitalbedarf; entlastende Effekte (z. B. Zinsüberschuss) werden bewusst nicht gegengerechnet.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28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28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E6E6E"/>
          <w:sz w:val="17"/>
        </w:rPr>
        <w:t>Abb. 1 · Modell-Pipeline: Zwei Makro-Schocks laufen über die β-Transmission und die Basel-III-Kapitalformel in das Kreditbuch; der Zinsschock wirkt zusätzlich über den Sovereign-Kanal. Zielgröße ist stets die CET1-Quote unter Stress.</w:t>
      </w:r>
    </w:p>
    <w:p>
      <w:pPr>
        <w:pStyle w:val="Heading2"/>
      </w:pPr>
      <w:r>
        <w:t>Prüfpfad für kritische Evaluation</w:t>
      </w:r>
    </w:p>
    <w:p>
      <w:pPr>
        <w:spacing w:after="140"/>
      </w:pPr>
      <w:r>
        <w:rPr>
          <w:b w:val="0"/>
          <w:i w:val="0"/>
          <w:sz w:val="21"/>
        </w:rPr>
        <w:t>Das Dokument ist so aufgebaut, dass ein Dritter die Modelllogik vom Rohdatum bis zur CET1-Quote nachvollziehen kann. Die folgende Kurzlandkarte nennt die jeweils prüfbare Stelle; Details folgen in den Abschnitten 2 bis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23"/>
            <w:shd w:val="clear" w:fill="D9E4EC"/>
          </w:tcPr>
          <w:p>
            <w:r/>
            <w:r>
              <w:rPr>
                <w:b/>
                <w:sz w:val="17"/>
              </w:rPr>
              <w:t>Prüffrage</w:t>
            </w:r>
          </w:p>
        </w:tc>
        <w:tc>
          <w:tcPr>
            <w:tcW w:type="dxa" w:w="4706"/>
            <w:shd w:val="clear" w:fill="D9E4EC"/>
          </w:tcPr>
          <w:p>
            <w:r/>
            <w:r>
              <w:rPr>
                <w:b/>
                <w:sz w:val="17"/>
              </w:rPr>
              <w:t>Nachvollziehbarer Beleg</w:t>
            </w:r>
          </w:p>
        </w:tc>
        <w:tc>
          <w:tcPr>
            <w:tcW w:type="dxa" w:w="1882"/>
            <w:shd w:val="clear" w:fill="D9E4EC"/>
          </w:tcPr>
          <w:p>
            <w:r/>
            <w:r>
              <w:rPr>
                <w:b/>
                <w:sz w:val="17"/>
              </w:rPr>
              <w:t>Abschnitt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Woher kommen PD, LGD und EAD?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Pillar-3-EU-CR6-Zeilen mit Quellen-URL, Seitenzahl und Tabellenname; keine Ableitung aus RWA oder NPL-Quoten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sz w:val="17"/>
              </w:rPr>
              <w:t>5 / A-01 / A-02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Welche Werte sind Annahmen, welche nicht?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Konfidenzklassen [published], [estimate], [approximation], [assumption]; ρ ist regulatorischer CRR-Parameter, keine Schätzung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sz w:val="17"/>
              </w:rPr>
              <w:t>4 / 6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Wie läuft ein Schock durch das Modell?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ΔBrent und Δr_10y → ΔPD/ΔLGD → IRB-K-Formel → ΔRWA/ΔEL → CET1-Bridge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sz w:val="17"/>
              </w:rPr>
              <w:t>3 / 4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Wie wird Look-ahead im Backtest verhindert?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Walk-Forward: Portfolio zum Vorjahresstichtag einfrieren, realen Jahresschock einspeisen, erst danach mit gemeldeter CET1 vergleichen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sz w:val="17"/>
              </w:rPr>
              <w:t>7 / A-02c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Wo liegen die bewussten Grenzen?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Scope-Grenzen separat ausgewiesen: u. a. kein NII-Gegeneffekt, kein Hedge-Rekonstrukt, kein Mehrjahrespfad</w:t>
            </w:r>
          </w:p>
        </w:tc>
        <w:tc>
          <w:tcPr>
            <w:tcW w:type="dxa" w:w="1882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</w:tbl>
    <w:p>
      <w:pPr>
        <w:spacing w:after="80"/>
      </w:pPr>
    </w:p>
    <w:p>
      <w:pPr>
        <w:pStyle w:val="Heading1"/>
      </w:pPr>
      <w:r>
        <w:t>2 · Die zwei Risikofaktoren</w:t>
      </w:r>
    </w:p>
    <w:p>
      <w:pPr>
        <w:spacing w:after="140"/>
      </w:pPr>
      <w:r>
        <w:rPr>
          <w:b w:val="0"/>
          <w:i w:val="0"/>
          <w:sz w:val="21"/>
        </w:rPr>
        <w:t>Beide Faktoren sind täglich beobachtbare Marktgrößen — das Modell braucht keine latenten Zustandsvariablen: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fill="D9E4EC"/>
          </w:tcPr>
          <w:p>
            <w:r/>
            <w:r>
              <w:rPr>
                <w:b/>
                <w:sz w:val="18"/>
              </w:rPr>
              <w:t>Faktor</w:t>
            </w:r>
          </w:p>
        </w:tc>
        <w:tc>
          <w:tcPr>
            <w:tcW w:type="dxa" w:w="1129"/>
            <w:shd w:val="clear" w:fill="D9E4EC"/>
          </w:tcPr>
          <w:p>
            <w:r/>
            <w:r>
              <w:rPr>
                <w:b/>
                <w:sz w:val="18"/>
              </w:rPr>
              <w:t>Einheit</w:t>
            </w:r>
          </w:p>
        </w:tc>
        <w:tc>
          <w:tcPr>
            <w:tcW w:type="dxa" w:w="4706"/>
            <w:shd w:val="clear" w:fill="D9E4EC"/>
          </w:tcPr>
          <w:p>
            <w:r/>
            <w:r>
              <w:rPr>
                <w:b/>
                <w:sz w:val="18"/>
              </w:rPr>
              <w:t>Ökonomische Wirkung</w:t>
            </w:r>
          </w:p>
        </w:tc>
        <w:tc>
          <w:tcPr>
            <w:tcW w:type="dxa" w:w="2070"/>
            <w:shd w:val="clear" w:fill="D9E4EC"/>
          </w:tcPr>
          <w:p>
            <w:r/>
            <w:r>
              <w:rPr>
                <w:b/>
                <w:sz w:val="18"/>
              </w:rPr>
              <w:t>Lesebeispiel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/>
                <w:sz w:val="18"/>
              </w:rPr>
              <w:t>ΔBrent</w:t>
            </w:r>
            <w:r>
              <w:rPr>
                <w:b w:val="0"/>
                <w:sz w:val="18"/>
              </w:rPr>
              <w:t xml:space="preserve"> (Ölpreis)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8"/>
              </w:rPr>
              <w:t>log-Return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8"/>
              </w:rPr>
              <w:t>Energie-/Kostenschock: verteuert Vorleistungen, drückt Schuldner-Cashflows und Haushaltsbudgets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8"/>
              </w:rPr>
              <w:t>+0,50 ≈ +65 % Ölpreis</w:t>
            </w:r>
          </w:p>
        </w:tc>
      </w:tr>
      <w:tr>
        <w:tc>
          <w:tcPr>
            <w:tcW w:type="dxa" w:w="1506"/>
          </w:tcPr>
          <w:p>
            <w:r/>
            <w:r>
              <w:rPr>
                <w:b/>
                <w:sz w:val="18"/>
              </w:rPr>
              <w:t>Δr_10y</w:t>
            </w:r>
            <w:r>
              <w:rPr>
                <w:b w:val="0"/>
                <w:sz w:val="18"/>
              </w:rPr>
              <w:t xml:space="preserve"> (10-J-Zins)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8"/>
              </w:rPr>
              <w:t>Prozentpunkte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8"/>
              </w:rPr>
              <w:t>Refinanzierungs-/Bewertungsschock: verteuert Anschlussfinanzierung, senkt Sicherheiten- und Anleihewerte</w:t>
            </w:r>
          </w:p>
        </w:tc>
        <w:tc>
          <w:tcPr>
            <w:tcW w:type="dxa" w:w="2070"/>
          </w:tcPr>
          <w:p>
            <w:r/>
            <w:r>
              <w:rPr>
                <w:b w:val="0"/>
                <w:sz w:val="18"/>
              </w:rPr>
              <w:t>+2,0 = +200 Basispunkte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i w:val="0"/>
          <w:sz w:val="21"/>
        </w:rPr>
        <w:t>Warum zwei getrennte Faktoren?</w:t>
      </w:r>
      <w:r>
        <w:rPr>
          <w:b w:val="0"/>
          <w:i w:val="0"/>
          <w:sz w:val="21"/>
        </w:rPr>
        <w:t xml:space="preserve"> Gemessen auf Tagesbasis — tägliche Brent-log-Returns gegen tägliche Änderungen des 10-Jahres-Svensson-Zinses, rollierendes 5-Jahres-Fenster mit 1 242 Handelstagen — beträgt die Pearson-Korrelation der beiden Faktoren nur ρ = +0,07 (Fisher-z-95 %-Konfidenzintervall [+0,01; +0,12]; OLS-R² = 0,005). Sie tragen also nahezu unabhängige Information — eine Aggregation zu einem Einheitsfaktor würde genau die Unterscheidung wegwerfen, die z. B. eine zinsgetriebene Hypothekenkrise von einem Energiekostenschock trennt. Die Grenze dieser Tages-Evidenz für den Jahres-Horizont diskutiert Annahme A-10; die Slider-Spannen des Cockpits (ΔBrent_log ∈ [−1,0; +1,5], Δr_10y ∈ [−3; +5] pp) orientieren sich an der Größenordnung des adversen EBA/ESRB-2025-Szenarios (§4.1.6).</w:t>
      </w:r>
    </w:p>
    <w:p>
      <w:pPr>
        <w:pStyle w:val="Heading2"/>
      </w:pPr>
      <w:r>
        <w:t>Datenquellen und ihre Rollen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59"/>
            <w:shd w:val="clear" w:fill="D9E4EC"/>
          </w:tcPr>
          <w:p>
            <w:r/>
            <w:r>
              <w:rPr>
                <w:b/>
                <w:sz w:val="18"/>
              </w:rPr>
              <w:t>Quelle</w:t>
            </w:r>
          </w:p>
        </w:tc>
        <w:tc>
          <w:tcPr>
            <w:tcW w:type="dxa" w:w="3106"/>
            <w:shd w:val="clear" w:fill="D9E4EC"/>
          </w:tcPr>
          <w:p>
            <w:r/>
            <w:r>
              <w:rPr>
                <w:b/>
                <w:sz w:val="18"/>
              </w:rPr>
              <w:t>Inhalt</w:t>
            </w:r>
          </w:p>
        </w:tc>
        <w:tc>
          <w:tcPr>
            <w:tcW w:type="dxa" w:w="4047"/>
            <w:shd w:val="clear" w:fill="D9E4EC"/>
          </w:tcPr>
          <w:p>
            <w:r/>
            <w:r>
              <w:rPr>
                <w:b/>
                <w:sz w:val="18"/>
              </w:rPr>
              <w:t>Rolle im Modell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8"/>
              </w:rPr>
              <w:t>Pillar-3-Reports (EU CR6)</w:t>
            </w:r>
          </w:p>
        </w:tc>
        <w:tc>
          <w:tcPr>
            <w:tcW w:type="dxa" w:w="3106"/>
          </w:tcPr>
          <w:p>
            <w:r/>
            <w:r>
              <w:rPr>
                <w:b w:val="0"/>
                <w:sz w:val="18"/>
              </w:rPr>
              <w:t>PD, LGD, EAD je Bank × Kreditklasse</w:t>
            </w:r>
          </w:p>
        </w:tc>
        <w:tc>
          <w:tcPr>
            <w:tcW w:type="dxa" w:w="4047"/>
          </w:tcPr>
          <w:p>
            <w:r/>
            <w:r>
              <w:rPr>
                <w:b/>
                <w:sz w:val="18"/>
              </w:rPr>
              <w:t>Input</w:t>
            </w:r>
            <w:r>
              <w:rPr>
                <w:b w:val="0"/>
                <w:sz w:val="18"/>
              </w:rPr>
              <w:t xml:space="preserve"> — Risikoparameter (Live-Snapshot 31.12.2024 + Backtest-Reihe FY2021–2024)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8"/>
              </w:rPr>
              <w:t>EBA Transparency Exercise</w:t>
            </w:r>
          </w:p>
        </w:tc>
        <w:tc>
          <w:tcPr>
            <w:tcW w:type="dxa" w:w="3106"/>
          </w:tcPr>
          <w:p>
            <w:r/>
            <w:r>
              <w:rPr>
                <w:b w:val="0"/>
                <w:sz w:val="18"/>
              </w:rPr>
              <w:t>CET1, RWA je Bank und Quartal</w:t>
            </w:r>
          </w:p>
        </w:tc>
        <w:tc>
          <w:tcPr>
            <w:tcW w:type="dxa" w:w="4047"/>
          </w:tcPr>
          <w:p>
            <w:r/>
            <w:r>
              <w:rPr>
                <w:b/>
                <w:sz w:val="18"/>
              </w:rPr>
              <w:t>Vergleichsseite</w:t>
            </w:r>
            <w:r>
              <w:rPr>
                <w:b w:val="0"/>
                <w:sz w:val="18"/>
              </w:rPr>
              <w:t xml:space="preserve"> — realisierte Werte für die Validierung; nie PD/LGD-Quelle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8"/>
              </w:rPr>
              <w:t>Brent (ICE), täglich</w:t>
            </w:r>
          </w:p>
        </w:tc>
        <w:tc>
          <w:tcPr>
            <w:tcW w:type="dxa" w:w="3106"/>
          </w:tcPr>
          <w:p>
            <w:r/>
            <w:r>
              <w:rPr>
                <w:b w:val="0"/>
                <w:sz w:val="18"/>
              </w:rPr>
              <w:t>Ölpreis-Historie</w:t>
            </w:r>
          </w:p>
        </w:tc>
        <w:tc>
          <w:tcPr>
            <w:tcW w:type="dxa" w:w="4047"/>
          </w:tcPr>
          <w:p>
            <w:r/>
            <w:r>
              <w:rPr>
                <w:b w:val="0"/>
                <w:sz w:val="18"/>
              </w:rPr>
              <w:t>Faktor 1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8"/>
              </w:rPr>
              <w:t>Bundesbank-Svensson-Parameter</w:t>
            </w:r>
          </w:p>
        </w:tc>
        <w:tc>
          <w:tcPr>
            <w:tcW w:type="dxa" w:w="3106"/>
          </w:tcPr>
          <w:p>
            <w:r/>
            <w:r>
              <w:rPr>
                <w:b w:val="0"/>
                <w:sz w:val="18"/>
              </w:rPr>
              <w:t>Zinsstrukturkurve, täglich (Nelson/Siegel 1987, erweitert um Svensson 1994)</w:t>
            </w:r>
          </w:p>
        </w:tc>
        <w:tc>
          <w:tcPr>
            <w:tcW w:type="dxa" w:w="4047"/>
          </w:tcPr>
          <w:p>
            <w:r/>
            <w:r>
              <w:rPr>
                <w:b w:val="0"/>
                <w:sz w:val="18"/>
              </w:rPr>
              <w:t>Faktor 2 (10-J-Zins)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8"/>
              </w:rPr>
              <w:t>EBA IFRS-9-Split</w:t>
            </w:r>
          </w:p>
        </w:tc>
        <w:tc>
          <w:tcPr>
            <w:tcW w:type="dxa" w:w="3106"/>
          </w:tcPr>
          <w:p>
            <w:r/>
            <w:r>
              <w:rPr>
                <w:b w:val="0"/>
                <w:sz w:val="18"/>
              </w:rPr>
              <w:t>HfT/FVTPL/FVOCI-Anteile der Staatsanleihen</w:t>
            </w:r>
          </w:p>
        </w:tc>
        <w:tc>
          <w:tcPr>
            <w:tcW w:type="dxa" w:w="4047"/>
          </w:tcPr>
          <w:p>
            <w:r/>
            <w:r>
              <w:rPr>
                <w:b w:val="0"/>
                <w:sz w:val="18"/>
              </w:rPr>
              <w:t>Sovereign-Kanal (CET1-wirksamer Anteil)</w:t>
            </w:r>
          </w:p>
        </w:tc>
      </w:tr>
    </w:tbl>
    <w:p>
      <w:pPr>
        <w:spacing w:after="80"/>
      </w:pPr>
    </w:p>
    <w:p>
      <w:pPr>
        <w:pStyle w:val="Heading1"/>
      </w:pPr>
      <w:r>
        <w:t>3 · Sektor-differenzierte Stress-Transmission</w:t>
      </w:r>
    </w:p>
    <w:p>
      <w:pPr>
        <w:spacing w:after="140"/>
      </w:pPr>
      <w:r>
        <w:rPr>
          <w:b w:val="0"/>
          <w:i w:val="0"/>
          <w:sz w:val="21"/>
        </w:rPr>
        <w:t xml:space="preserve">Kern des Modells ist die Übersetzung der beiden Schocks in Risikoparameter — </w:t>
      </w:r>
      <w:r>
        <w:rPr>
          <w:b/>
          <w:i w:val="0"/>
          <w:sz w:val="21"/>
        </w:rPr>
        <w:t>mit eigenen Sensitivitäten je Kreditklasse</w:t>
      </w:r>
      <w:r>
        <w:rPr>
          <w:b w:val="0"/>
          <w:i w:val="0"/>
          <w:sz w:val="21"/>
        </w:rPr>
        <w:t xml:space="preserve"> (Annahme A-04):</w:t>
      </w:r>
    </w:p>
    <w:p>
      <w:pPr>
        <w:spacing w:after="140"/>
      </w:pPr>
      <w:r>
        <w:rPr>
          <w:b w:val="0"/>
          <w:i w:val="0"/>
          <w:color w:val="034B6F"/>
          <w:sz w:val="21"/>
        </w:rPr>
        <w:t>ΔPD [pp] = β_Öl · ΔBrent + β_Zins · Δr_10y      ΔLGD [pp] = γ_Öl · ΔBrent + γ_Zins · Δr_10y</w:t>
      </w:r>
    </w:p>
    <w:p>
      <w:pPr>
        <w:spacing w:after="140"/>
      </w:pPr>
      <w:r>
        <w:rPr>
          <w:b w:val="0"/>
          <w:i w:val="0"/>
          <w:sz w:val="21"/>
        </w:rPr>
        <w:t xml:space="preserve">Die gestressten Werte werden begrenzt — jede Grenze hat einen Grund: Die </w:t>
      </w:r>
      <w:r>
        <w:rPr>
          <w:b/>
          <w:i w:val="0"/>
          <w:sz w:val="21"/>
        </w:rPr>
        <w:t>PD-Untergrenze von 0,03 %</w:t>
      </w:r>
      <w:r>
        <w:rPr>
          <w:b w:val="0"/>
          <w:i w:val="0"/>
          <w:sz w:val="21"/>
        </w:rPr>
        <w:t xml:space="preserve"> ist der regulatorische Basel-Floor (CRR Art. 160/163 — keine Bank darf einem lebenden Portfolio eine geringere Ausfallwahrscheinlichkeit zuweisen). Die </w:t>
      </w:r>
      <w:r>
        <w:rPr>
          <w:b/>
          <w:i w:val="0"/>
          <w:sz w:val="21"/>
        </w:rPr>
        <w:t>PD-Obergrenze von 50 %</w:t>
      </w:r>
      <w:r>
        <w:rPr>
          <w:b w:val="0"/>
          <w:i w:val="0"/>
          <w:sz w:val="21"/>
        </w:rPr>
        <w:t xml:space="preserve"> dient der numerischen Stabilität: jenseits davon wäre ein Portfolio faktisch im Ausfallstatus und die IRB-Formel nicht mehr die richtige Linse. Die </w:t>
      </w:r>
      <w:r>
        <w:rPr>
          <w:b/>
          <w:i w:val="0"/>
          <w:sz w:val="21"/>
        </w:rPr>
        <w:t>LGD-Untergrenze von 5 %</w:t>
      </w:r>
      <w:r>
        <w:rPr>
          <w:b w:val="0"/>
          <w:i w:val="0"/>
          <w:sz w:val="21"/>
        </w:rPr>
        <w:t xml:space="preserve"> verhindert unplausibel verlustfreie Ausfälle selbst bei bester Besicherung; die </w:t>
      </w:r>
      <w:r>
        <w:rPr>
          <w:b/>
          <w:i w:val="0"/>
          <w:sz w:val="21"/>
        </w:rPr>
        <w:t>Obergrenze 100 %</w:t>
      </w:r>
      <w:r>
        <w:rPr>
          <w:b w:val="0"/>
          <w:i w:val="0"/>
          <w:sz w:val="21"/>
        </w:rPr>
        <w:t xml:space="preserve"> ist definitorisch (mehr als das Exposure kann nicht verloren gehen).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3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E6E6E"/>
          <w:sz w:val="17"/>
        </w:rPr>
        <w:t>Abb. 2 · Die Sensitivitäts-Matrix als Bild: Jede Zelle ist eine dokumentierte Annahme — rot = Risiko steigt mit dem Schock, blau = sinkt, weiß = kein Effekt. Auffällig: Hypotheken sind zinsgetrieben, Banken profitieren leicht von Zinsanstiegen (Zinsüberschuss), Staaten reagieren nicht über das Kreditbuch (separater Sovereign-Kanal).</w:t>
      </w:r>
    </w:p>
    <w:p>
      <w:pPr>
        <w:pStyle w:val="Heading2"/>
      </w:pPr>
      <w:r>
        <w:t>Ökonomische Logik je Kreditklasse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318"/>
            <w:shd w:val="clear" w:fill="D9E4EC"/>
          </w:tcPr>
          <w:p>
            <w:r/>
            <w:r>
              <w:rPr>
                <w:b/>
                <w:sz w:val="17"/>
              </w:rPr>
              <w:t>Klasse</w:t>
            </w:r>
          </w:p>
        </w:tc>
        <w:tc>
          <w:tcPr>
            <w:tcW w:type="dxa" w:w="847"/>
            <w:shd w:val="clear" w:fill="D9E4EC"/>
          </w:tcPr>
          <w:p>
            <w:r/>
            <w:r>
              <w:rPr>
                <w:b/>
                <w:sz w:val="17"/>
              </w:rPr>
              <w:t>β PD·Zins</w:t>
            </w:r>
          </w:p>
        </w:tc>
        <w:tc>
          <w:tcPr>
            <w:tcW w:type="dxa" w:w="847"/>
            <w:shd w:val="clear" w:fill="D9E4EC"/>
          </w:tcPr>
          <w:p>
            <w:r/>
            <w:r>
              <w:rPr>
                <w:b/>
                <w:sz w:val="17"/>
              </w:rPr>
              <w:t>β PD·Öl</w:t>
            </w:r>
          </w:p>
        </w:tc>
        <w:tc>
          <w:tcPr>
            <w:tcW w:type="dxa" w:w="941"/>
            <w:shd w:val="clear" w:fill="D9E4EC"/>
          </w:tcPr>
          <w:p>
            <w:r/>
            <w:r>
              <w:rPr>
                <w:b/>
                <w:sz w:val="17"/>
              </w:rPr>
              <w:t>γ LGD·Zins</w:t>
            </w:r>
          </w:p>
        </w:tc>
        <w:tc>
          <w:tcPr>
            <w:tcW w:type="dxa" w:w="847"/>
            <w:shd w:val="clear" w:fill="D9E4EC"/>
          </w:tcPr>
          <w:p>
            <w:r/>
            <w:r>
              <w:rPr>
                <w:b/>
                <w:sz w:val="17"/>
              </w:rPr>
              <w:t>γ LGD·Öl</w:t>
            </w:r>
          </w:p>
        </w:tc>
        <w:tc>
          <w:tcPr>
            <w:tcW w:type="dxa" w:w="4611"/>
            <w:shd w:val="clear" w:fill="D9E4EC"/>
          </w:tcPr>
          <w:p>
            <w:r/>
            <w:r>
              <w:rPr>
                <w:b/>
                <w:sz w:val="17"/>
              </w:rPr>
              <w:t>Ökonomische Logik (Kurzform)</w:t>
            </w:r>
          </w:p>
        </w:tc>
      </w:tr>
      <w:tr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corporate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+0,20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+0,30</w:t>
            </w:r>
          </w:p>
        </w:tc>
        <w:tc>
          <w:tcPr>
            <w:tcW w:type="dxa" w:w="941"/>
          </w:tcPr>
          <w:p>
            <w:r/>
            <w:r>
              <w:rPr>
                <w:b w:val="0"/>
                <w:sz w:val="17"/>
              </w:rPr>
              <w:t>+1,00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+0,50</w:t>
            </w:r>
          </w:p>
        </w:tc>
        <w:tc>
          <w:tcPr>
            <w:tcW w:type="dxa" w:w="4611"/>
          </w:tcPr>
          <w:p>
            <w:r/>
            <w:r>
              <w:rPr>
                <w:b w:val="0"/>
                <w:sz w:val="17"/>
              </w:rPr>
              <w:t>Energie verteuert Produktion, Zinsen die Refinanzierung; LGD steigt mit fallenden Sicherheitenwerten.</w:t>
            </w:r>
          </w:p>
        </w:tc>
      </w:tr>
      <w:tr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sme_corporate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+0,40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+0,60</w:t>
            </w:r>
          </w:p>
        </w:tc>
        <w:tc>
          <w:tcPr>
            <w:tcW w:type="dxa" w:w="941"/>
          </w:tcPr>
          <w:p>
            <w:r/>
            <w:r>
              <w:rPr>
                <w:b w:val="0"/>
                <w:sz w:val="17"/>
              </w:rPr>
              <w:t>+1,10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+0,45</w:t>
            </w:r>
          </w:p>
        </w:tc>
        <w:tc>
          <w:tcPr>
            <w:tcW w:type="dxa" w:w="4611"/>
          </w:tcPr>
          <w:p>
            <w:r/>
            <w:r>
              <w:rPr>
                <w:b w:val="0"/>
                <w:sz w:val="17"/>
              </w:rPr>
              <w:t>Wie Corporate, aber ≈2× stärker — KMU haben dünnere Puffer und weniger Preissetzungsmacht (ECB WP 2897).</w:t>
            </w:r>
          </w:p>
        </w:tc>
      </w:tr>
      <w:tr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mortgage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+0,30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+0,05</w:t>
            </w:r>
          </w:p>
        </w:tc>
        <w:tc>
          <w:tcPr>
            <w:tcW w:type="dxa" w:w="941"/>
          </w:tcPr>
          <w:p>
            <w:r/>
            <w:r>
              <w:rPr>
                <w:b w:val="0"/>
                <w:sz w:val="17"/>
              </w:rPr>
              <w:t>+1,50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+0,10</w:t>
            </w:r>
          </w:p>
        </w:tc>
        <w:tc>
          <w:tcPr>
            <w:tcW w:type="dxa" w:w="4611"/>
          </w:tcPr>
          <w:p>
            <w:r/>
            <w:r>
              <w:rPr>
                <w:b w:val="0"/>
                <w:sz w:val="17"/>
              </w:rPr>
              <w:t>Zins dominiert: Raten steigen (Floating/Anschluss), Hauspreise fallen → höchste LGD-Zins-Sensitivität.</w:t>
            </w:r>
          </w:p>
        </w:tc>
      </w:tr>
      <w:tr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qrre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+0,15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+0,40</w:t>
            </w:r>
          </w:p>
        </w:tc>
        <w:tc>
          <w:tcPr>
            <w:tcW w:type="dxa" w:w="941"/>
          </w:tcPr>
          <w:p>
            <w:r/>
            <w:r>
              <w:rPr>
                <w:b w:val="0"/>
                <w:sz w:val="17"/>
              </w:rPr>
              <w:t>+0,50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+0,30</w:t>
            </w:r>
          </w:p>
        </w:tc>
        <w:tc>
          <w:tcPr>
            <w:tcW w:type="dxa" w:w="4611"/>
          </w:tcPr>
          <w:p>
            <w:r/>
            <w:r>
              <w:rPr>
                <w:b w:val="0"/>
                <w:sz w:val="17"/>
              </w:rPr>
              <w:t>Kreditkarten/Revolving: hängt am Haushaltsbudget → energie-/inflationssensitiv, kaum zins-sensitiv.</w:t>
            </w:r>
          </w:p>
        </w:tc>
      </w:tr>
      <w:tr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other_retail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+0,25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+0,30</w:t>
            </w:r>
          </w:p>
        </w:tc>
        <w:tc>
          <w:tcPr>
            <w:tcW w:type="dxa" w:w="941"/>
          </w:tcPr>
          <w:p>
            <w:r/>
            <w:r>
              <w:rPr>
                <w:b w:val="0"/>
                <w:sz w:val="17"/>
              </w:rPr>
              <w:t>+0,80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+0,25</w:t>
            </w:r>
          </w:p>
        </w:tc>
        <w:tc>
          <w:tcPr>
            <w:tcW w:type="dxa" w:w="4611"/>
          </w:tcPr>
          <w:p>
            <w:r/>
            <w:r>
              <w:rPr>
                <w:b w:val="0"/>
                <w:sz w:val="17"/>
              </w:rPr>
              <w:t>Konsum-/Autokredite: Mischprofil zwischen Mortgage und QRRE.</w:t>
            </w:r>
          </w:p>
        </w:tc>
      </w:tr>
      <w:tr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bank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-0,05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+0,05</w:t>
            </w:r>
          </w:p>
        </w:tc>
        <w:tc>
          <w:tcPr>
            <w:tcW w:type="dxa" w:w="941"/>
          </w:tcPr>
          <w:p>
            <w:r/>
            <w:r>
              <w:rPr>
                <w:b w:val="0"/>
                <w:sz w:val="17"/>
              </w:rPr>
              <w:t>+0,50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+0,10</w:t>
            </w:r>
          </w:p>
        </w:tc>
        <w:tc>
          <w:tcPr>
            <w:tcW w:type="dxa" w:w="4611"/>
          </w:tcPr>
          <w:p>
            <w:r/>
            <w:r>
              <w:rPr>
                <w:b w:val="0"/>
                <w:sz w:val="17"/>
              </w:rPr>
              <w:t xml:space="preserve">Leicht </w:t>
            </w:r>
            <w:r>
              <w:rPr>
                <w:b/>
                <w:sz w:val="17"/>
              </w:rPr>
              <w:t>negatives</w:t>
            </w:r>
            <w:r>
              <w:rPr>
                <w:b w:val="0"/>
                <w:sz w:val="17"/>
              </w:rPr>
              <w:t xml:space="preserve"> Zins-β: steigende Zinsen stützen den Zinsüberschuss der Gegenpartei-Banken (NIM-Effekt).</w:t>
            </w:r>
          </w:p>
        </w:tc>
      </w:tr>
      <w:tr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sovereign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+0,00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+0,00</w:t>
            </w:r>
          </w:p>
        </w:tc>
        <w:tc>
          <w:tcPr>
            <w:tcW w:type="dxa" w:w="941"/>
          </w:tcPr>
          <w:p>
            <w:r/>
            <w:r>
              <w:rPr>
                <w:b w:val="0"/>
                <w:sz w:val="17"/>
              </w:rPr>
              <w:t>+0,00</w:t>
            </w:r>
          </w:p>
        </w:tc>
        <w:tc>
          <w:tcPr>
            <w:tcW w:type="dxa" w:w="847"/>
          </w:tcPr>
          <w:p>
            <w:r/>
            <w:r>
              <w:rPr>
                <w:b w:val="0"/>
                <w:sz w:val="17"/>
              </w:rPr>
              <w:t>+0,00</w:t>
            </w:r>
          </w:p>
        </w:tc>
        <w:tc>
          <w:tcPr>
            <w:tcW w:type="dxa" w:w="4611"/>
          </w:tcPr>
          <w:p>
            <w:r/>
            <w:r>
              <w:rPr>
                <w:b w:val="0"/>
                <w:sz w:val="17"/>
              </w:rPr>
              <w:t>Im Kreditbuch bewusst inert — der Zins wirkt auf Staaten über den Marktwert-Kanal (Abschnitt 4), nicht über die PD.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/>
          <w:sz w:val="19"/>
        </w:rPr>
        <w:t>Quellen der Kalibrierung: EBA (2024) *2025 EU-wide Stress Test — Methodological Note* §2.4.2 (sektorale Sensitivitäten sind der aufsichtlich vorgesehene Ansatz); ECB WP 2897 (Unternehmens-PD auf Angebots-/Zinsschocks, KMU-Verstärkung ≈ 2–3×), ECB WP 3207 (Sektor-Heterogenität der Unternehmens-Ausfälle im Stress), ECB WP 3112 (Hypotheken-Defaults und Zins), ECB Financial Stability Review Mai 2024 (Haushalte); die relative Rangfolge der Klassen ist gegen EBA Results 2025, Fig. 22 (projizierte Verlustquoten je Portfolio) quervalidiert. Die β sind als belegte, per Regler übersteuerbare Defaults ausgewiesen — Konfidenzklasse [estimate]; ihre Wirkung auf das Endergebnis quantifiziert der ±50-%-Robustheitstest in Abschnitt 7.</w:t>
      </w:r>
    </w:p>
    <w:p>
      <w:pPr>
        <w:pStyle w:val="Heading2"/>
      </w:pPr>
      <w:r>
        <w:t>Durchgerechnetes Beispiel: ein Schock läuft durch das Modell</w:t>
      </w:r>
    </w:p>
    <w:p>
      <w:pPr>
        <w:spacing w:after="140"/>
      </w:pPr>
      <w:r>
        <w:rPr>
          <w:b w:val="0"/>
          <w:i w:val="0"/>
          <w:sz w:val="21"/>
        </w:rPr>
        <w:t>Angenommen wird ein Corporate-Segment mit PD = 2,50 % und LGD = 35,00 %; als Szenario treten ein Zinsanstieg von +2,0 Prozentpunkten und ein Brent-log-Return von +0,30 (entspricht e^0,30 − 1 ≈ +35 % Ölpreis, vgl. die Log-Konvention aus Abschnitt 2) gleichzeitig ein. Dann rechnet das Modell in drei Schritten:</w:t>
      </w:r>
    </w:p>
    <w:p>
      <w:pPr>
        <w:pStyle w:val="ListBullet"/>
      </w:pPr>
      <w:r>
        <w:rPr>
          <w:b/>
          <w:sz w:val="21"/>
        </w:rPr>
        <w:t>Schritt 1 — PD-Transmission:</w:t>
      </w:r>
      <w:r>
        <w:rPr>
          <w:b w:val="0"/>
          <w:sz w:val="21"/>
        </w:rPr>
        <w:t xml:space="preserve"> ΔPD = 0,20 · 2,0 + 0,30 · 0,30 = </w:t>
      </w:r>
      <w:r>
        <w:rPr>
          <w:b/>
          <w:sz w:val="21"/>
        </w:rPr>
        <w:t>+0,49 pp</w:t>
      </w:r>
      <w:r>
        <w:rPr>
          <w:b w:val="0"/>
          <w:sz w:val="21"/>
        </w:rPr>
        <w:t xml:space="preserve"> → gestresste PD </w:t>
      </w:r>
      <w:r>
        <w:rPr>
          <w:b/>
          <w:sz w:val="21"/>
        </w:rPr>
        <w:t>2,99 %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/>
          <w:sz w:val="21"/>
        </w:rPr>
        <w:t>Schritt 2 — LGD-Transmission:</w:t>
      </w:r>
      <w:r>
        <w:rPr>
          <w:b w:val="0"/>
          <w:sz w:val="21"/>
        </w:rPr>
        <w:t xml:space="preserve"> ΔLGD = 1,00 · 2,0 + 0,50 · 0,30 = </w:t>
      </w:r>
      <w:r>
        <w:rPr>
          <w:b/>
          <w:sz w:val="21"/>
        </w:rPr>
        <w:t>+2,15 pp</w:t>
      </w:r>
      <w:r>
        <w:rPr>
          <w:b w:val="0"/>
          <w:sz w:val="21"/>
        </w:rPr>
        <w:t xml:space="preserve"> → gestresste LGD </w:t>
      </w:r>
      <w:r>
        <w:rPr>
          <w:b/>
          <w:sz w:val="21"/>
        </w:rPr>
        <w:t>37,15 %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/>
          <w:sz w:val="21"/>
        </w:rPr>
        <w:t>Schritt 3 — Kapitalwirkung (IRB-Formel):</w:t>
      </w:r>
      <w:r>
        <w:rPr>
          <w:b w:val="0"/>
          <w:sz w:val="21"/>
        </w:rPr>
        <w:t xml:space="preserve"> der erwartete Verlust steigt von 0,875 % auf 1,111 % des Exposures (relativ </w:t>
      </w:r>
      <w:r>
        <w:rPr>
          <w:b/>
          <w:sz w:val="21"/>
        </w:rPr>
        <w:t>+27 %</w:t>
      </w:r>
      <w:r>
        <w:rPr>
          <w:b w:val="0"/>
          <w:sz w:val="21"/>
        </w:rPr>
        <w:t xml:space="preserve">), die RWA-Dichte von 95,0 % auf 105,9 % — ein Anstieg um </w:t>
      </w:r>
      <w:r>
        <w:rPr>
          <w:b/>
          <w:sz w:val="21"/>
        </w:rPr>
        <w:t>+10,9 pp</w:t>
      </w:r>
      <w:r>
        <w:rPr>
          <w:b w:val="0"/>
          <w:sz w:val="21"/>
        </w:rPr>
        <w:t xml:space="preserve"> absolut (relativ +11,5 %).</w:t>
      </w:r>
    </w:p>
    <w:p>
      <w:pPr>
        <w:spacing w:after="140"/>
      </w:pPr>
      <w:r>
        <w:rPr>
          <w:b w:val="0"/>
          <w:i/>
          <w:sz w:val="19"/>
        </w:rPr>
        <w:t>Auf Portfolioebene wiederholt sich diese Rechnung für jede Bank und jede Klasse mit den echten Pillar-3-Parametern; die Summe der ΔRWA- und ΔEL-Beiträge speist die CET1-Bridge (Abschnitt 4). Die Beispielwerte sind live aus der Modell-Engine gerechnet, nicht handgepflegt.</w:t>
      </w:r>
    </w:p>
    <w:p>
      <w:pPr>
        <w:pStyle w:val="Heading1"/>
      </w:pPr>
      <w:r>
        <w:t>4 · Kapitalrechnung und CET1-Bridge</w:t>
      </w:r>
    </w:p>
    <w:p>
      <w:pPr>
        <w:spacing w:after="140"/>
      </w:pPr>
      <w:r>
        <w:rPr>
          <w:b w:val="0"/>
          <w:i w:val="0"/>
          <w:sz w:val="21"/>
        </w:rPr>
        <w:t xml:space="preserve">Die gestressten PD/LGD laufen durch die </w:t>
      </w:r>
      <w:r>
        <w:rPr>
          <w:b/>
          <w:i w:val="0"/>
          <w:sz w:val="21"/>
        </w:rPr>
        <w:t>regulatorische Basel-III-IRB-Kapitalformel</w:t>
      </w:r>
      <w:r>
        <w:rPr>
          <w:b w:val="0"/>
          <w:i w:val="0"/>
          <w:sz w:val="21"/>
        </w:rPr>
        <w:t xml:space="preserve"> (Vasicek/ASRF; BCBS 2017, §272–284) — bewusst der aufsichtliche Standard, keine Eigenkonstruktion:</w:t>
      </w:r>
    </w:p>
    <w:p>
      <w:pPr>
        <w:spacing w:after="140"/>
      </w:pPr>
      <w:r>
        <w:rPr>
          <w:b w:val="0"/>
          <w:i w:val="0"/>
          <w:color w:val="034B6F"/>
          <w:sz w:val="20"/>
        </w:rPr>
        <w:t>Öl-/Zinsschock → PD_stress, LGD_stress → Basel-IRB-K-Formel → RWA → CET1</w:t>
      </w:r>
    </w:p>
    <w:p>
      <w:pPr>
        <w:spacing w:after="140"/>
      </w:pPr>
      <w:r>
        <w:rPr>
          <w:b w:val="0"/>
          <w:i w:val="0"/>
          <w:color w:val="034B6F"/>
          <w:sz w:val="20"/>
        </w:rPr>
        <w:t>K = [ LGD · N( (N⁻¹(PD) + √ρ · N⁻¹(0,999)) / √(1−ρ) ) − PD · LGD ] · MA      →      RWA = K · 12,5 · EAD</w:t>
      </w:r>
    </w:p>
    <w:p>
      <w:pPr>
        <w:spacing w:after="140"/>
      </w:pPr>
      <w:r>
        <w:rPr>
          <w:b w:val="0"/>
          <w:i w:val="0"/>
          <w:color w:val="034B6F"/>
          <w:sz w:val="20"/>
        </w:rPr>
        <w:t>CET1-Quote_stress = ( CET1 − ΔEL_Kredit + ΔMtM_Sov ) / ( RWA_total + ΔRWA_Kredit )</w:t>
      </w:r>
    </w:p>
    <w:p>
      <w:pPr>
        <w:spacing w:after="140"/>
      </w:pPr>
      <w:r>
        <w:rPr>
          <w:b w:val="0"/>
          <w:i w:val="0"/>
          <w:sz w:val="21"/>
        </w:rPr>
        <w:t xml:space="preserve">Dabei ist ρ der regulatorische IRB-Klassenparameter nach CRR Art. 153/154, MA das Laufzeit-Adjustment und N die Standardnormalverteilung; ΔMtM_Sov ist bei Zinsanstieg negativ (Kurswertverlust) und umfasst nur den CET1-wirksamen FVOCI/FVTPL-Anteil. Das Kreditbuch wirkt also auf Zähler (−ΔEL) </w:t>
      </w:r>
      <w:r>
        <w:rPr>
          <w:b/>
          <w:i w:val="0"/>
          <w:sz w:val="21"/>
        </w:rPr>
        <w:t>und</w:t>
      </w:r>
      <w:r>
        <w:rPr>
          <w:b w:val="0"/>
          <w:i w:val="0"/>
          <w:sz w:val="21"/>
        </w:rPr>
        <w:t xml:space="preserve"> Nenner (+ΔRWA), der Sovereign-Kanal nur auf den Zähler. Die theoretische Fundierung des ASRF-Rahmens liefern Vasicek (1991, 2002) und Gordy (2003).</w:t>
      </w:r>
    </w:p>
    <w:p>
      <w:pPr>
        <w:pStyle w:val="Heading2"/>
      </w:pPr>
      <w:r>
        <w:t>Die Formelstrecke im Detail</w:t>
      </w:r>
    </w:p>
    <w:p>
      <w:pPr>
        <w:spacing w:after="140"/>
      </w:pPr>
      <w:r>
        <w:rPr>
          <w:b/>
          <w:i w:val="0"/>
          <w:sz w:val="21"/>
        </w:rPr>
        <w:t>Laufzeit-Adjustment:</w:t>
      </w:r>
      <w:r>
        <w:rPr>
          <w:b w:val="0"/>
          <w:i w:val="0"/>
          <w:sz w:val="21"/>
        </w:rPr>
        <w:t xml:space="preserve"> b(PD) = (0,11852 − 0,05478 · ln PD)² und MA = (1 + (M − 2,5) · b) / (1 − 1,5 · b). MA gilt für corporate, sme_corporate, bank und sovereign; für die Retail-Klassen (mortgage, qrre, other_retail) ist MA = 1 (CRR-Systematik). </w:t>
      </w:r>
      <w:r>
        <w:rPr>
          <w:b/>
          <w:i w:val="0"/>
          <w:sz w:val="21"/>
        </w:rPr>
        <w:t>Zwei stille Konventionen, hier explizit ausgewiesen [assumption]:</w:t>
      </w:r>
      <w:r>
        <w:rPr>
          <w:b w:val="0"/>
          <w:i w:val="0"/>
          <w:sz w:val="21"/>
        </w:rPr>
        <w:t xml:space="preserve"> Die effektive Restlaufzeit ist einheitlich </w:t>
      </w:r>
      <w:r>
        <w:rPr>
          <w:b/>
          <w:i w:val="0"/>
          <w:sz w:val="21"/>
        </w:rPr>
        <w:t>M = 2,5 Jahre</w:t>
      </w:r>
      <w:r>
        <w:rPr>
          <w:b w:val="0"/>
          <w:i w:val="0"/>
          <w:sz w:val="21"/>
        </w:rPr>
        <w:t xml:space="preserve"> gesetzt (Basel-Default; Pillar 3 legt keine Restlaufzeit je Klasse offen — konstant über alle Jahrgänge und damit zeitvergleichs-neutral), und die KMU-Größenanpassung nutzt einen repräsentativen Jahresumsatz </w:t>
      </w:r>
      <w:r>
        <w:rPr>
          <w:b/>
          <w:i w:val="0"/>
          <w:sz w:val="21"/>
        </w:rPr>
        <w:t>S = 20 Mio. €</w:t>
      </w:r>
      <w:r>
        <w:rPr>
          <w:b w:val="0"/>
          <w:i w:val="0"/>
          <w:sz w:val="21"/>
        </w:rPr>
        <w:t xml:space="preserve"> für das aggregierte SME-Buch.</w:t>
      </w:r>
    </w:p>
    <w:p>
      <w:pPr>
        <w:spacing w:after="140"/>
      </w:pPr>
      <w:r>
        <w:rPr>
          <w:b/>
          <w:i w:val="0"/>
          <w:sz w:val="21"/>
        </w:rPr>
        <w:t>Kanal-Zerlegung:</w:t>
      </w:r>
      <w:r>
        <w:rPr>
          <w:b w:val="0"/>
          <w:i w:val="0"/>
          <w:sz w:val="21"/>
        </w:rPr>
        <w:t xml:space="preserve"> Die Stress-Wirkung wird sequentiell zerlegt — Stufe 1 stresst nur die PD (PD-Kanal), Stufe 2 zusätzlich die LGD (LGD-Kanal); beide Teilbeträge addieren sich exakt zu ΔRWA bzw. ΔEL. </w:t>
      </w:r>
      <w:r>
        <w:rPr>
          <w:b/>
          <w:i w:val="0"/>
          <w:sz w:val="21"/>
        </w:rPr>
        <w:t>ΔEL als Zähler-Proxy:</w:t>
      </w:r>
      <w:r>
        <w:rPr>
          <w:b w:val="0"/>
          <w:i w:val="0"/>
          <w:sz w:val="21"/>
        </w:rPr>
        <w:t xml:space="preserve"> ΔEL = Δ(PD · LGD · EAD) wird 1:1 vom CET1-Zähler abgezogen — als Proxy der stressbedingten Risikovorsorge. Die regulatorische EL-Shortfall-Mechanik (CRR Art. 36, 62) wird nicht separat modelliert — eine bewusste Vereinfachung auf der konservativen Seite.</w:t>
      </w:r>
    </w:p>
    <w:p>
      <w:pPr>
        <w:spacing w:after="140"/>
      </w:pPr>
      <w:r>
        <w:rPr>
          <w:b/>
          <w:i w:val="0"/>
          <w:sz w:val="21"/>
        </w:rPr>
        <w:t>Asset-Korrelation ρ je Klasse</w:t>
      </w:r>
      <w:r>
        <w:rPr>
          <w:b w:val="0"/>
          <w:i w:val="0"/>
          <w:sz w:val="21"/>
        </w:rPr>
        <w:t xml:space="preserve"> — regulatorisch fixiert (CRR Art. 153/154), keine Modellannahme: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59"/>
            <w:shd w:val="clear" w:fill="D9E4EC"/>
          </w:tcPr>
          <w:p>
            <w:r/>
            <w:r>
              <w:rPr>
                <w:b/>
                <w:sz w:val="17"/>
              </w:rPr>
              <w:t>Klasse</w:t>
            </w:r>
          </w:p>
        </w:tc>
        <w:tc>
          <w:tcPr>
            <w:tcW w:type="dxa" w:w="4894"/>
            <w:shd w:val="clear" w:fill="D9E4EC"/>
          </w:tcPr>
          <w:p>
            <w:r/>
            <w:r>
              <w:rPr>
                <w:b/>
                <w:sz w:val="17"/>
              </w:rPr>
              <w:t>ρ-Festlegung (wie implementiert)</w:t>
            </w:r>
          </w:p>
        </w:tc>
        <w:tc>
          <w:tcPr>
            <w:tcW w:type="dxa" w:w="2259"/>
            <w:shd w:val="clear" w:fill="D9E4EC"/>
          </w:tcPr>
          <w:p>
            <w:r/>
            <w:r>
              <w:rPr>
                <w:b/>
                <w:sz w:val="17"/>
              </w:rPr>
              <w:t>Spanne / Wert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corporate, bank, sovereign</w:t>
            </w:r>
          </w:p>
        </w:tc>
        <w:tc>
          <w:tcPr>
            <w:tcW w:type="dxa" w:w="4894"/>
          </w:tcPr>
          <w:p>
            <w:r/>
            <w:r>
              <w:rPr>
                <w:b w:val="0"/>
                <w:sz w:val="17"/>
              </w:rPr>
              <w:t>ρ = 0,12·R + 0,24·(1−R) mit R = (1−e^(−50·PD)) / (1−e^(−50))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0,24 → 0,12 (fallend in PD)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sme_corporate</w:t>
            </w:r>
          </w:p>
        </w:tc>
        <w:tc>
          <w:tcPr>
            <w:tcW w:type="dxa" w:w="4894"/>
          </w:tcPr>
          <w:p>
            <w:r/>
            <w:r>
              <w:rPr>
                <w:b w:val="0"/>
                <w:sz w:val="17"/>
              </w:rPr>
              <w:t>wie corporate, abzüglich Größenanpassung 0,04 · (1−(S−5)/45) bei S = 20 Mio. €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Abschlag 0,027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mortgage</w:t>
            </w:r>
          </w:p>
        </w:tc>
        <w:tc>
          <w:tcPr>
            <w:tcW w:type="dxa" w:w="4894"/>
          </w:tcPr>
          <w:p>
            <w:r/>
            <w:r>
              <w:rPr>
                <w:b w:val="0"/>
                <w:sz w:val="17"/>
              </w:rPr>
              <w:t>konstant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0,15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qrre</w:t>
            </w:r>
          </w:p>
        </w:tc>
        <w:tc>
          <w:tcPr>
            <w:tcW w:type="dxa" w:w="4894"/>
          </w:tcPr>
          <w:p>
            <w:r/>
            <w:r>
              <w:rPr>
                <w:b w:val="0"/>
                <w:sz w:val="17"/>
              </w:rPr>
              <w:t>konstant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0,04</w:t>
            </w:r>
          </w:p>
        </w:tc>
      </w:tr>
      <w:tr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other_retail</w:t>
            </w:r>
          </w:p>
        </w:tc>
        <w:tc>
          <w:tcPr>
            <w:tcW w:type="dxa" w:w="4894"/>
          </w:tcPr>
          <w:p>
            <w:r/>
            <w:r>
              <w:rPr>
                <w:b w:val="0"/>
                <w:sz w:val="17"/>
              </w:rPr>
              <w:t>ρ = 0,03·R₃₅ + 0,16·(1−R₃₅) mit R₃₅ analog (Faktor 35)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0,16 → 0,03 (fallend in PD)</w:t>
            </w:r>
          </w:p>
        </w:tc>
      </w:tr>
    </w:tbl>
    <w:p>
      <w:pPr>
        <w:spacing w:after="80"/>
      </w:pPr>
    </w:p>
    <w:p>
      <w:pPr>
        <w:pStyle w:val="Heading2"/>
      </w:pPr>
      <w:r>
        <w:t>Der Sovereign-Kanal konkret</w:t>
      </w:r>
    </w:p>
    <w:p>
      <w:pPr>
        <w:spacing w:after="140"/>
      </w:pPr>
      <w:r>
        <w:rPr>
          <w:b w:val="0"/>
          <w:i w:val="0"/>
          <w:sz w:val="21"/>
        </w:rPr>
        <w:t xml:space="preserve">Parallel zum Kreditbuch werden die Staatsanleihebestände bewertet: </w:t>
      </w:r>
      <w:r>
        <w:rPr>
          <w:b/>
          <w:i w:val="0"/>
          <w:sz w:val="21"/>
        </w:rPr>
        <w:t>ΔMtM = −D_bucket · Δr · Exposure_bucket</w:t>
      </w:r>
      <w:r>
        <w:rPr>
          <w:b w:val="0"/>
          <w:i w:val="0"/>
          <w:sz w:val="21"/>
        </w:rPr>
        <w:t xml:space="preserve">, summiert über die EBA-Laufzeit-Buckets je Bank. Die Modified Duration je Bucket ist eine Konvention über den Bucket-Mittelpunkt — 0,125 / 0,625 / 1,5 / 2,5 / 4,0 / 7,5 Jahre für die geschlossenen Buckets; der offene &gt;10Y-Bucket konservativ mit </w:t>
      </w:r>
      <w:r>
        <w:rPr>
          <w:b/>
          <w:i w:val="0"/>
          <w:sz w:val="21"/>
        </w:rPr>
        <w:t>15 Jahren</w:t>
      </w:r>
      <w:r>
        <w:rPr>
          <w:b w:val="0"/>
          <w:i w:val="0"/>
          <w:sz w:val="21"/>
        </w:rPr>
        <w:t xml:space="preserve"> (angelehnt an das Basel-/EBA-Zeitband 10–15 J.; Slotting-Logik analog BCBS 368). CET1-wirksam ist nur der HfT/FVTPL/FVOCI-Anteil — dieser IFRS-9-Split ist </w:t>
      </w:r>
      <w:r>
        <w:rPr>
          <w:b/>
          <w:i w:val="0"/>
          <w:sz w:val="21"/>
        </w:rPr>
        <w:t>je Bank aus der EBA Transparency gemeldet</w:t>
      </w:r>
      <w:r>
        <w:rPr>
          <w:b w:val="0"/>
          <w:i w:val="0"/>
          <w:sz w:val="21"/>
        </w:rPr>
        <w:t>, keine Pauschal-Annahme; duration-gewichtet sind über die zehn Banken ≈ 51 % des Brutto-MtM CET1-wirksam. Konvexität ist vernachlässigt (linearer Duration-Ansatz — überzeichnet den Verlust bei großen Zinsanstiegen leicht, wirkt also konservativ). Der Kanal nutzt den EBA-Perimeter aller zehn Banken und ist unabhängig davon, ob eine Bank Staaten im IRB-Kreditbuch führt (Beispiel Santander: Standardansatz im Kreditbuch, vollständig im Sovereign-Kanal). Durationslogik nach Tuckman/Serrat (2012); die begleitenden Marktbuch-Analysen des Cockpits — Staaten-Banken-Verflechtung (Doom Loop) und latente Bewertungsverluste — stützen sich auf Brunnermeier et al. (2016), Acharya/Drechsler/Schnabl (2014) und Jiang et al. (2023).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3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ri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3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E6E6E"/>
          <w:sz w:val="17"/>
        </w:rPr>
        <w:t>Abb. 3 · Die CET1-Bridge: Das Kreditbuch erhöht den Nenner (ΔRWA) und senkt über erwartete Verluste den Zähler (ΔEL); der Sovereign-Kanal senkt den Zähler zusätzlich (ΔMtM). Entlastende Gewinn-Effekte werden bewusst nicht angesetzt — die Quote unter Stress ist eine konservative Untergrenze.</w:t>
      </w:r>
    </w:p>
    <w:p>
      <w:pPr>
        <w:pStyle w:val="Heading1"/>
      </w:pPr>
      <w:r>
        <w:t>5 · Datenbasis und Integritätssicherung</w:t>
      </w:r>
    </w:p>
    <w:p>
      <w:pPr>
        <w:pStyle w:val="Heading2"/>
      </w:pPr>
      <w:r>
        <w:t>Das Banken-Universum</w:t>
      </w:r>
    </w:p>
    <w:p>
      <w:pPr>
        <w:spacing w:after="140"/>
      </w:pPr>
      <w:r>
        <w:rPr>
          <w:b w:val="0"/>
          <w:i w:val="0"/>
          <w:sz w:val="21"/>
        </w:rPr>
        <w:t xml:space="preserve">Die zehn größten EU-Banken nach IRB-EAD — zusammen </w:t>
      </w:r>
      <w:r>
        <w:rPr>
          <w:b/>
          <w:i w:val="0"/>
          <w:sz w:val="21"/>
        </w:rPr>
        <w:t>≈ 8,28 Bio. € IRB-EAD ≈ 56 %</w:t>
      </w:r>
      <w:r>
        <w:rPr>
          <w:b w:val="0"/>
          <w:i w:val="0"/>
          <w:sz w:val="21"/>
        </w:rPr>
        <w:t xml:space="preserve"> des gesamten IRB-EAD im EBA-Transparency-Datensatz (Auswahllogik: Annahme A-08). CET1-Quoten aus dem EBA-Kapitalpanel, Stichtag 31.12.2024: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376"/>
            <w:shd w:val="clear" w:fill="D9E4EC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41"/>
            <w:shd w:val="clear" w:fill="D9E4EC"/>
          </w:tcPr>
          <w:p>
            <w:r/>
            <w:r>
              <w:rPr>
                <w:b/>
                <w:sz w:val="17"/>
              </w:rPr>
              <w:t>Bank</w:t>
            </w:r>
          </w:p>
        </w:tc>
        <w:tc>
          <w:tcPr>
            <w:tcW w:type="dxa" w:w="659"/>
            <w:shd w:val="clear" w:fill="D9E4EC"/>
          </w:tcPr>
          <w:p>
            <w:r/>
            <w:r>
              <w:rPr>
                <w:b/>
                <w:sz w:val="17"/>
              </w:rPr>
              <w:t>Land</w:t>
            </w:r>
          </w:p>
        </w:tc>
        <w:tc>
          <w:tcPr>
            <w:tcW w:type="dxa" w:w="1600"/>
            <w:shd w:val="clear" w:fill="D9E4EC"/>
          </w:tcPr>
          <w:p>
            <w:r/>
            <w:r>
              <w:rPr>
                <w:b/>
                <w:sz w:val="17"/>
              </w:rPr>
              <w:t>IRB-EAD (Mrd €)</w:t>
            </w:r>
          </w:p>
        </w:tc>
        <w:tc>
          <w:tcPr>
            <w:tcW w:type="dxa" w:w="1412"/>
            <w:shd w:val="clear" w:fill="D9E4EC"/>
          </w:tcPr>
          <w:p>
            <w:r/>
            <w:r>
              <w:rPr>
                <w:b/>
                <w:sz w:val="17"/>
              </w:rPr>
              <w:t>CET1 31.12.24</w:t>
            </w:r>
          </w:p>
        </w:tc>
        <w:tc>
          <w:tcPr>
            <w:tcW w:type="dxa" w:w="2823"/>
            <w:shd w:val="clear" w:fill="D9E4EC"/>
          </w:tcPr>
          <w:p>
            <w:r/>
            <w:r>
              <w:rPr>
                <w:b/>
                <w:sz w:val="17"/>
              </w:rPr>
              <w:t>Backtest-Zellen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Groupe Crédit Agricole ¹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FR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1.646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17,2 %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27 (+1)*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BNP Paribas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FR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1.301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12,9 %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28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ING Groep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NL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928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13,6 %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24 ²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Société Générale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FR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791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13,3 %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27 (+1)*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Groupe BPCE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FR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777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16,2 %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28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Deutsche Bank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DE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739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13,8 %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28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Crédit Mutuel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FR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627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19,4 %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19 ³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Banco Santander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ES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595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12,8 %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24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Coöperatieve Rabobank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NL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469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16,9 %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24</w:t>
            </w:r>
          </w:p>
        </w:tc>
      </w:tr>
      <w:tr>
        <w:tc>
          <w:tcPr>
            <w:tcW w:type="dxa" w:w="376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UniCredit</w:t>
            </w:r>
          </w:p>
        </w:tc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IT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409</w:t>
            </w:r>
          </w:p>
        </w:tc>
        <w:tc>
          <w:tcPr>
            <w:tcW w:type="dxa" w:w="1412"/>
          </w:tcPr>
          <w:p>
            <w:r/>
            <w:r>
              <w:rPr>
                <w:b w:val="0"/>
                <w:sz w:val="17"/>
              </w:rPr>
              <w:t>16,0 %</w:t>
            </w:r>
          </w:p>
        </w:tc>
        <w:tc>
          <w:tcPr>
            <w:tcW w:type="dxa" w:w="2823"/>
          </w:tcPr>
          <w:p>
            <w:r/>
            <w:r>
              <w:rPr>
                <w:b w:val="0"/>
                <w:sz w:val="17"/>
              </w:rPr>
              <w:t>24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/>
          <w:sz w:val="17"/>
        </w:rPr>
        <w:t xml:space="preserve">¹ Live-Universum auf Gruppenebene (LEI FR969500TJ5KRTCJQWXH); die Backtest-Reihe läuft auf der börsennotierten </w:t>
      </w:r>
      <w:r>
        <w:rPr>
          <w:b/>
          <w:i/>
          <w:sz w:val="17"/>
        </w:rPr>
        <w:t>Crédit Agricole S.A.</w:t>
      </w:r>
      <w:r>
        <w:rPr>
          <w:b w:val="0"/>
          <w:i/>
          <w:sz w:val="17"/>
        </w:rPr>
        <w:t xml:space="preserve"> (LEI F0HUI1NY1AZMJMD8LP67, CET1 18,8 %) — der Ebene des EBA-Transparency-Kapitalpanels. · * (+1) = eine zusätzliche quellenbelegte, aber modell-ausgeschlossene Audit-Zeile (`include_in_backtest = 0`, siehe unten). · ² inkl. der ING-spezifischen Zusatzklasse mortgage_sme; kein QRRE-/Sovereign-A-IRB im Meldeumfang. · ³ dünnster Meldeumfang (5 Klassen); enthält die einzige offene Zelle (corporate 2021). Summe genutzter Backtest-Zeilen: </w:t>
      </w:r>
      <w:r>
        <w:rPr>
          <w:b/>
          <w:i/>
          <w:sz w:val="17"/>
        </w:rPr>
        <w:t>253</w:t>
      </w:r>
      <w:r>
        <w:rPr>
          <w:b w:val="0"/>
          <w:i/>
          <w:sz w:val="17"/>
        </w:rPr>
        <w:t>.</w:t>
      </w:r>
    </w:p>
    <w:p>
      <w:pPr>
        <w:pStyle w:val="Heading2"/>
      </w:pPr>
      <w:r>
        <w:t>Live-Snapshot (Cockpit)</w:t>
      </w:r>
    </w:p>
    <w:p>
      <w:pPr>
        <w:spacing w:after="140"/>
      </w:pPr>
      <w:r>
        <w:rPr>
          <w:b/>
          <w:i w:val="0"/>
          <w:sz w:val="21"/>
        </w:rPr>
        <w:t>70 Parameter-Zeilen</w:t>
      </w:r>
      <w:r>
        <w:rPr>
          <w:b w:val="0"/>
          <w:i w:val="0"/>
          <w:sz w:val="21"/>
        </w:rPr>
        <w:t xml:space="preserve"> = 10 Banken × 7 IRB-Klassen zum einheitlichen Stichtag </w:t>
      </w:r>
      <w:r>
        <w:rPr>
          <w:b/>
          <w:i w:val="0"/>
          <w:sz w:val="21"/>
        </w:rPr>
        <w:t>31.12.2024</w:t>
      </w:r>
      <w:r>
        <w:rPr>
          <w:b w:val="0"/>
          <w:i w:val="0"/>
          <w:sz w:val="21"/>
        </w:rPr>
        <w:t>; 69 der 70 Zeilen tragen PD/LGD-Werte direkt aus dem EU-CR6-Sub-total des jeweiligen Pillar-3-Reports mit Seiten- und URL-Beleg (Konfidenzklasse [published]). Die 70. Zeile — Santander-Sovereign — ist ein dokumentierter Platzhalter ohne IRB-Parameter, weil Santander Staaten regulatorisch im Standardansatz führt (im Sovereign-MtM-Kanal, Abschnitt 4, ist Santander dennoch vollständig enthalten).</w:t>
      </w:r>
    </w:p>
    <w:p>
      <w:pPr>
        <w:pStyle w:val="Heading2"/>
      </w:pPr>
      <w:r>
        <w:t>Historische Backtest-Reihe</w:t>
      </w:r>
    </w:p>
    <w:p>
      <w:pPr>
        <w:spacing w:after="140"/>
      </w:pPr>
      <w:r>
        <w:rPr>
          <w:b w:val="0"/>
          <w:i w:val="0"/>
          <w:sz w:val="21"/>
        </w:rPr>
        <w:t xml:space="preserve">Für die Validierung existiert eine eigene Roh-Reihe: </w:t>
      </w:r>
      <w:r>
        <w:rPr>
          <w:b/>
          <w:i w:val="0"/>
          <w:sz w:val="21"/>
        </w:rPr>
        <w:t>10 Banken × FY2021–FY2024, 255 quellenbelegte Datenpunkte</w:t>
      </w:r>
      <w:r>
        <w:rPr>
          <w:b w:val="0"/>
          <w:i w:val="0"/>
          <w:sz w:val="21"/>
        </w:rPr>
        <w:t xml:space="preserve"> (PD, LGD und EAD je Klasse aus derselben Report-Vintage). Das entspricht </w:t>
      </w:r>
      <w:r>
        <w:rPr>
          <w:b/>
          <w:i w:val="0"/>
          <w:sz w:val="21"/>
        </w:rPr>
        <w:t>99,6 % Abdeckung relativ zum bank-eigenen Meldeumfang</w:t>
      </w:r>
      <w:r>
        <w:rPr>
          <w:b w:val="0"/>
          <w:i w:val="0"/>
          <w:sz w:val="21"/>
        </w:rPr>
        <w:t xml:space="preserve"> (255 von 256 gemeldeten Zellen) — Klassen, die eine Bank gar nicht im A-IRB führt, zählen nicht als Lücke. Davon sind </w:t>
      </w:r>
      <w:r>
        <w:rPr>
          <w:b/>
          <w:i w:val="0"/>
          <w:sz w:val="21"/>
        </w:rPr>
        <w:t>253 Zeilen modellfähig</w:t>
      </w:r>
      <w:r>
        <w:rPr>
          <w:b w:val="0"/>
          <w:i w:val="0"/>
          <w:sz w:val="21"/>
        </w:rPr>
        <w:t>; zwei quellenbelegte Sonderfälle bleiben für Audit und Abdeckung sichtbar, werden aber wegen Quellen-/Perimeterproblemen nicht in die Modellrechnung eingespeist (`include_in_backtest = 0`). Die einzige verbleibende Quellgrenze ist Credit Mutuel Corporate 2021: kein Wert wird aus RWA oder Nachbarjahren abgeleitet.</w:t>
      </w:r>
    </w:p>
    <w:p>
      <w:pPr>
        <w:pStyle w:val="Heading2"/>
      </w:pPr>
      <w:r>
        <w:t>Vier Integritäts-Sicherungen je Datenpunkt</w:t>
      </w:r>
    </w:p>
    <w:p>
      <w:pPr>
        <w:pStyle w:val="ListBullet"/>
      </w:pPr>
      <w:r>
        <w:rPr>
          <w:b/>
          <w:sz w:val="21"/>
        </w:rPr>
        <w:t>Kalibrier-Anker:</w:t>
      </w:r>
      <w:r>
        <w:rPr>
          <w:b w:val="0"/>
          <w:sz w:val="21"/>
        </w:rPr>
        <w:t xml:space="preserve"> Jeder Extraktions-Parser muss zunächst alle hand-verifizierten 2024-Werte exakt reproduzieren, bevor Vorjahre gelesen werden.</w:t>
      </w:r>
    </w:p>
    <w:p>
      <w:pPr>
        <w:pStyle w:val="ListBullet"/>
      </w:pPr>
      <w:r>
        <w:rPr>
          <w:b/>
          <w:sz w:val="21"/>
        </w:rPr>
        <w:t>Dichte-Cross-Check:</w:t>
      </w:r>
      <w:r>
        <w:rPr>
          <w:b w:val="0"/>
          <w:sz w:val="21"/>
        </w:rPr>
        <w:t xml:space="preserve"> RWA ÷ EAD jeder Zeile muss die im Report ausgewiesene RWA-Dichte treffen.</w:t>
      </w:r>
    </w:p>
    <w:p>
      <w:pPr>
        <w:pStyle w:val="ListBullet"/>
      </w:pPr>
      <w:r>
        <w:rPr>
          <w:b/>
          <w:sz w:val="21"/>
        </w:rPr>
        <w:t>EAD-Kontinuität:</w:t>
      </w:r>
      <w:r>
        <w:rPr>
          <w:b w:val="0"/>
          <w:sz w:val="21"/>
        </w:rPr>
        <w:t xml:space="preserve"> Sprünge der Exposure-Reihe über die Jahre werden gegen den Report geprüft (echte Effekte wie IRB→SA-Umstellung werden dokumentiert, Ausreißer verworfen).</w:t>
      </w:r>
    </w:p>
    <w:p>
      <w:pPr>
        <w:pStyle w:val="ListBullet"/>
      </w:pPr>
      <w:r>
        <w:rPr>
          <w:b/>
          <w:sz w:val="21"/>
        </w:rPr>
        <w:t>Adversariale Quellprüfung:</w:t>
      </w:r>
      <w:r>
        <w:rPr>
          <w:b w:val="0"/>
          <w:sz w:val="21"/>
        </w:rPr>
        <w:t xml:space="preserve"> Ein unabhängiger Prüfdurchlauf je Bank gegen die Quell-PDFs (protokolliert in tools/pillar3_backfill/VERIFICATION_REPORT.json).</w:t>
      </w:r>
    </w:p>
    <w:p>
      <w:pPr>
        <w:pStyle w:val="Heading1"/>
      </w:pPr>
      <w:r>
        <w:t>6 · Annahmen-Inventar (A-01 bis A-10)</w:t>
      </w:r>
    </w:p>
    <w:p>
      <w:pPr>
        <w:spacing w:after="140"/>
      </w:pPr>
      <w:r>
        <w:rPr>
          <w:b w:val="0"/>
          <w:i w:val="0"/>
          <w:sz w:val="21"/>
        </w:rPr>
        <w:t xml:space="preserve">Jede Annahme trägt eine Konfidenzklasse: </w:t>
      </w:r>
      <w:r>
        <w:rPr>
          <w:b/>
          <w:i w:val="0"/>
          <w:sz w:val="21"/>
        </w:rPr>
        <w:t>[published]</w:t>
      </w:r>
      <w:r>
        <w:rPr>
          <w:b w:val="0"/>
          <w:i w:val="0"/>
          <w:sz w:val="21"/>
        </w:rPr>
        <w:t xml:space="preserve"> = veröffentlichte Messung · </w:t>
      </w:r>
      <w:r>
        <w:rPr>
          <w:b/>
          <w:i w:val="0"/>
          <w:sz w:val="21"/>
        </w:rPr>
        <w:t>[estimate]</w:t>
      </w:r>
      <w:r>
        <w:rPr>
          <w:b w:val="0"/>
          <w:i w:val="0"/>
          <w:sz w:val="21"/>
        </w:rPr>
        <w:t xml:space="preserve"> = belegte Schätzung · </w:t>
      </w:r>
      <w:r>
        <w:rPr>
          <w:b/>
          <w:i w:val="0"/>
          <w:sz w:val="21"/>
        </w:rPr>
        <w:t>[approximation]</w:t>
      </w:r>
      <w:r>
        <w:rPr>
          <w:b w:val="0"/>
          <w:i w:val="0"/>
          <w:sz w:val="21"/>
        </w:rPr>
        <w:t xml:space="preserve"> = strukturelle Vereinfachung · </w:t>
      </w:r>
      <w:r>
        <w:rPr>
          <w:b/>
          <w:i w:val="0"/>
          <w:sz w:val="21"/>
        </w:rPr>
        <w:t>[assumption]</w:t>
      </w:r>
      <w:r>
        <w:rPr>
          <w:b w:val="0"/>
          <w:i w:val="0"/>
          <w:sz w:val="21"/>
        </w:rPr>
        <w:t xml:space="preserve"> = gesetzte Konvention. Die Tabelle gibt den Überblick; darunter wird jede Annahme einzeln begründet — inklusive der verworfenen Alternative und der Wirkung einer Fehlspezifikation.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59"/>
            <w:shd w:val="clear" w:fill="D9E4EC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600"/>
            <w:shd w:val="clear" w:fill="D9E4EC"/>
          </w:tcPr>
          <w:p>
            <w:r/>
            <w:r>
              <w:rPr>
                <w:b/>
                <w:sz w:val="17"/>
              </w:rPr>
              <w:t>Annahme</w:t>
            </w:r>
          </w:p>
        </w:tc>
        <w:tc>
          <w:tcPr>
            <w:tcW w:type="dxa" w:w="3764"/>
            <w:shd w:val="clear" w:fill="D9E4EC"/>
          </w:tcPr>
          <w:p>
            <w:r/>
            <w:r>
              <w:rPr>
                <w:b/>
                <w:sz w:val="17"/>
              </w:rPr>
              <w:t>Festlegung im Modell</w:t>
            </w:r>
          </w:p>
        </w:tc>
        <w:tc>
          <w:tcPr>
            <w:tcW w:type="dxa" w:w="1129"/>
            <w:shd w:val="clear" w:fill="D9E4EC"/>
          </w:tcPr>
          <w:p>
            <w:r/>
            <w:r>
              <w:rPr>
                <w:b/>
                <w:sz w:val="17"/>
              </w:rPr>
              <w:t>Klasse</w:t>
            </w:r>
          </w:p>
        </w:tc>
        <w:tc>
          <w:tcPr>
            <w:tcW w:type="dxa" w:w="2259"/>
            <w:shd w:val="clear" w:fill="D9E4EC"/>
          </w:tcPr>
          <w:p>
            <w:r/>
            <w:r>
              <w:rPr>
                <w:b/>
                <w:sz w:val="17"/>
              </w:rPr>
              <w:t>Quelle/Beleg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A-01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PD-Quelle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Pillar-3 EU-CR6-Sub-totals je Bank×Klasse, Stichtag 31.12.2024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published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EBA-ITS/2020/04; CRR Art. 431–455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A-02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LGD-Quelle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identisch A-01 (EU-CR6-LGD)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published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wie A-01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A-02c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Backtest-Zeitreihe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eigene Pillar-3-Roh-Reihe, 10 Banken × FY2021–2024 (255 Quellenzeilen, 253 modellfähig), strikt no-look-ahead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published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Bank-Pillar-3-Reports FY2021–2024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A-03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EAD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EBA-Transparency Item 2520522 (post-CCF)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published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EBA Transparency 2025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A-04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Stress-Transmission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2-Faktor-β/γ je Klasse (Abschnitt 3); PD-Floor 3 bp, Cap 50 %; LGD-Floor 5 %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estimate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EBA 2025 §2.4.2; ECB WP 2897/3112; FSR 5/2024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A-05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Kapitalformel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Basel-III-IRB (Vasicek/ASRF), α = 99,9 %, regulatorische Klassenparameter, Laufzeit-Adjustment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published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BCBS 2017 §272–284; CRR Art. 153/154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A-06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Sovereign-Kanal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ΔMtM = −Duration·Δr·Exposure; CET1-wirksam nur FVOCI/FVTPL-Anteil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approximation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Tuckman/Serrat 2012; EBA-IFRS-9-Split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A-07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Trading Book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kein eigener Kanal (kleine Handelsbücher, keine belastbare öffentliche FRTB-Kalibrierung)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assumption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Scope-Abgrenzung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A-08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Universum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die 10 größten EU-IRB-Banken (einheitliche Datenqualität statt Vollabdeckung)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approximation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EBA Transparency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A-09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Klassen-Raster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7 IRB-Klassen (corporate, sme_corporate, mortgage, qrre, other_retail, bank, sovereign)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approximation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EU-CR6-Struktur</w:t>
            </w:r>
          </w:p>
        </w:tc>
      </w:tr>
      <w:tr>
        <w:tc>
          <w:tcPr>
            <w:tcW w:type="dxa" w:w="659"/>
          </w:tcPr>
          <w:p>
            <w:r/>
            <w:r>
              <w:rPr>
                <w:b w:val="0"/>
                <w:sz w:val="17"/>
              </w:rPr>
              <w:t>A-10</w:t>
            </w:r>
          </w:p>
        </w:tc>
        <w:tc>
          <w:tcPr>
            <w:tcW w:type="dxa" w:w="1600"/>
          </w:tcPr>
          <w:p>
            <w:r/>
            <w:r>
              <w:rPr>
                <w:b w:val="0"/>
                <w:sz w:val="17"/>
              </w:rPr>
              <w:t>Faktor-Unabhängigkeit</w:t>
            </w:r>
          </w:p>
        </w:tc>
        <w:tc>
          <w:tcPr>
            <w:tcW w:type="dxa" w:w="3764"/>
          </w:tcPr>
          <w:p>
            <w:r/>
            <w:r>
              <w:rPr>
                <w:b w:val="0"/>
                <w:sz w:val="17"/>
              </w:rPr>
              <w:t>ρ(ΔBrent, Δr_10y) = +0,07 → separate Modellierung ohne Kreuzterm</w:t>
            </w:r>
          </w:p>
        </w:tc>
        <w:tc>
          <w:tcPr>
            <w:tcW w:type="dxa" w:w="1129"/>
          </w:tcPr>
          <w:p>
            <w:r/>
            <w:r>
              <w:rPr>
                <w:b w:val="0"/>
                <w:sz w:val="17"/>
              </w:rPr>
              <w:t>estimate</w:t>
            </w:r>
          </w:p>
        </w:tc>
        <w:tc>
          <w:tcPr>
            <w:tcW w:type="dxa" w:w="2259"/>
          </w:tcPr>
          <w:p>
            <w:r/>
            <w:r>
              <w:rPr>
                <w:b w:val="0"/>
                <w:sz w:val="17"/>
              </w:rPr>
              <w:t>eigene Regression, 1 242 Handelstage</w:t>
            </w:r>
          </w:p>
        </w:tc>
      </w:tr>
    </w:tbl>
    <w:p>
      <w:pPr>
        <w:spacing w:after="80"/>
      </w:pPr>
    </w:p>
    <w:p>
      <w:pPr>
        <w:pStyle w:val="Heading2"/>
      </w:pPr>
      <w:r>
        <w:t>Die Annahmen im Detail</w:t>
      </w:r>
    </w:p>
    <w:p>
      <w:pPr>
        <w:pStyle w:val="Heading3"/>
      </w:pPr>
      <w:r>
        <w:t>A-01 · PD-Quelle: Pillar-3 EU-CR6 (31.12.2024)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Je Bank und Klasse die EAD-gewichtete Durchschnitts-PD aus dem EU-CR6-Sub-total — die regulatorische 1-Jahres-PD nach CRR Art. 180, inklusive des 100-%-Default-Bands.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Es ist die einzige öffentliche, bankindividuelle und geprüfte PD-Quelle mit identischer Definition über alle zehn Banken.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PD-Ableitung aus EBA-Transparency-Ausfallquoten (vermischt Bestands- und Flussgrößen, keine 1-Jahres-PD) sowie Rating-Agentur-PDs (nicht je Bank × Klasse verfügbar).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Das PD-Niveau skaliert den erwarteten Verlust nahezu proportional, die Kapitalanforderung unterproportional — eine Niveauverzerrung verschiebt also Ergebnisse, kippt aber keine Richtungsaussage.</w:t>
      </w:r>
    </w:p>
    <w:p>
      <w:pPr>
        <w:pStyle w:val="Heading3"/>
      </w:pPr>
      <w:r>
        <w:t>A-02 · LGD-Quelle: Pillar-3 EU-CR6 (31.12.2024)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EAD-gewichtete Durchschnitts-LGD aus derselben EU-CR6-Tabelle wie A-01.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Bankintern geschätzte A-IRB-LGD spiegeln die tatsächliche Besicherung des Portfolios wider.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die pauschale F-IRB-Aufsichts-LGD von 45 % — sie würde besicherte Portfolien (v. a. Hypotheken) massiv überzeichnen.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LGD wirkt linear auf erwarteten Verlust und fast linear auf die Kapitalanforderung — der direkteste Hebel unter den Parametern.</w:t>
      </w:r>
    </w:p>
    <w:p>
      <w:pPr>
        <w:pStyle w:val="Heading3"/>
      </w:pPr>
      <w:r>
        <w:t>A-02c · Backtest-Zeitreihe (nur Pillar-3, no-look-ahead)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Eigene Roh-Reihe über 10 Banken × FY2021–FY2024 (255 quellenbelegte Zeilen, davon 253 modellfähig); ein Quartal im Jahr Y nutzt ausschließlich den Stichtag 31.12.(Y−1) — den jüngsten, der damals publiziert war.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Nur so ist die Validierung echt out-of-sample.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den 2024-Snapshot rückwirkend anzuwenden (Look-ahead-Verzerrung) oder zwischen Stichtagen zu interpolieren (nicht quellengestützt).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Mit Look-ahead wäre jedes Backtest-Ergebnis systematisch geschönt und wertlos.</w:t>
      </w:r>
    </w:p>
    <w:p>
      <w:pPr>
        <w:pStyle w:val="Heading3"/>
      </w:pPr>
      <w:r>
        <w:t>A-03 · EAD: EBA Transparency, post-CCF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Exposure at Default je Klasse nach Kreditumrechnungsfaktoren (post-CCF; EBA-Item 2520522).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Post-CCF ist exakt die Bezugsgröße der IRB-Formel.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Original Exposure — überzeichnet nicht gezogene Kreditlinien.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EAD wirkt als Portfoliogewicht linear auf Volumeneffekte, verzerrt aber die Quoten-Richtung nicht.</w:t>
      </w:r>
    </w:p>
    <w:p>
      <w:pPr>
        <w:pStyle w:val="Heading3"/>
      </w:pPr>
      <w:r>
        <w:t>A-04 · 2-Faktor-Transmission (β/γ je Klasse)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Lineare Übersetzung der Schocks in ΔPD/ΔLGD über die Matrix aus Abschnitt 3, mit begründeten Unter-/Obergrenzen.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Die EBA-Stresstest-Methodik sieht sektorale Sensitivitäten explizit vor; die lineare Form ist transparent, prüfbar und per Regler übersteuerbar.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ein Ein-Faktor-Aggregat (verliert die Sektor-Differenzierung und überzeichnete in Tests die Magnitude) sowie bankindividuell geschätzte Ökonometrie (Datenlage öffentlich nicht ausreichend).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Die β sind der größte Unsicherheitsträger des Modells — deshalb Konfidenzklasse [estimate] und Sichtbarkeit als eigene Matrix; ein Fehler skaliert die Stress-Wirkung in etwa proportional.</w:t>
      </w:r>
    </w:p>
    <w:p>
      <w:pPr>
        <w:pStyle w:val="Heading3"/>
      </w:pPr>
      <w:r>
        <w:t>A-05 · IRB-Kapitalformel (Basel III / ASRF)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Die unveränderte regulatorische Formel mit α = 99,9 %, CRR-Klassenparametern und Laufzeit-Adjustment. Prozessual: Öl-/Zinsschock → PD_stress/LGD_stress → Basel-IRB-K-Formel → RWA → CET1. Der Parameter ρ ist dabei kein eigener Modellschritt und keine von uns geschätzte Annahme, sondern der durch CRR Art. 153/154 vorgegebene Klassenparameter innerhalb der Formel.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Nur der regulatorische Standard macht Modell-Output und gemeldete RWA vergleichbar.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interne Portfoliomodelle (z. B. Migrationsmatrizen) — nicht gegen die CET1-Meldung abgleichbar.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Die Formel selbst ist fixiert; das Modellrisiko liegt vollständig in den Inputs (A-01 bis A-04).</w:t>
      </w:r>
    </w:p>
    <w:p>
      <w:pPr>
        <w:pStyle w:val="Heading3"/>
      </w:pPr>
      <w:r>
        <w:t>A-06 · Sovereign-Kanal (Duration-MtM, IFRS-9-Split)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ΔMtM = −Duration · Δr · Exposure; CET1-wirksam nur der FVOCI/FVTPL-Anteil je Bank.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Das folgt der IFRS-9-Bewertungslogik — zu fortgeführten Anschaffungskosten (AC) gehaltene Bestände berühren die CET1-Quote laufend nicht.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volle Marktbewertung aller Bestände (überzeichnet) oder Verzicht auf den Kanal (unterschlägt das Zinsrisiko).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Latente AC-Verluste bleiben unsichtbar — eine bewusste Untererfassung, die das Cockpit als separate Analyse ausweist (SVB-Lektion, Jiang et al. 2023).</w:t>
      </w:r>
    </w:p>
    <w:p>
      <w:pPr>
        <w:pStyle w:val="Heading3"/>
      </w:pPr>
      <w:r>
        <w:t>A-07 · Kein Trading-Book-Kanal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Das Handelsbuch ist kein eigener Stress-Kanal.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Die Handelsbücher der zehn Banken sind relativ klein, und eine belastbare öffentliche FRTB-Kalibrierung existiert nicht — ein pauschaler Multiplikator wäre Scheingenauigkeit.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ein Kanal mit angenommenem Marktrisiko-Multiplikator ohne bankindividuelle Datenbasis. </w:t>
      </w:r>
      <w:r>
        <w:rPr>
          <w:b/>
          <w:i w:val="0"/>
          <w:sz w:val="19"/>
        </w:rPr>
        <w:t>Wirkung:</w:t>
      </w:r>
      <w:r>
        <w:rPr>
          <w:b w:val="0"/>
          <w:i w:val="0"/>
          <w:sz w:val="19"/>
        </w:rPr>
        <w:t xml:space="preserve"> Für Banken mit größerem Handelsbuch wird der Stress tendenziell unterschätzt; diese Grenze ist als Scope-Grenze dokumentiert (Abschnitt 8).</w:t>
      </w:r>
    </w:p>
    <w:p>
      <w:pPr>
        <w:pStyle w:val="Heading3"/>
      </w:pPr>
      <w:r>
        <w:t>A-08 · Universum: die 10 größten EU-IRB-Banken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Genau zehn Institute, ausgewählt nach Größe und A-IRB-Offenlegungsqualität.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Einheitliche, vollständige Pillar-3-Daten schlagen eine breite, aber heterogene Abdeckung.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alle ~67 IRB-Banken der Transparency (uneinheitliche Offenlegung, Konzern-/Tochter-Doppelzählungen). </w:t>
      </w:r>
      <w:r>
        <w:rPr>
          <w:b/>
          <w:i w:val="0"/>
          <w:sz w:val="19"/>
        </w:rPr>
        <w:t>Wirkung:</w:t>
      </w:r>
      <w:r>
        <w:rPr>
          <w:b w:val="0"/>
          <w:i w:val="0"/>
          <w:sz w:val="19"/>
        </w:rPr>
        <w:t xml:space="preserve"> Aussagen gelten für diese Gruppe — nicht für den gesamten EU-Bankenmarkt.</w:t>
      </w:r>
    </w:p>
    <w:p>
      <w:pPr>
        <w:pStyle w:val="Heading3"/>
      </w:pPr>
      <w:r>
        <w:t>A-09 · Klassen-Raster: 7 IRB-Klassen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corporate, sme_corporate, mortgage, qrre, other_retail, bank, sovereign — das EU-CR6-Raster.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Es ist der kleinste gemeinsame Nenner, den alle zehn Banken identisch offenlegen.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feinere Branchenraster (NACE) — öffentlich nicht flächendeckend verfügbar. </w:t>
      </w:r>
      <w:r>
        <w:rPr>
          <w:b/>
          <w:i w:val="0"/>
          <w:sz w:val="19"/>
        </w:rPr>
        <w:t>Wirkung:</w:t>
      </w:r>
      <w:r>
        <w:rPr>
          <w:b w:val="0"/>
          <w:i w:val="0"/>
          <w:sz w:val="19"/>
        </w:rPr>
        <w:t xml:space="preserve"> Heterogenität innerhalb einer Klasse wird auf den gewichteten Durchschnitt gemittelt.</w:t>
      </w:r>
    </w:p>
    <w:p>
      <w:pPr>
        <w:pStyle w:val="Heading3"/>
      </w:pPr>
      <w:r>
        <w:t>A-10 · Faktor-Unabhängigkeit (kein Kreuzterm)</w:t>
      </w:r>
    </w:p>
    <w:p>
      <w:pPr>
        <w:spacing w:after="180"/>
      </w:pPr>
      <w:r>
        <w:rPr>
          <w:b/>
          <w:i w:val="0"/>
          <w:sz w:val="19"/>
        </w:rPr>
        <w:t>Festlegung:</w:t>
      </w:r>
      <w:r>
        <w:rPr>
          <w:b w:val="0"/>
          <w:i w:val="0"/>
          <w:sz w:val="19"/>
        </w:rPr>
        <w:t xml:space="preserve"> Öl- und Zinsschock wirken additiv, ohne Interaktionsterm. </w:t>
      </w:r>
      <w:r>
        <w:rPr>
          <w:b/>
          <w:i w:val="0"/>
          <w:sz w:val="19"/>
        </w:rPr>
        <w:t>Warum:</w:t>
      </w:r>
      <w:r>
        <w:rPr>
          <w:b w:val="0"/>
          <w:i w:val="0"/>
          <w:sz w:val="19"/>
        </w:rPr>
        <w:t xml:space="preserve"> Empirisch sind die Faktoren nahezu unkorreliert (ρ = +0,07 über 1 242 Handelstage). </w:t>
      </w:r>
      <w:r>
        <w:rPr>
          <w:b/>
          <w:i w:val="0"/>
          <w:sz w:val="19"/>
        </w:rPr>
        <w:t>Verworfene Alternative:</w:t>
      </w:r>
      <w:r>
        <w:rPr>
          <w:b w:val="0"/>
          <w:i w:val="0"/>
          <w:sz w:val="19"/>
        </w:rPr>
        <w:t xml:space="preserve"> Copula- oder Interaktionsmodelle — ohne empirischen Träger nur zusätzliche Komplexität. </w:t>
      </w:r>
      <w:r>
        <w:rPr>
          <w:b/>
          <w:i w:val="0"/>
          <w:sz w:val="19"/>
        </w:rPr>
        <w:t>Wirkung bei Fehlspezifikation:</w:t>
      </w:r>
      <w:r>
        <w:rPr>
          <w:b w:val="0"/>
          <w:i w:val="0"/>
          <w:sz w:val="19"/>
        </w:rPr>
        <w:t xml:space="preserve"> Bei gleichzeitigen Extremschocks entstünde ein Effekt zweiter Ordnung; im beobachteten Wertebereich ist er vernachlässigbar.</w:t>
      </w:r>
    </w:p>
    <w:p>
      <w:pPr>
        <w:pStyle w:val="Heading1"/>
      </w:pPr>
      <w:r>
        <w:t>7 · Validierung: der CET1-Walk-Forward-Backtest</w:t>
      </w:r>
    </w:p>
    <w:p>
      <w:pPr>
        <w:spacing w:after="140"/>
      </w:pPr>
      <w:r>
        <w:rPr>
          <w:b w:val="0"/>
          <w:i w:val="0"/>
          <w:sz w:val="21"/>
        </w:rPr>
        <w:t xml:space="preserve">Das Modell wird nicht an dem Datenstand geprüft, mit dem es gebaut wurde, sondern </w:t>
      </w:r>
      <w:r>
        <w:rPr>
          <w:b/>
          <w:i w:val="0"/>
          <w:sz w:val="21"/>
        </w:rPr>
        <w:t>rollierend durch die Vergangenheit</w:t>
      </w:r>
      <w:r>
        <w:rPr>
          <w:b w:val="0"/>
          <w:i w:val="0"/>
          <w:sz w:val="21"/>
        </w:rPr>
        <w:t>: Für jedes Jahr wird das Portfolio mit den damals bekannten Pillar-3-Parametern des Vorjahres eingefroren, der tatsächlich eingetretene Öl-/Zins-Schock des Jahres eingespeist und die prognostizierte CET1-Quote mit der später gemeldeten verglichen — ohne jeden Blick in die Zukunft.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10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alkforw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10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E6E6E"/>
          <w:sz w:val="17"/>
        </w:rPr>
        <w:t>Abb. 4 · No-Look-Ahead-Prinzip: einfrieren (31.12. des Vorjahres) → realen Schock einspeisen → gegen die gemeldete CET1-Quote halten → ein Jahr weiterrollen.</w:t>
      </w:r>
    </w:p>
    <w:p>
      <w:pPr>
        <w:pStyle w:val="Heading2"/>
      </w:pPr>
      <w:r>
        <w:t>Ergebnis (30 Bank-Jahre, 2022–2024 — vollständiges Panel)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23"/>
            <w:shd w:val="clear" w:fill="D9E4EC"/>
          </w:tcPr>
          <w:p>
            <w:r/>
            <w:r>
              <w:rPr>
                <w:b/>
                <w:sz w:val="18"/>
              </w:rPr>
              <w:t>Kennzahl</w:t>
            </w:r>
          </w:p>
        </w:tc>
        <w:tc>
          <w:tcPr>
            <w:tcW w:type="dxa" w:w="1318"/>
            <w:shd w:val="clear" w:fill="D9E4EC"/>
          </w:tcPr>
          <w:p>
            <w:r/>
            <w:r>
              <w:rPr>
                <w:b/>
                <w:sz w:val="18"/>
              </w:rPr>
              <w:t>Wert</w:t>
            </w:r>
          </w:p>
        </w:tc>
        <w:tc>
          <w:tcPr>
            <w:tcW w:type="dxa" w:w="5270"/>
            <w:shd w:val="clear" w:fill="D9E4EC"/>
          </w:tcPr>
          <w:p>
            <w:r/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8"/>
              </w:rPr>
              <w:t>MAE (mittlerer absoluter Fehler)</w:t>
            </w:r>
          </w:p>
        </w:tc>
        <w:tc>
          <w:tcPr>
            <w:tcW w:type="dxa" w:w="1318"/>
          </w:tcPr>
          <w:p>
            <w:r/>
            <w:r>
              <w:rPr>
                <w:b/>
                <w:sz w:val="18"/>
              </w:rPr>
              <w:t>1,26 pp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Ø-Abstand Prognose ↔ gemeldete CET1-Quote; auf ~15 %-Niveau ≈ 8 % relativer Abstand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8"/>
              </w:rPr>
              <w:t>Treffer ≤ 1 pp</w:t>
            </w:r>
          </w:p>
        </w:tc>
        <w:tc>
          <w:tcPr>
            <w:tcW w:type="dxa" w:w="1318"/>
          </w:tcPr>
          <w:p>
            <w:r/>
            <w:r>
              <w:rPr>
                <w:b/>
                <w:sz w:val="18"/>
              </w:rPr>
              <w:t>60 %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Anteil der Bank-Jahre mit höchstens 1 Prozentpunkt Abweichung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8"/>
              </w:rPr>
              <w:t>Konservativ-Anteil</w:t>
            </w:r>
          </w:p>
        </w:tc>
        <w:tc>
          <w:tcPr>
            <w:tcW w:type="dxa" w:w="1318"/>
          </w:tcPr>
          <w:p>
            <w:r/>
            <w:r>
              <w:rPr>
                <w:b/>
                <w:sz w:val="18"/>
              </w:rPr>
              <w:t>73 %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Prognose ≤ gemeldete Quote — das Modell irrt auf der sicheren Seite</w:t>
            </w:r>
          </w:p>
        </w:tc>
      </w:tr>
      <w:tr>
        <w:tc>
          <w:tcPr>
            <w:tcW w:type="dxa" w:w="2823"/>
          </w:tcPr>
          <w:p>
            <w:r/>
            <w:r>
              <w:rPr>
                <w:b w:val="0"/>
                <w:sz w:val="18"/>
              </w:rPr>
              <w:t>Bias</w:t>
            </w:r>
          </w:p>
        </w:tc>
        <w:tc>
          <w:tcPr>
            <w:tcW w:type="dxa" w:w="1318"/>
          </w:tcPr>
          <w:p>
            <w:r/>
            <w:r>
              <w:rPr>
                <w:b/>
                <w:sz w:val="18"/>
              </w:rPr>
              <w:t>-0,99 pp</w:t>
            </w:r>
          </w:p>
        </w:tc>
        <w:tc>
          <w:tcPr>
            <w:tcW w:type="dxa" w:w="5270"/>
          </w:tcPr>
          <w:p>
            <w:r/>
            <w:r>
              <w:rPr>
                <w:b w:val="0"/>
                <w:sz w:val="18"/>
              </w:rPr>
              <w:t>systematisch vorsichtig (gewollt: kein NII-Gegeneffekt angesetzt)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 w:val="0"/>
          <w:sz w:val="19"/>
        </w:rPr>
        <w:t>Alle 10 Banken sind in allen drei Backtest-Jahren vertreten (30 von 30 möglichen Bank-Jahren). Im Zinsschock-Jahr 2022 liegt das Modell bei allen 10 Banken auf der konservativen Seite (Ø -2,49 pp — der bewusst nicht angesetzte NII-Gegeneffekt); in den ruhigeren Jahren 2023/2024 beträgt der mittlere Fehler 0,48 bzw. 0,81 pp.</w:t>
      </w:r>
    </w:p>
    <w:p>
      <w:pPr>
        <w:pStyle w:val="Heading2"/>
      </w:pPr>
      <w:r>
        <w:t>Robustheit der Stress-Transmission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70"/>
            <w:shd w:val="clear" w:fill="D9E4EC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1318"/>
            <w:shd w:val="clear" w:fill="D9E4EC"/>
          </w:tcPr>
          <w:p>
            <w:r/>
            <w:r>
              <w:rPr>
                <w:b/>
                <w:sz w:val="17"/>
              </w:rPr>
              <w:t>MAE</w:t>
            </w:r>
          </w:p>
        </w:tc>
        <w:tc>
          <w:tcPr>
            <w:tcW w:type="dxa" w:w="1318"/>
            <w:shd w:val="clear" w:fill="D9E4EC"/>
          </w:tcPr>
          <w:p>
            <w:r/>
            <w:r>
              <w:rPr>
                <w:b/>
                <w:sz w:val="17"/>
              </w:rPr>
              <w:t>Bias</w:t>
            </w:r>
          </w:p>
        </w:tc>
        <w:tc>
          <w:tcPr>
            <w:tcW w:type="dxa" w:w="4706"/>
            <w:shd w:val="clear" w:fill="D9E4EC"/>
          </w:tcPr>
          <w:p>
            <w:r/>
            <w:r>
              <w:rPr>
                <w:b/>
                <w:sz w:val="17"/>
              </w:rPr>
              <w:t>Einordnung</w:t>
            </w:r>
          </w:p>
        </w:tc>
      </w:tr>
      <w:tr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β/γ × 0,5</w:t>
            </w:r>
          </w:p>
        </w:tc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0,80 pp</w:t>
            </w:r>
          </w:p>
        </w:tc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-0,63 pp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Schwächerer Stress; 2022 bleibt konservativ</w:t>
            </w:r>
          </w:p>
        </w:tc>
      </w:tr>
      <w:tr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Basiskalibrierung</w:t>
            </w:r>
          </w:p>
        </w:tc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1,26 pp</w:t>
            </w:r>
          </w:p>
        </w:tc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-0,99 pp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Hauptfall des Cockpits</w:t>
            </w:r>
          </w:p>
        </w:tc>
      </w:tr>
      <w:tr>
        <w:tc>
          <w:tcPr>
            <w:tcW w:type="dxa" w:w="2070"/>
          </w:tcPr>
          <w:p>
            <w:r/>
            <w:r>
              <w:rPr>
                <w:b w:val="0"/>
                <w:sz w:val="17"/>
              </w:rPr>
              <w:t>β/γ × 1,5</w:t>
            </w:r>
          </w:p>
        </w:tc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1,71 pp</w:t>
            </w:r>
          </w:p>
        </w:tc>
        <w:tc>
          <w:tcPr>
            <w:tcW w:type="dxa" w:w="1318"/>
          </w:tcPr>
          <w:p>
            <w:r/>
            <w:r>
              <w:rPr>
                <w:b w:val="0"/>
                <w:sz w:val="17"/>
              </w:rPr>
              <w:t>-1,31 pp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sz w:val="17"/>
              </w:rPr>
              <w:t>Strengerer Stress; bewusst konservative Oberseite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 w:val="0"/>
          <w:sz w:val="19"/>
        </w:rPr>
        <w:t>Der Test skaliert die gesamte PD-/LGD-Transmission um ±50 %. Er zeigt, ob das Ergebnis nur an einer punktgenauen β-Wahl hängt. Die Richtung bleibt stabil: stärkere β verschärfen den konservativen Bias, schwächere β reduzieren ihn, ohne das Backtest-Narrativ zu drehen.</w:t>
      </w:r>
    </w:p>
    <w:p>
      <w:pPr>
        <w:pStyle w:val="Heading2"/>
      </w:pPr>
      <w:r>
        <w:t>Ehrliche Grenze: Point-in-Time vs. Through-the-Cycle</w:t>
      </w:r>
    </w:p>
    <w:p>
      <w:pPr>
        <w:spacing w:after="140"/>
      </w:pPr>
      <w:r>
        <w:rPr>
          <w:b w:val="0"/>
          <w:i w:val="0"/>
          <w:sz w:val="21"/>
        </w:rPr>
        <w:t xml:space="preserve">Die einzelnen Melde-Kanäle (PD, Kredit-RWA) sind </w:t>
      </w:r>
      <w:r>
        <w:rPr>
          <w:b/>
          <w:i w:val="0"/>
          <w:sz w:val="21"/>
        </w:rPr>
        <w:t>nicht punktprognostizierbar</w:t>
      </w:r>
      <w:r>
        <w:rPr>
          <w:b w:val="0"/>
          <w:i w:val="0"/>
          <w:sz w:val="21"/>
        </w:rPr>
        <w:t xml:space="preserve"> — und zwar aus einem dokumentierten Daten-Grund, nicht wegen eines Modellfehlers: Das Modell rechnet </w:t>
      </w:r>
      <w:r>
        <w:rPr>
          <w:b/>
          <w:i w:val="0"/>
          <w:sz w:val="21"/>
        </w:rPr>
        <w:t>Point-in-Time</w:t>
      </w:r>
      <w:r>
        <w:rPr>
          <w:b w:val="0"/>
          <w:i w:val="0"/>
          <w:sz w:val="21"/>
        </w:rPr>
        <w:t xml:space="preserve"> (sofortige Schockreaktion), die gemeldeten A-IRB-Parameter sind </w:t>
      </w:r>
      <w:r>
        <w:rPr>
          <w:b/>
          <w:i w:val="0"/>
          <w:sz w:val="21"/>
        </w:rPr>
        <w:t>Through-the-Cycle</w:t>
      </w:r>
      <w:r>
        <w:rPr>
          <w:b w:val="0"/>
          <w:i w:val="0"/>
          <w:sz w:val="21"/>
        </w:rPr>
        <w:t xml:space="preserve"> — regulatorisch geglättet und antizyklisch (CRR Art. 180) sowie durch Portfoliosteuerung überlagert. Beleg 2022: Zins +2,8 pp → Modell-PD +0,5 pp, gemeldete PD −0,1 pp (ungewichteter Durchschnitt über Bank-Klassen-Paare; EAD-gewichtet +0,6 vs. −0,2 pp). Validiert ist das Modell deshalb als </w:t>
      </w:r>
      <w:r>
        <w:rPr>
          <w:b/>
          <w:i w:val="0"/>
          <w:sz w:val="21"/>
        </w:rPr>
        <w:t>konservatives Solvenz-/Frühwarn-Instrument</w:t>
      </w:r>
      <w:r>
        <w:rPr>
          <w:b w:val="0"/>
          <w:i w:val="0"/>
          <w:sz w:val="21"/>
        </w:rPr>
        <w:t xml:space="preserve"> (im CET1-Niveau nah und auf der sicheren Seite) — nicht als Prognose einzelner Meldegrößen.</w:t>
      </w:r>
    </w:p>
    <w:p>
      <w:pPr>
        <w:pStyle w:val="Heading1"/>
      </w:pPr>
      <w:r>
        <w:t>8 · Bewusste Scope-Grenzen</w:t>
      </w:r>
    </w:p>
    <w:p>
      <w:pPr>
        <w:pStyle w:val="ListBullet"/>
      </w:pPr>
      <w:r>
        <w:rPr>
          <w:b/>
          <w:sz w:val="21"/>
        </w:rPr>
        <w:t>Operational Risk</w:t>
      </w:r>
      <w:r>
        <w:rPr>
          <w:b w:val="0"/>
          <w:sz w:val="21"/>
        </w:rPr>
        <w:t xml:space="preserve"> bleibt unter Stress konstant.</w:t>
      </w:r>
    </w:p>
    <w:p>
      <w:pPr>
        <w:pStyle w:val="ListBullet"/>
      </w:pPr>
      <w:r>
        <w:rPr>
          <w:b/>
          <w:sz w:val="21"/>
        </w:rPr>
        <w:t>CVA / Kontrahentenrisiko</w:t>
      </w:r>
      <w:r>
        <w:rPr>
          <w:b w:val="0"/>
          <w:sz w:val="21"/>
        </w:rPr>
        <w:t xml:space="preserve"> nicht im Szenario.</w:t>
      </w:r>
    </w:p>
    <w:p>
      <w:pPr>
        <w:pStyle w:val="ListBullet"/>
      </w:pPr>
      <w:r>
        <w:rPr>
          <w:b/>
          <w:sz w:val="21"/>
        </w:rPr>
        <w:t>Sovereign-Spread-Risiko</w:t>
      </w:r>
      <w:r>
        <w:rPr>
          <w:b w:val="0"/>
          <w:sz w:val="21"/>
        </w:rPr>
        <w:t xml:space="preserve"> (z. B. Italien vs. Bund) nicht modelliert — nur der Niveauzins wirkt.</w:t>
      </w:r>
    </w:p>
    <w:p>
      <w:pPr>
        <w:pStyle w:val="ListBullet"/>
      </w:pPr>
      <w:r>
        <w:rPr>
          <w:b/>
          <w:sz w:val="21"/>
        </w:rPr>
        <w:t>IFRS-9-Lifetime-EL</w:t>
      </w:r>
      <w:r>
        <w:rPr>
          <w:b w:val="0"/>
          <w:sz w:val="21"/>
        </w:rPr>
        <w:t xml:space="preserve"> (Stage-2-Migration) außerhalb des Scopes; 1-Jahres-Horizont.</w:t>
      </w:r>
    </w:p>
    <w:p>
      <w:pPr>
        <w:pStyle w:val="ListBullet"/>
      </w:pPr>
      <w:r>
        <w:rPr>
          <w:b/>
          <w:sz w:val="21"/>
        </w:rPr>
        <w:t>Mehrjahres-Stresspfade</w:t>
      </w:r>
      <w:r>
        <w:rPr>
          <w:b w:val="0"/>
          <w:sz w:val="21"/>
        </w:rPr>
        <w:t xml:space="preserve"> (3-Jahres-EBA-Logik) nicht abgebildet.</w:t>
      </w:r>
    </w:p>
    <w:p>
      <w:pPr>
        <w:pStyle w:val="ListBullet"/>
      </w:pPr>
      <w:r>
        <w:rPr>
          <w:b/>
          <w:sz w:val="21"/>
        </w:rPr>
        <w:t>Hedging</w:t>
      </w:r>
      <w:r>
        <w:rPr>
          <w:b w:val="0"/>
          <w:sz w:val="21"/>
        </w:rPr>
        <w:t xml:space="preserve"> (Swaps, CDS) aus Offenlegungen nicht rekonstruierbar.</w:t>
      </w:r>
    </w:p>
    <w:p>
      <w:pPr>
        <w:pStyle w:val="ListBullet"/>
      </w:pPr>
      <w:r>
        <w:rPr>
          <w:b/>
          <w:sz w:val="21"/>
        </w:rPr>
        <w:t>Ertrags-Gegeneffekte</w:t>
      </w:r>
      <w:r>
        <w:rPr>
          <w:b w:val="0"/>
          <w:sz w:val="21"/>
        </w:rPr>
        <w:t xml:space="preserve"> (NII, Gebühren) bewusst nicht angesetzt — Ergebnis ist eine konservative Untergrenze der CET1-Quote.</w:t>
      </w:r>
    </w:p>
    <w:p>
      <w:pPr>
        <w:pStyle w:val="ListBullet"/>
      </w:pPr>
      <w:r>
        <w:rPr>
          <w:b/>
          <w:sz w:val="21"/>
        </w:rPr>
        <w:t>Bank-individuelle β</w:t>
      </w:r>
      <w:r>
        <w:rPr>
          <w:b w:val="0"/>
          <w:sz w:val="21"/>
        </w:rPr>
        <w:t xml:space="preserve"> — alle Banken teilen die Klassen-β; die Differenzierung kommt aus dem realen Portfolio-Mix je Bank.</w:t>
      </w:r>
    </w:p>
    <w:p>
      <w:pPr>
        <w:spacing w:after="140"/>
      </w:pPr>
      <w:r>
        <w:rPr>
          <w:b w:val="0"/>
          <w:i/>
          <w:sz w:val="19"/>
        </w:rPr>
        <w:t xml:space="preserve">Verwendungs-Scope: ICAAP-Validierungs-Übung und Lehre/Demonstration. </w:t>
      </w:r>
      <w:r>
        <w:rPr>
          <w:b/>
          <w:i/>
          <w:sz w:val="19"/>
        </w:rPr>
        <w:t>Keine Anlageempfehlung</w:t>
      </w:r>
      <w:r>
        <w:rPr>
          <w:b w:val="0"/>
          <w:i/>
          <w:sz w:val="19"/>
        </w:rPr>
        <w:t>; Modell-Output ist eine konservative Szenario-Schätzung, keine bank-individuelle Punktprognose.</w:t>
      </w:r>
    </w:p>
    <w:p>
      <w:pPr>
        <w:pStyle w:val="Heading1"/>
      </w:pPr>
      <w:r>
        <w:t>9 · Bibliographie</w:t>
      </w:r>
    </w:p>
    <w:p>
      <w:pPr>
        <w:spacing w:after="140"/>
      </w:pPr>
      <w:r>
        <w:rPr>
          <w:b w:val="0"/>
          <w:i w:val="0"/>
          <w:sz w:val="21"/>
        </w:rPr>
        <w:t>Vollständige Liste aller im Modell verwendeten Quellen — gegliedert nach Regulatorik, wissenschaftlicher Literatur und Datenquellen. Jede Quelle ist an der Stelle ihrer Verwendung im Dokument bzw. im Modell-Code referenziert.</w:t>
      </w:r>
    </w:p>
    <w:p>
      <w:pPr>
        <w:pStyle w:val="Heading2"/>
      </w:pPr>
      <w:r>
        <w:t>Regulatorische Quellen</w:t>
      </w:r>
    </w:p>
    <w:p>
      <w:pPr>
        <w:pStyle w:val="ListBullet"/>
      </w:pPr>
      <w:r>
        <w:rPr>
          <w:b w:val="0"/>
          <w:sz w:val="21"/>
        </w:rPr>
        <w:t>BCBS (2017). Basel III: Finalising post-crisis reforms. Basel Committee on Banking Supervision, §272–284 (IRB-Kapitalformel).</w:t>
      </w:r>
    </w:p>
    <w:p>
      <w:pPr>
        <w:pStyle w:val="ListBullet"/>
      </w:pPr>
      <w:r>
        <w:rPr>
          <w:b w:val="0"/>
          <w:sz w:val="21"/>
        </w:rPr>
        <w:t>Board of Governors / OCC (2011). SR 11-7: Supervisory Guidance on Model Risk Management (Outcomes-Analysis des Backtests).</w:t>
      </w:r>
    </w:p>
    <w:p>
      <w:pPr>
        <w:pStyle w:val="ListBullet"/>
      </w:pPr>
      <w:r>
        <w:rPr>
          <w:b w:val="0"/>
          <w:sz w:val="21"/>
        </w:rPr>
        <w:t>EBA (2020). ITS/2020/04 — Implementing Technical Standards on public disclosures (EU-CR6-Template, Pillar-3-Datenbasis).</w:t>
      </w:r>
    </w:p>
    <w:p>
      <w:pPr>
        <w:pStyle w:val="ListBullet"/>
      </w:pPr>
      <w:r>
        <w:rPr>
          <w:b w:val="0"/>
          <w:sz w:val="21"/>
        </w:rPr>
        <w:t>EBA (2024). 2025 EU-wide Stress Test — Methodological Note, §2.4.2 (sektorale Sensitivitäten als aufsichtlicher Projektionsansatz).</w:t>
      </w:r>
    </w:p>
    <w:p>
      <w:pPr>
        <w:pStyle w:val="ListBullet"/>
      </w:pPr>
      <w:r>
        <w:rPr>
          <w:b w:val="0"/>
          <w:sz w:val="21"/>
        </w:rPr>
        <w:t>EBA/ESRB (2025). 2025 EU-wide Stress Test — Macro-financial Scenario, §4.1.6 (adverse Zinspfade als Plausibilitätsanker).</w:t>
      </w:r>
    </w:p>
    <w:p>
      <w:pPr>
        <w:pStyle w:val="ListBullet"/>
      </w:pPr>
      <w:r>
        <w:rPr>
          <w:b w:val="0"/>
          <w:sz w:val="21"/>
        </w:rPr>
        <w:t>EBA (2025). 2025 EU-wide Stress Test — Results, Fig. 22 (relative Verlustquoten je Portfolio als Quervalidierung der β-Struktur).</w:t>
      </w:r>
    </w:p>
    <w:p>
      <w:pPr>
        <w:pStyle w:val="ListBullet"/>
      </w:pPr>
      <w:r>
        <w:rPr>
          <w:b w:val="0"/>
          <w:sz w:val="21"/>
        </w:rPr>
        <w:t>EBA (2025). Report on the 2024 Credit Risk Benchmarking Exercise (PD-/LGD-Niveaus je IRB-Klasse).</w:t>
      </w:r>
    </w:p>
    <w:p>
      <w:pPr>
        <w:pStyle w:val="ListBullet"/>
      </w:pPr>
      <w:r>
        <w:rPr>
          <w:b w:val="0"/>
          <w:sz w:val="21"/>
        </w:rPr>
        <w:t>EBA GL 2014/14. Guidelines on ICAAP/Stress-Testing (Governance-Rahmen).</w:t>
      </w:r>
    </w:p>
    <w:p>
      <w:pPr>
        <w:pStyle w:val="ListBullet"/>
      </w:pPr>
      <w:r>
        <w:rPr>
          <w:b w:val="0"/>
          <w:sz w:val="21"/>
        </w:rPr>
        <w:t>Verordnung (EU) Nr. 575/2013 (CRR) — insb. Art. 153/154 (IRB-Risikogewichte), Art. 180/181 (PD-/LGD-Schätzung, TTC-Charakter), Art. 431–455 (Offenlegung).</w:t>
      </w:r>
    </w:p>
    <w:p>
      <w:pPr>
        <w:pStyle w:val="Heading2"/>
      </w:pPr>
      <w:r>
        <w:t>Wissenschaftliche Literatur</w:t>
      </w:r>
    </w:p>
    <w:p>
      <w:pPr>
        <w:pStyle w:val="ListBullet"/>
      </w:pPr>
      <w:r>
        <w:rPr>
          <w:b w:val="0"/>
          <w:sz w:val="21"/>
        </w:rPr>
        <w:t>Acharya, V., Drechsler, I. &amp; Schnabl, P. (2014). A Pyrrhic Victory? Bank Bailouts and Sovereign Credit Risk. Journal of Finance (Staaten-Banken-Verflechtung, Marktbuch-Analyse).</w:t>
      </w:r>
    </w:p>
    <w:p>
      <w:pPr>
        <w:pStyle w:val="ListBullet"/>
      </w:pPr>
      <w:r>
        <w:rPr>
          <w:b w:val="0"/>
          <w:sz w:val="21"/>
        </w:rPr>
        <w:t>Bandoni, E., Fourné, M. &amp; Jarmulska, B. (2025). Mortgage loan rates and the defaults of variable rate mortgages. ECB Working Paper 3112 (Zins-Sensitivität der Hypotheken-PD).</w:t>
      </w:r>
    </w:p>
    <w:p>
      <w:pPr>
        <w:pStyle w:val="ListBullet"/>
      </w:pPr>
      <w:r>
        <w:rPr>
          <w:b w:val="0"/>
          <w:sz w:val="21"/>
        </w:rPr>
        <w:t>Brunnermeier, M. et al. (2016). The Sovereign-Bank Diabolic Loop and ESBies. American Economic Review P&amp;P (Doom-Loop, Marktbuch-Analyse).</w:t>
      </w:r>
    </w:p>
    <w:p>
      <w:pPr>
        <w:pStyle w:val="ListBullet"/>
      </w:pPr>
      <w:r>
        <w:rPr>
          <w:b w:val="0"/>
          <w:sz w:val="21"/>
        </w:rPr>
        <w:t>Gordy, M. (2003). A Risk-Factor Model Foundation for Ratings-Based Bank Capital Rules. Journal of Financial Intermediation (ASRF-Fundierung).</w:t>
      </w:r>
    </w:p>
    <w:p>
      <w:pPr>
        <w:pStyle w:val="ListBullet"/>
      </w:pPr>
      <w:r>
        <w:rPr>
          <w:b w:val="0"/>
          <w:sz w:val="21"/>
        </w:rPr>
        <w:t>Hyndman, R. J. &amp; Athanasopoulos, G. (2021). Forecasting: Principles and Practice, 3. Aufl., Kap. 5.8 (Prognose-Evaluation, MAE).</w:t>
      </w:r>
    </w:p>
    <w:p>
      <w:pPr>
        <w:pStyle w:val="ListBullet"/>
      </w:pPr>
      <w:r>
        <w:rPr>
          <w:b w:val="0"/>
          <w:sz w:val="21"/>
        </w:rPr>
        <w:t>Jiang, E., Matvos, G., Piskorski, T. &amp; Seru, A. (2023). Monetary Tightening and U.S. Bank Fragility. NBER Working Paper 31048 (latente Bewertungsverluste, Marktbuch-Analyse).</w:t>
      </w:r>
    </w:p>
    <w:p>
      <w:pPr>
        <w:pStyle w:val="ListBullet"/>
      </w:pPr>
      <w:r>
        <w:rPr>
          <w:b w:val="0"/>
          <w:sz w:val="21"/>
        </w:rPr>
        <w:t>Konietschke, P., Metzler, J. &amp; Ponte Marques, A. (2026). A quantile probability model for sectoral corporate defaults in Europe. ECB Working Paper 3207 (Sektor-Heterogenität der Unternehmens-PD).</w:t>
      </w:r>
    </w:p>
    <w:p>
      <w:pPr>
        <w:pStyle w:val="ListBullet"/>
      </w:pPr>
      <w:r>
        <w:rPr>
          <w:b w:val="0"/>
          <w:sz w:val="21"/>
        </w:rPr>
        <w:t>Lo Duca, M., Moccero, D. &amp; Parlapiano, F. (2024). The impact of macroeconomic and monetary policy shocks on credit risk in the euro area corporate sector. ECB Working Paper 2897 (Corporate-/KMU-β).</w:t>
      </w:r>
    </w:p>
    <w:p>
      <w:pPr>
        <w:pStyle w:val="ListBullet"/>
      </w:pPr>
      <w:r>
        <w:rPr>
          <w:b w:val="0"/>
          <w:sz w:val="21"/>
        </w:rPr>
        <w:t>Nelson, C. &amp; Siegel, A. (1987). Parsimonious Modeling of Yield Curves. Journal of Business (Zinsstrukturmodell).</w:t>
      </w:r>
    </w:p>
    <w:p>
      <w:pPr>
        <w:pStyle w:val="ListBullet"/>
      </w:pPr>
      <w:r>
        <w:rPr>
          <w:b w:val="0"/>
          <w:sz w:val="21"/>
        </w:rPr>
        <w:t>Pesaran, M. H. &amp; Timmermann, A. (1992). A Simple Nonparametric Test of Predictive Performance. Journal of Business &amp; Economic Statistics (Richtungs-Trefferquote).</w:t>
      </w:r>
    </w:p>
    <w:p>
      <w:pPr>
        <w:pStyle w:val="ListBullet"/>
      </w:pPr>
      <w:r>
        <w:rPr>
          <w:b w:val="0"/>
          <w:sz w:val="21"/>
        </w:rPr>
        <w:t>Svensson, L. (1994). Estimating and Interpreting Forward Interest Rates: Sweden 1992–1994. NBER Working Paper 4871 (Zinsstrukturmodell der Bundesbank-Parameter).</w:t>
      </w:r>
    </w:p>
    <w:p>
      <w:pPr>
        <w:pStyle w:val="ListBullet"/>
      </w:pPr>
      <w:r>
        <w:rPr>
          <w:b w:val="0"/>
          <w:sz w:val="21"/>
        </w:rPr>
        <w:t>Tuckman, B. &amp; Serrat, A. (2012). Fixed Income Securities, 3. Aufl. (Modified Duration, Sovereign-Kanal).</w:t>
      </w:r>
    </w:p>
    <w:p>
      <w:pPr>
        <w:pStyle w:val="ListBullet"/>
      </w:pPr>
      <w:r>
        <w:rPr>
          <w:b w:val="0"/>
          <w:sz w:val="21"/>
        </w:rPr>
        <w:t>Vasicek, O. (1991). Limiting Loan Loss Probability Distribution. KMV Working Paper (Portfolio-Verlustverteilung).</w:t>
      </w:r>
    </w:p>
    <w:p>
      <w:pPr>
        <w:pStyle w:val="ListBullet"/>
      </w:pPr>
      <w:r>
        <w:rPr>
          <w:b w:val="0"/>
          <w:sz w:val="21"/>
        </w:rPr>
        <w:t>Vasicek, O. (2002). Loan Portfolio Value. Risk Magazine, Dezember (geschlossene Form der IRB-Formel).</w:t>
      </w:r>
    </w:p>
    <w:p>
      <w:pPr>
        <w:pStyle w:val="ListBullet"/>
      </w:pPr>
      <w:r>
        <w:rPr>
          <w:b w:val="0"/>
          <w:sz w:val="21"/>
        </w:rPr>
        <w:t>ECB (2024). Financial Stability Review, Mai 2024 (Energie-/Lebenshaltungskosten-Wirkung auf Haushalte; Retail-β).</w:t>
      </w:r>
    </w:p>
    <w:p>
      <w:pPr>
        <w:pStyle w:val="Heading2"/>
      </w:pPr>
      <w:r>
        <w:t>Datenquellen</w:t>
      </w:r>
    </w:p>
    <w:p>
      <w:pPr>
        <w:pStyle w:val="ListBullet"/>
      </w:pPr>
      <w:r>
        <w:rPr>
          <w:b w:val="0"/>
          <w:sz w:val="21"/>
        </w:rPr>
        <w:t>Pillar-3-Berichte (EU CR6) der zehn Banken, FY2021–FY2024 — Risikoparameter PD/LGD/EAD (je Zeile mit Seiten-/URL-Beleg).</w:t>
      </w:r>
    </w:p>
    <w:p>
      <w:pPr>
        <w:pStyle w:val="ListBullet"/>
      </w:pPr>
      <w:r>
        <w:rPr>
          <w:b w:val="0"/>
          <w:sz w:val="21"/>
        </w:rPr>
        <w:t>EBA EU-wide Transparency Exercise (Vintages 2020–2025) — realisierte CET1- und RWA-Werte, IFRS-9-Split der Staatsanleihen.</w:t>
      </w:r>
    </w:p>
    <w:p>
      <w:pPr>
        <w:pStyle w:val="ListBullet"/>
      </w:pPr>
      <w:r>
        <w:rPr>
          <w:b w:val="0"/>
          <w:sz w:val="21"/>
        </w:rPr>
        <w:t>ICE Brent Crude (täglich) — Ölpreis-Faktor.</w:t>
      </w:r>
    </w:p>
    <w:p>
      <w:pPr>
        <w:pStyle w:val="ListBullet"/>
      </w:pPr>
      <w:r>
        <w:rPr>
          <w:b w:val="0"/>
          <w:sz w:val="21"/>
        </w:rPr>
        <w:t>Deutsche Bundesbank — täglich geschätzte Svensson-Parameter der Zinsstrukturkurve (10-Jahres-Zins-Faktor).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Modellannahmen · EU Banking Credit Stress Cockpit ·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updateFields w:val="true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51C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34B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51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