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07.07.2026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Öl-/Zinsschock → PD_stress, LGD_stress → Basel-IRB-K-Formel → RWA → CET1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der regulatorische IRB-Klassenparameter nach CRR Art. 153/154,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255 quellenbelegte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99,6 % Abdeckung relativ zum bank-eigenen Meldeumfang</w:t>
      </w:r>
      <w:r>
        <w:rPr>
          <w:b w:val="0"/>
          <w:i w:val="0"/>
          <w:sz w:val="21"/>
        </w:rPr>
        <w:t xml:space="preserve"> (255 von 256 gemeldeten Zellen) - Klassen, die eine Bank gar nicht im A-IRB führt, zählen nicht als Lücke. Davon sind </w:t>
      </w:r>
      <w:r>
        <w:rPr>
          <w:b/>
          <w:i w:val="0"/>
          <w:sz w:val="21"/>
        </w:rPr>
        <w:t>253 Zeilen modellfähig</w:t>
      </w:r>
      <w:r>
        <w:rPr>
          <w:b w:val="0"/>
          <w:i w:val="0"/>
          <w:sz w:val="21"/>
        </w:rPr>
        <w:t>; zwei quellenbelegte Sonderfälle bleiben für Audit und Abdeckung sichtbar, werden aber wegen Quellen-/Perimeterproblemen nicht in die Modellrechnung eingespeist (`include_in_backtest = 0`). Die einzige verbleibende Quellgrenze ist Credit Mutuel Corporate 2021: kein Wert wird aus RWA oder Nachbarjahren abgeleitet.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(255 Quellenzeilen, 253 modellfähig),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regulatorische Klassenparameter,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(255 quellenbelegte Zeilen, davon 253 modellfähig);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CRR-Klassenparametern und Laufzeit-Adjustment. Prozessual: Öl-/Zinsschock → PD_stress/LGD_stress → Basel-IRB-K-Formel → RWA → CET1. Der Parameter ρ ist dabei kein eigener Modellschritt und keine von uns geschätzte Annahme, sondern der durch CRR Art. 153/154 vorgegebene Klassenparameter innerhalb der Formel.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(30 Bank-Jahre, 2022–2024 — vollständiges Panel)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60 %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73 %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  <w:sz w:val="19"/>
        </w:rPr>
        <w:t>Alle 10 Banken sind in allen drei Backtest-Jahren vertreten (30 von 30 möglichen Bank-Jahren). Im Zinsschock-Jahr 2022 liegt das Modell bei allen 10 Banken auf der konservativen Seite (Ø −2,5 pp — der bewusst nicht angesetzte NII-Gegeneffekt); in den ruhigeren Jahren 2023/2024 beträgt der mittlere Fehler nur 0,5 bzw. 0,8 pp.</w:t>
      </w: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