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color w:val="051C2C"/>
          <w:sz w:val="64"/>
        </w:rPr>
        <w:t>Modellannahmen</w:t>
      </w:r>
    </w:p>
    <w:p>
      <w:pPr>
        <w:jc w:val="center"/>
      </w:pPr>
      <w:r>
        <w:rPr>
          <w:color w:val="034B6F"/>
          <w:sz w:val="26"/>
        </w:rPr>
        <w:t>EU Banking Credit Stress Cockpit</w:t>
        <w:br/>
        <w:t>2-Faktor-Kreditstress (Basel-III-IRB) · Zielgröße CET1-Quote · Pillar-3-Datenbasis</w:t>
      </w:r>
    </w:p>
    <w:p>
      <w:pPr>
        <w:spacing w:before="600"/>
        <w:jc w:val="center"/>
      </w:pPr>
      <w:r>
        <w:rPr>
          <w:color w:val="6E6E6E"/>
          <w:sz w:val="19"/>
        </w:rPr>
        <w:t>Kuratierte Abgabefassung · Stand 07.07.2026</w:t>
        <w:br/>
        <w:t>Technische Referenz: Modellarchitektur/docs/MODEL_ASSUMPTIONS.md (V2.1)</w:t>
      </w:r>
    </w:p>
    <w:p>
      <w:r>
        <w:br w:type="page"/>
      </w:r>
    </w:p>
    <w:p>
      <w:r>
        <w:rPr>
          <w:b/>
          <w:color w:val="051C2C"/>
          <w:sz w:val="32"/>
        </w:rPr>
        <w:t>Inhaltsverzeichnis</w:t>
      </w:r>
    </w:p>
    <w:p>
      <w:fldSimple w:instr="TOC \o &quot;1-2&quot; \h \z \u">
        <w:r>
          <w:t>Inhaltsverzeichnis: Rechtsklick → Felder aktualisieren (F9).</w:t>
        </w:r>
      </w:fldSimple>
    </w:p>
    <w:p>
      <w:r>
        <w:br w:type="page"/>
      </w:r>
    </w:p>
    <w:p>
      <w:pPr>
        <w:pStyle w:val="Heading1"/>
      </w:pPr>
      <w:r>
        <w:t>1 · Das Modell auf einen Blick</w:t>
      </w:r>
    </w:p>
    <w:p>
      <w:pPr>
        <w:spacing w:after="140"/>
      </w:pPr>
      <w:r>
        <w:rPr>
          <w:b w:val="0"/>
          <w:i w:val="0"/>
          <w:sz w:val="21"/>
        </w:rPr>
        <w:t xml:space="preserve">Das Cockpit beantwortet eine aufsichtlich zentrale Frage: </w:t>
      </w:r>
      <w:r>
        <w:rPr>
          <w:b/>
          <w:i w:val="0"/>
          <w:sz w:val="21"/>
        </w:rPr>
        <w:t>Wie stünde die harte Kernkapitalquote (CET1) der zehn größten EU-IRB-Banken, wenn ein Ölpreis- und/oder Zinsschock einträte?</w:t>
      </w:r>
      <w:r>
        <w:rPr>
          <w:b w:val="0"/>
          <w:i w:val="0"/>
          <w:sz w:val="21"/>
        </w:rPr>
        <w:t xml:space="preserve"> Die CET1-Quote ist die Solvenz-Kennzahl der Bankenaufsicht — fällt sie unter die gestaffelten Mindestanforderungen, greifen aufsichtliche Maßnahmen bis hin zu Ausschüttungssperren.</w:t>
      </w:r>
    </w:p>
    <w:p>
      <w:pPr>
        <w:spacing w:after="140"/>
      </w:pPr>
      <w:r>
        <w:rPr>
          <w:b w:val="0"/>
          <w:i w:val="0"/>
          <w:sz w:val="21"/>
        </w:rPr>
        <w:t>Vier Prinzipien tragen das Modell:</w:t>
      </w:r>
    </w:p>
    <w:p>
      <w:pPr>
        <w:pStyle w:val="ListBullet"/>
      </w:pPr>
      <w:r>
        <w:rPr>
          <w:b/>
          <w:sz w:val="21"/>
        </w:rPr>
        <w:t>Quellenreine Datenbasis</w:t>
      </w:r>
      <w:r>
        <w:rPr>
          <w:b w:val="0"/>
          <w:sz w:val="21"/>
        </w:rPr>
        <w:t xml:space="preserve"> — alle Risikoparameter (PD, LGD, EAD) stammen aus den offiziellen Pillar-3-Offenlegungen (EU CR6) der Banken selbst; kein Wert wird geschätzt oder abgeleitet.</w:t>
      </w:r>
    </w:p>
    <w:p>
      <w:pPr>
        <w:pStyle w:val="ListBullet"/>
      </w:pPr>
      <w:r>
        <w:rPr>
          <w:b/>
          <w:sz w:val="21"/>
        </w:rPr>
        <w:t>Zwei getrennte, messbare Faktoren</w:t>
      </w:r>
      <w:r>
        <w:rPr>
          <w:b w:val="0"/>
          <w:sz w:val="21"/>
        </w:rPr>
        <w:t xml:space="preserve"> — Ölpreis (ΔBrent) und 10-Jahres-Zins (Δr_10y) werden nicht zu einem Kunstfaktor aggregiert, sondern wirken einzeln und beobachtbar.</w:t>
      </w:r>
    </w:p>
    <w:p>
      <w:pPr>
        <w:pStyle w:val="ListBullet"/>
      </w:pPr>
      <w:r>
        <w:rPr>
          <w:b/>
          <w:sz w:val="21"/>
        </w:rPr>
        <w:t>Sektor-differenzierte Transmission</w:t>
      </w:r>
      <w:r>
        <w:rPr>
          <w:b w:val="0"/>
          <w:sz w:val="21"/>
        </w:rPr>
        <w:t xml:space="preserve"> — jede Kreditklasse reagiert gemäß quellenbelegter Sensitivitäten unterschiedlich (eine Hypothek anders als ein Kreditkartenbuch).</w:t>
      </w:r>
    </w:p>
    <w:p>
      <w:pPr>
        <w:pStyle w:val="ListBullet"/>
      </w:pPr>
      <w:r>
        <w:rPr>
          <w:b/>
          <w:sz w:val="21"/>
        </w:rPr>
        <w:t>Konservative Auslegung</w:t>
      </w:r>
      <w:r>
        <w:rPr>
          <w:b w:val="0"/>
          <w:sz w:val="21"/>
        </w:rPr>
        <w:t xml:space="preserve"> — im Zweifel überschätzt das Modell den Kapitalbedarf; entlastende Effekte (z. B. Zinsüberschuss) werden bewusst nicht gegengerechnet.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2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2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1 · Modell-Pipeline: Zwei Makro-Schocks laufen über die β-Transmission und die Basel-III-Kapitalformel in das Kreditbuch; der Zinsschock wirkt zusätzlich über den Sovereign-Kanal. Zielgröße ist stets die CET1-Quote unter Stress.</w:t>
      </w:r>
    </w:p>
    <w:p>
      <w:pPr>
        <w:pStyle w:val="Heading1"/>
      </w:pPr>
      <w:r>
        <w:t>2 · Die zwei Risikofaktoren</w:t>
      </w:r>
    </w:p>
    <w:p>
      <w:pPr>
        <w:spacing w:after="140"/>
      </w:pPr>
      <w:r>
        <w:rPr>
          <w:b w:val="0"/>
          <w:i w:val="0"/>
          <w:sz w:val="21"/>
        </w:rPr>
        <w:t>Beide Faktoren sind täglich beobachtbare Marktgrößen — das Modell braucht keine latenten Zustandsvariablen: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fill="D9E4EC"/>
          </w:tcPr>
          <w:p>
            <w:r/>
            <w:r>
              <w:rPr>
                <w:b/>
                <w:sz w:val="18"/>
              </w:rPr>
              <w:t>Faktor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8"/>
              </w:rPr>
              <w:t>Einheit</w:t>
            </w:r>
          </w:p>
        </w:tc>
        <w:tc>
          <w:tcPr>
            <w:tcW w:type="dxa" w:w="4706"/>
            <w:shd w:val="clear" w:fill="D9E4EC"/>
          </w:tcPr>
          <w:p>
            <w:r/>
            <w:r>
              <w:rPr>
                <w:b/>
                <w:sz w:val="18"/>
              </w:rPr>
              <w:t>Ökonomische Wirkung</w:t>
            </w:r>
          </w:p>
        </w:tc>
        <w:tc>
          <w:tcPr>
            <w:tcW w:type="dxa" w:w="2070"/>
            <w:shd w:val="clear" w:fill="D9E4EC"/>
          </w:tcPr>
          <w:p>
            <w:r/>
            <w:r>
              <w:rPr>
                <w:b/>
                <w:sz w:val="18"/>
              </w:rPr>
              <w:t>Lesebeispiel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ΔBrent</w:t>
            </w:r>
            <w:r>
              <w:rPr>
                <w:b w:val="0"/>
                <w:sz w:val="18"/>
              </w:rPr>
              <w:t xml:space="preserve"> (Ölpreis)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log-Return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Energie-/Kostenschock: verteuert Vorleistungen, drückt Schuldner-Cashflows und Haushaltsbudgets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+0,50 ≈ +65 % Ölpreis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Δr_10y</w:t>
            </w:r>
            <w:r>
              <w:rPr>
                <w:b w:val="0"/>
                <w:sz w:val="18"/>
              </w:rPr>
              <w:t xml:space="preserve"> (10-J-Zins)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Prozentpunkte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Refinanzierungs-/Bewertungsschock: verteuert Anschluss-finanzierung, senkt Sicherheiten- und Anleihewerte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+2,0 = +200 Basispunkte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i w:val="0"/>
          <w:sz w:val="21"/>
        </w:rPr>
        <w:t>Warum zwei getrennte Faktoren?</w:t>
      </w:r>
      <w:r>
        <w:rPr>
          <w:b w:val="0"/>
          <w:i w:val="0"/>
          <w:sz w:val="21"/>
        </w:rPr>
        <w:t xml:space="preserve"> Über fünf Jahre (1 242 Handelstage) beträgt die Korrelation der beiden Faktoren nur ρ = +0,07 (95 %-Konfidenzintervall [+0,01; +0,12]; OLS-R² = 0,005). Sie tragen also nahezu unabhängige Information — eine Aggregation zu einem Einheitsfaktor würde genau die Unterscheidung wegwerfen, die z. B. eine zinsgetriebene Hypothekenkrise von einem Energiekostenschock trennt (Annahme A-10).</w:t>
      </w:r>
    </w:p>
    <w:p>
      <w:pPr>
        <w:pStyle w:val="Heading2"/>
      </w:pPr>
      <w:r>
        <w:t>Datenquellen und ihre Rollen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8"/>
              </w:rPr>
              <w:t>Quelle</w:t>
            </w:r>
          </w:p>
        </w:tc>
        <w:tc>
          <w:tcPr>
            <w:tcW w:type="dxa" w:w="3106"/>
            <w:shd w:val="clear" w:fill="D9E4EC"/>
          </w:tcPr>
          <w:p>
            <w:r/>
            <w:r>
              <w:rPr>
                <w:b/>
                <w:sz w:val="18"/>
              </w:rPr>
              <w:t>Inhalt</w:t>
            </w:r>
          </w:p>
        </w:tc>
        <w:tc>
          <w:tcPr>
            <w:tcW w:type="dxa" w:w="4047"/>
            <w:shd w:val="clear" w:fill="D9E4EC"/>
          </w:tcPr>
          <w:p>
            <w:r/>
            <w:r>
              <w:rPr>
                <w:b/>
                <w:sz w:val="18"/>
              </w:rPr>
              <w:t>Rolle im Modell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Pillar-3-Reports (EU CR6)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PD, LGD, EAD je Bank × Kreditklasse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Input</w:t>
            </w:r>
            <w:r>
              <w:rPr>
                <w:b w:val="0"/>
                <w:sz w:val="18"/>
              </w:rPr>
              <w:t xml:space="preserve"> — Risikoparameter (Live-Snapshot 31.12.2024 + Backtest-Reihe FY2021–2024)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Transparency Exercise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CET1, RWA je Bank und Quartal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Vergleichsseite</w:t>
            </w:r>
            <w:r>
              <w:rPr>
                <w:b w:val="0"/>
                <w:sz w:val="18"/>
              </w:rPr>
              <w:t xml:space="preserve"> — realisierte Werte für die Validierung; nie PD/LGD-Quelle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Brent (ICE), täglich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Ölpreis-Historie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1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Bundesbank-Svensson-Parameter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Zinsstrukturkurve, täglich (Nelson/Siegel 1987, erweitert um Svensson 1994)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2 (10-J-Zins)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IFRS-9-Split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HfT/FVTPL/FVOCI-Anteile der Staatsanleihen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Sovereign-Kanal (CET1-wirksamer Anteil)</w:t>
            </w:r>
          </w:p>
        </w:tc>
      </w:tr>
    </w:tbl>
    <w:p>
      <w:pPr>
        <w:spacing w:after="80"/>
      </w:pPr>
    </w:p>
    <w:p>
      <w:pPr>
        <w:pStyle w:val="Heading1"/>
      </w:pPr>
      <w:r>
        <w:t>3 · Sektor-differenzierte Stress-Transmission</w:t>
      </w:r>
    </w:p>
    <w:p>
      <w:pPr>
        <w:spacing w:after="140"/>
      </w:pPr>
      <w:r>
        <w:rPr>
          <w:b w:val="0"/>
          <w:i w:val="0"/>
          <w:sz w:val="21"/>
        </w:rPr>
        <w:t xml:space="preserve">Kern des Modells ist die Übersetzung der beiden Schocks in Risikoparameter — </w:t>
      </w:r>
      <w:r>
        <w:rPr>
          <w:b/>
          <w:i w:val="0"/>
          <w:sz w:val="21"/>
        </w:rPr>
        <w:t>mit eigenen Sensitivitäten je Kreditklasse</w:t>
      </w:r>
      <w:r>
        <w:rPr>
          <w:b w:val="0"/>
          <w:i w:val="0"/>
          <w:sz w:val="21"/>
        </w:rPr>
        <w:t xml:space="preserve"> (Annahme A-04):</w:t>
      </w:r>
    </w:p>
    <w:p>
      <w:pPr>
        <w:spacing w:after="140"/>
      </w:pPr>
      <w:r>
        <w:rPr>
          <w:b w:val="0"/>
          <w:i w:val="0"/>
          <w:color w:val="034B6F"/>
          <w:sz w:val="21"/>
        </w:rPr>
        <w:t>ΔPD [pp] = β_Öl · ΔBrent + β_Zins · Δr_10y      ΔLGD [pp] = γ_Öl · ΔBrent + γ_Zins · Δr_10y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Werte werden begrenzt — jede Grenze hat einen Grund: Die </w:t>
      </w:r>
      <w:r>
        <w:rPr>
          <w:b/>
          <w:i w:val="0"/>
          <w:sz w:val="21"/>
        </w:rPr>
        <w:t>PD-Untergrenze von 0,03 %</w:t>
      </w:r>
      <w:r>
        <w:rPr>
          <w:b w:val="0"/>
          <w:i w:val="0"/>
          <w:sz w:val="21"/>
        </w:rPr>
        <w:t xml:space="preserve"> ist der regulatorische Basel-Floor (CRR Art. 160/163 — keine Bank darf einem lebenden Portfolio eine geringere Ausfallwahrscheinlichkeit zuweisen). Die </w:t>
      </w:r>
      <w:r>
        <w:rPr>
          <w:b/>
          <w:i w:val="0"/>
          <w:sz w:val="21"/>
        </w:rPr>
        <w:t>PD-Obergrenze von 50 %</w:t>
      </w:r>
      <w:r>
        <w:rPr>
          <w:b w:val="0"/>
          <w:i w:val="0"/>
          <w:sz w:val="21"/>
        </w:rPr>
        <w:t xml:space="preserve"> dient der numerischen Stabilität: jenseits davon wäre ein Portfolio faktisch im Ausfallstatus und die IRB-Formel nicht mehr die richtige Linse. Die </w:t>
      </w:r>
      <w:r>
        <w:rPr>
          <w:b/>
          <w:i w:val="0"/>
          <w:sz w:val="21"/>
        </w:rPr>
        <w:t>LGD-Untergrenze von 5 %</w:t>
      </w:r>
      <w:r>
        <w:rPr>
          <w:b w:val="0"/>
          <w:i w:val="0"/>
          <w:sz w:val="21"/>
        </w:rPr>
        <w:t xml:space="preserve"> verhindert unplausibel verlustfreie Ausfälle selbst bei bester Besicherung; die </w:t>
      </w:r>
      <w:r>
        <w:rPr>
          <w:b/>
          <w:i w:val="0"/>
          <w:sz w:val="21"/>
        </w:rPr>
        <w:t>Obergrenze 100 %</w:t>
      </w:r>
      <w:r>
        <w:rPr>
          <w:b w:val="0"/>
          <w:i w:val="0"/>
          <w:sz w:val="21"/>
        </w:rPr>
        <w:t xml:space="preserve"> ist definitorisch (mehr als das Exposure kann nicht verloren gehen).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3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2 · Die Sensitivitäts-Matrix als Bild: Jede Zelle ist eine dokumentierte Annahme — rot = Risiko steigt mit dem Schock, blau = sinkt, weiß = kein Effekt. Auffällig: Hypotheken sind zinsgetrieben, Banken profitieren leicht von Zinsanstiegen (Zinsüberschuss), Staaten reagieren nicht über das Kreditbuch (separater Sovereign-Kanal).</w:t>
      </w:r>
    </w:p>
    <w:p>
      <w:pPr>
        <w:pStyle w:val="Heading2"/>
      </w:pPr>
      <w:r>
        <w:t>Ökonomische Logik je Kreditklasse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PD·Öl</w:t>
            </w:r>
          </w:p>
        </w:tc>
        <w:tc>
          <w:tcPr>
            <w:tcW w:type="dxa" w:w="941"/>
            <w:shd w:val="clear" w:fill="D9E4EC"/>
          </w:tcPr>
          <w:p>
            <w:r/>
            <w:r>
              <w:rPr>
                <w:b/>
                <w:sz w:val="17"/>
              </w:rPr>
              <w:t>γ LGD·Zins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γ LGD·Öl</w:t>
            </w:r>
          </w:p>
        </w:tc>
        <w:tc>
          <w:tcPr>
            <w:tcW w:type="dxa" w:w="4611"/>
            <w:shd w:val="clear" w:fill="D9E4EC"/>
          </w:tcPr>
          <w:p>
            <w:r/>
            <w:r>
              <w:rPr>
                <w:b/>
                <w:sz w:val="17"/>
              </w:rPr>
              <w:t>Ökonomische Logik (Kurzform)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Energie verteuert Produktion, Zinsen die Refinanzierung; LGD steigt mit fallenden Sicherheitenwerten.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sme_corporate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+0,60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+1,10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Wie Corporate, aber ≈2× stärker — KMU haben dünnere Puffer und weniger Preissetzungsmacht (ECB WP 2897).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mortgage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Zins dominiert: Raten steigen (Floating/Anschluss), Hauspreise fallen → höchste LGD-Zins-Sensitivität.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qrre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Kreditkarten/Revolving: hängt am Haushaltsbudget → energie-/inflationssensitiv, kaum zins-sensitiv.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other_retail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+0,80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Konsum-/Autokredite: Mischprofil zwischen Mortgage und QRRE.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bank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-0,05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 xml:space="preserve">Leicht </w:t>
            </w:r>
            <w:r>
              <w:rPr>
                <w:b/>
                <w:sz w:val="17"/>
              </w:rPr>
              <w:t>negatives</w:t>
            </w:r>
            <w:r>
              <w:rPr>
                <w:b w:val="0"/>
                <w:sz w:val="17"/>
              </w:rPr>
              <w:t xml:space="preserve"> Zins-β: steigende Zinsen stützen den Zinsüberschuss der Gegenpartei-Banken (NIM-Effekt).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sovereign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Im Kreditbuch bewusst inert — der Zins wirkt auf Staaten über den Marktwert-Kanal (Abschnitt 4), nicht über die PD.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/>
          <w:sz w:val="19"/>
        </w:rPr>
        <w:t>Quellen der Kalibrierung: EBA (2024) *2025 EU-wide Stress Test — Methodological Note* §2.4.2 (sektorale Sensitivitäten sind der aufsichtlich vorgesehene Ansatz); ECB WP 2897 (Unternehmens-PD auf Angebots-/Zinsschocks, KMU-Verstärkung), ECB WP 3112 (Hypotheken-Defaults und Zins), ECB Financial Stability Review Mai 2024 (Haushalte). Die β sind als belegte, per Regler übersteuerbare Defaults ausgewiesen — Konfidenzklasse [estimate].</w:t>
      </w:r>
    </w:p>
    <w:p>
      <w:pPr>
        <w:pStyle w:val="Heading2"/>
      </w:pPr>
      <w:r>
        <w:t>Durchgerechnetes Beispiel: ein Schock läuft durch das Modell</w:t>
      </w:r>
    </w:p>
    <w:p>
      <w:pPr>
        <w:spacing w:after="140"/>
      </w:pPr>
      <w:r>
        <w:rPr>
          <w:b w:val="0"/>
          <w:i w:val="0"/>
          <w:sz w:val="21"/>
        </w:rPr>
        <w:t>Angenommen wird ein Corporate-Segment mit PD = 2,50 % und LGD = 35,00 %; als Szenario tritt ein Zinsanstieg von +2,0 Prozentpunkten bei gleichzeitig +30 % Ölpreis ein. Dann rechnet das Modell in drei Schritten:</w:t>
      </w:r>
    </w:p>
    <w:p>
      <w:pPr>
        <w:pStyle w:val="ListBullet"/>
      </w:pPr>
      <w:r>
        <w:rPr>
          <w:b/>
          <w:sz w:val="21"/>
        </w:rPr>
        <w:t>Schritt 1 — PD-Transmission:</w:t>
      </w:r>
      <w:r>
        <w:rPr>
          <w:b w:val="0"/>
          <w:sz w:val="21"/>
        </w:rPr>
        <w:t xml:space="preserve"> ΔPD = 0,20 · 2,0 + 0,30 · 0,30 = </w:t>
      </w:r>
      <w:r>
        <w:rPr>
          <w:b/>
          <w:sz w:val="21"/>
        </w:rPr>
        <w:t>+0,49 pp</w:t>
      </w:r>
      <w:r>
        <w:rPr>
          <w:b w:val="0"/>
          <w:sz w:val="21"/>
        </w:rPr>
        <w:t xml:space="preserve"> → gestresste PD </w:t>
      </w:r>
      <w:r>
        <w:rPr>
          <w:b/>
          <w:sz w:val="21"/>
        </w:rPr>
        <w:t>2,99 %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2 — LGD-Transmission:</w:t>
      </w:r>
      <w:r>
        <w:rPr>
          <w:b w:val="0"/>
          <w:sz w:val="21"/>
        </w:rPr>
        <w:t xml:space="preserve"> ΔLGD = 1,00 · 2,0 + 0,50 · 0,30 = </w:t>
      </w:r>
      <w:r>
        <w:rPr>
          <w:b/>
          <w:sz w:val="21"/>
        </w:rPr>
        <w:t>+2,15 pp</w:t>
      </w:r>
      <w:r>
        <w:rPr>
          <w:b w:val="0"/>
          <w:sz w:val="21"/>
        </w:rPr>
        <w:t xml:space="preserve"> → gestresste LGD </w:t>
      </w:r>
      <w:r>
        <w:rPr>
          <w:b/>
          <w:sz w:val="21"/>
        </w:rPr>
        <w:t>37,15 %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3 — Kapitalwirkung (IRB-Formel):</w:t>
      </w:r>
      <w:r>
        <w:rPr>
          <w:b w:val="0"/>
          <w:sz w:val="21"/>
        </w:rPr>
        <w:t xml:space="preserve"> der erwartete Verlust steigt von 0,875 % auf 1,111 % des Exposures (</w:t>
      </w:r>
      <w:r>
        <w:rPr>
          <w:b/>
          <w:sz w:val="21"/>
        </w:rPr>
        <w:t>+27 %</w:t>
      </w:r>
      <w:r>
        <w:rPr>
          <w:b w:val="0"/>
          <w:sz w:val="21"/>
        </w:rPr>
        <w:t>), die RWA-Dichte von 95,0 % auf 105,9 % (</w:t>
      </w:r>
      <w:r>
        <w:rPr>
          <w:b/>
          <w:sz w:val="21"/>
        </w:rPr>
        <w:t>+11,5 %</w:t>
      </w:r>
      <w:r>
        <w:rPr>
          <w:b w:val="0"/>
          <w:sz w:val="21"/>
        </w:rPr>
        <w:t>).</w:t>
      </w:r>
    </w:p>
    <w:p>
      <w:pPr>
        <w:spacing w:after="140"/>
      </w:pPr>
      <w:r>
        <w:rPr>
          <w:b w:val="0"/>
          <w:i/>
          <w:sz w:val="19"/>
        </w:rPr>
        <w:t>Auf Portfolioebene wiederholt sich diese Rechnung für jede Bank und jede Klasse mit den echten Pillar-3-Parametern; die Summe der ΔRWA- und ΔEL-Beiträge speist die CET1-Bridge (Abschnitt 4). Die Beispielwerte sind live aus der Modell-Engine gerechnet, nicht handgepflegt.</w:t>
      </w:r>
    </w:p>
    <w:p>
      <w:pPr>
        <w:pStyle w:val="Heading1"/>
      </w:pPr>
      <w:r>
        <w:t>4 · Kapitalrechnung und CET1-Bridge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PD/LGD laufen durch die </w:t>
      </w:r>
      <w:r>
        <w:rPr>
          <w:b/>
          <w:i w:val="0"/>
          <w:sz w:val="21"/>
        </w:rPr>
        <w:t>regulatorische Basel-III-IRB-Kapitalformel</w:t>
      </w:r>
      <w:r>
        <w:rPr>
          <w:b w:val="0"/>
          <w:i w:val="0"/>
          <w:sz w:val="21"/>
        </w:rPr>
        <w:t xml:space="preserve"> (Vasicek/ASRF; BCBS 2017, §272–284) — bewusst der aufsichtliche Standard, keine Eigenkonstruktion: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K = [ LGD · N( (N⁻¹(PD) + √ρ · N⁻¹(0,999)) / √(1−ρ) ) − PD · LGD ] · MA      →      RWA = K · 12,5 · EAD</w:t>
      </w:r>
    </w:p>
    <w:p>
      <w:pPr>
        <w:spacing w:after="140"/>
      </w:pPr>
      <w:r>
        <w:rPr>
          <w:b w:val="0"/>
          <w:i w:val="0"/>
          <w:sz w:val="21"/>
        </w:rPr>
        <w:t xml:space="preserve">Dabei ist ρ die Basel-Asset-Korrelation je Klasse (Corporates PD-abhängig 12–24 %, Hypotheken 15 %, QRRE 4 %), MA das Laufzeit-Adjustment und N die Standardnormalverteilung. Die theoretische Fundierung des ASRF-Rahmens liefern Vasicek (1991, 2002) und Gordy (2003). Der </w:t>
      </w:r>
      <w:r>
        <w:rPr>
          <w:b/>
          <w:i w:val="0"/>
          <w:sz w:val="21"/>
        </w:rPr>
        <w:t>Sovereign-Kanal</w:t>
      </w:r>
      <w:r>
        <w:rPr>
          <w:b w:val="0"/>
          <w:i w:val="0"/>
          <w:sz w:val="21"/>
        </w:rPr>
        <w:t xml:space="preserve"> bewertet parallel die Staatsanleihebestände: ΔMtM = −Duration · Δr · Exposure, CET1-wirksam nur für den FVOCI/FVTPL-Anteil je Bank (EBA-IFRS-9-Split, Annahme A-06; Durationslogik nach Tuckman/Serrat 2012). Die begleitenden Marktbuch-Analysen des Cockpits — Staaten-Banken-Verflechtung (Doom Loop) und latente Bewertungs-verluste — stützen sich auf Brunnermeier et al. (2016), Acharya/Drechsler/Schnabl (2014) und Jiang et al. (2023).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1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i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3 · Die CET1-Bridge: Das Kreditbuch erhöht den Nenner (ΔRWA) und senkt über erwartete Verluste den Zähler (ΔEL); der Sovereign-Kanal senkt den Zähler zusätzlich (ΔMtM). Entlastende Gewinn-Effekte werden bewusst nicht angesetzt — die Quote unter Stress ist eine konservative Untergrenze.</w:t>
      </w:r>
    </w:p>
    <w:p>
      <w:pPr>
        <w:pStyle w:val="Heading1"/>
      </w:pPr>
      <w:r>
        <w:t>5 · Datenbasis und Integritätssicherung</w:t>
      </w:r>
    </w:p>
    <w:p>
      <w:pPr>
        <w:pStyle w:val="Heading2"/>
      </w:pPr>
      <w:r>
        <w:t>Live-Snapshot (Cockpit)</w:t>
      </w:r>
    </w:p>
    <w:p>
      <w:pPr>
        <w:spacing w:after="140"/>
      </w:pPr>
      <w:r>
        <w:rPr>
          <w:b/>
          <w:i w:val="0"/>
          <w:sz w:val="21"/>
        </w:rPr>
        <w:t>70 Parameter-Zeilen</w:t>
      </w:r>
      <w:r>
        <w:rPr>
          <w:b w:val="0"/>
          <w:i w:val="0"/>
          <w:sz w:val="21"/>
        </w:rPr>
        <w:t xml:space="preserve"> = 10 Banken × 7 IRB-Klassen zum einheitlichen Stichtag </w:t>
      </w:r>
      <w:r>
        <w:rPr>
          <w:b/>
          <w:i w:val="0"/>
          <w:sz w:val="21"/>
        </w:rPr>
        <w:t>31.12.2024</w:t>
      </w:r>
      <w:r>
        <w:rPr>
          <w:b w:val="0"/>
          <w:i w:val="0"/>
          <w:sz w:val="21"/>
        </w:rPr>
        <w:t>, jede Zeile direkt aus dem EU-CR6-Sub-total des jeweiligen Pillar-3-Reports mit Seiten- und URL-Beleg (Konfidenzklasse [published]). Santander-Sovereign läuft regulatorisch im Standardansatz und ist daher aus dem IRB-Kreditbuch ausgenommen.</w:t>
      </w:r>
    </w:p>
    <w:p>
      <w:pPr>
        <w:pStyle w:val="Heading2"/>
      </w:pPr>
      <w:r>
        <w:t>Historische Backtest-Reihe</w:t>
      </w:r>
    </w:p>
    <w:p>
      <w:pPr>
        <w:spacing w:after="140"/>
      </w:pPr>
      <w:r>
        <w:rPr>
          <w:b w:val="0"/>
          <w:i w:val="0"/>
          <w:sz w:val="21"/>
        </w:rPr>
        <w:t xml:space="preserve">Für die Validierung existiert eine eigene Roh-Reihe: </w:t>
      </w:r>
      <w:r>
        <w:rPr>
          <w:b/>
          <w:i w:val="0"/>
          <w:sz w:val="21"/>
        </w:rPr>
        <w:t>10 Banken × FY2021–FY2024, 255 quellenbelegte Datenpunkte</w:t>
      </w:r>
      <w:r>
        <w:rPr>
          <w:b w:val="0"/>
          <w:i w:val="0"/>
          <w:sz w:val="21"/>
        </w:rPr>
        <w:t xml:space="preserve"> (PD, LGD und EAD je Klasse aus derselben Report-Vintage). Das entspricht </w:t>
      </w:r>
      <w:r>
        <w:rPr>
          <w:b/>
          <w:i w:val="0"/>
          <w:sz w:val="21"/>
        </w:rPr>
        <w:t>99,6 % Abdeckung relativ zum bank-eigenen Meldeumfang</w:t>
      </w:r>
      <w:r>
        <w:rPr>
          <w:b w:val="0"/>
          <w:i w:val="0"/>
          <w:sz w:val="21"/>
        </w:rPr>
        <w:t xml:space="preserve"> (255 von 256 gemeldeten Zellen) - Klassen, die eine Bank gar nicht im A-IRB führt, zählen nicht als Lücke. Davon sind </w:t>
      </w:r>
      <w:r>
        <w:rPr>
          <w:b/>
          <w:i w:val="0"/>
          <w:sz w:val="21"/>
        </w:rPr>
        <w:t>253 Zeilen modellfähig</w:t>
      </w:r>
      <w:r>
        <w:rPr>
          <w:b w:val="0"/>
          <w:i w:val="0"/>
          <w:sz w:val="21"/>
        </w:rPr>
        <w:t>; zwei quellenbelegte Sonderfälle bleiben für Audit und Abdeckung sichtbar, werden aber wegen Quellen-/Perimeterproblemen nicht in die Modellrechnung eingespeist (`include_in_backtest = 0`). Die einzige verbleibende Quellgrenze ist Credit Mutuel Corporate 2021: kein Wert wird aus RWA oder Nachbarjahren abgeleitet.</w:t>
      </w:r>
    </w:p>
    <w:p>
      <w:pPr>
        <w:pStyle w:val="Heading2"/>
      </w:pPr>
      <w:r>
        <w:t>Vier Integritäts-Sicherungen je Datenpunkt</w:t>
      </w:r>
    </w:p>
    <w:p>
      <w:pPr>
        <w:pStyle w:val="ListBullet"/>
      </w:pPr>
      <w:r>
        <w:rPr>
          <w:b/>
          <w:sz w:val="21"/>
        </w:rPr>
        <w:t>Kalibrier-Anker:</w:t>
      </w:r>
      <w:r>
        <w:rPr>
          <w:b w:val="0"/>
          <w:sz w:val="21"/>
        </w:rPr>
        <w:t xml:space="preserve"> Jeder Extraktions-Parser muss zunächst alle hand-verifizierten 2024-Werte exakt reproduzieren, bevor Vorjahre gelesen werden.</w:t>
      </w:r>
    </w:p>
    <w:p>
      <w:pPr>
        <w:pStyle w:val="ListBullet"/>
      </w:pPr>
      <w:r>
        <w:rPr>
          <w:b/>
          <w:sz w:val="21"/>
        </w:rPr>
        <w:t>Dichte-Cross-Check:</w:t>
      </w:r>
      <w:r>
        <w:rPr>
          <w:b w:val="0"/>
          <w:sz w:val="21"/>
        </w:rPr>
        <w:t xml:space="preserve"> RWA ÷ EAD jeder Zeile muss die im Report ausgewiesene RWA-Dichte treffen.</w:t>
      </w:r>
    </w:p>
    <w:p>
      <w:pPr>
        <w:pStyle w:val="ListBullet"/>
      </w:pPr>
      <w:r>
        <w:rPr>
          <w:b/>
          <w:sz w:val="21"/>
        </w:rPr>
        <w:t>EAD-Kontinuität:</w:t>
      </w:r>
      <w:r>
        <w:rPr>
          <w:b w:val="0"/>
          <w:sz w:val="21"/>
        </w:rPr>
        <w:t xml:space="preserve"> Sprünge der Exposure-Reihe über die Jahre werden gegen den Report geprüft (echte Effekte wie IRB→SA-Umstellung werden dokumentiert, Ausreißer verworfen).</w:t>
      </w:r>
    </w:p>
    <w:p>
      <w:pPr>
        <w:pStyle w:val="ListBullet"/>
      </w:pPr>
      <w:r>
        <w:rPr>
          <w:b/>
          <w:sz w:val="21"/>
        </w:rPr>
        <w:t>Adversariale Quellprüfung:</w:t>
      </w:r>
      <w:r>
        <w:rPr>
          <w:b w:val="0"/>
          <w:sz w:val="21"/>
        </w:rPr>
        <w:t xml:space="preserve"> Ein unabhängiger Prüfdurchlauf je Bank gegen die Quell-PDFs (protokolliert in tools/pillar3_backfill/VERIFICATION_REPORT.json).</w:t>
      </w:r>
    </w:p>
    <w:p>
      <w:pPr>
        <w:pStyle w:val="Heading1"/>
      </w:pPr>
      <w:r>
        <w:t>6 · Annahmen-Inventar (A-01 bis A-10)</w:t>
      </w:r>
    </w:p>
    <w:p>
      <w:pPr>
        <w:spacing w:after="140"/>
      </w:pPr>
      <w:r>
        <w:rPr>
          <w:b w:val="0"/>
          <w:i w:val="0"/>
          <w:sz w:val="21"/>
        </w:rPr>
        <w:t xml:space="preserve">Jede Annahme trägt eine Konfidenzklasse: </w:t>
      </w:r>
      <w:r>
        <w:rPr>
          <w:b/>
          <w:i w:val="0"/>
          <w:sz w:val="21"/>
        </w:rPr>
        <w:t>[published]</w:t>
      </w:r>
      <w:r>
        <w:rPr>
          <w:b w:val="0"/>
          <w:i w:val="0"/>
          <w:sz w:val="21"/>
        </w:rPr>
        <w:t xml:space="preserve"> = veröffentlichte Messung · </w:t>
      </w:r>
      <w:r>
        <w:rPr>
          <w:b/>
          <w:i w:val="0"/>
          <w:sz w:val="21"/>
        </w:rPr>
        <w:t>[estimate]</w:t>
      </w:r>
      <w:r>
        <w:rPr>
          <w:b w:val="0"/>
          <w:i w:val="0"/>
          <w:sz w:val="21"/>
        </w:rPr>
        <w:t xml:space="preserve"> = belegte Schätzung · </w:t>
      </w:r>
      <w:r>
        <w:rPr>
          <w:b/>
          <w:i w:val="0"/>
          <w:sz w:val="21"/>
        </w:rPr>
        <w:t>[approximation]</w:t>
      </w:r>
      <w:r>
        <w:rPr>
          <w:b w:val="0"/>
          <w:i w:val="0"/>
          <w:sz w:val="21"/>
        </w:rPr>
        <w:t xml:space="preserve"> = strukturelle Vereinfachung · </w:t>
      </w:r>
      <w:r>
        <w:rPr>
          <w:b/>
          <w:i w:val="0"/>
          <w:sz w:val="21"/>
        </w:rPr>
        <w:t>[assumption]</w:t>
      </w:r>
      <w:r>
        <w:rPr>
          <w:b w:val="0"/>
          <w:i w:val="0"/>
          <w:sz w:val="21"/>
        </w:rPr>
        <w:t xml:space="preserve"> = gesetzte Konvention. Die Tabelle gibt den Überblick; darunter wird jede Annahme einzeln begründet — inklusive der verworfenen Alternative und der Wirkung einer Fehlspezifikation.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59"/>
            <w:shd w:val="clear" w:fill="D9E4EC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600"/>
            <w:shd w:val="clear" w:fill="D9E4EC"/>
          </w:tcPr>
          <w:p>
            <w:r/>
            <w:r>
              <w:rPr>
                <w:b/>
                <w:sz w:val="17"/>
              </w:rPr>
              <w:t>Annahme</w:t>
            </w:r>
          </w:p>
        </w:tc>
        <w:tc>
          <w:tcPr>
            <w:tcW w:type="dxa" w:w="3764"/>
            <w:shd w:val="clear" w:fill="D9E4EC"/>
          </w:tcPr>
          <w:p>
            <w:r/>
            <w:r>
              <w:rPr>
                <w:b/>
                <w:sz w:val="17"/>
              </w:rPr>
              <w:t>Festlegung im Modell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7"/>
              </w:rPr>
              <w:t>Quelle/Beleg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A-01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PD-Quelle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Pillar-3 EU-CR6-Sub-totals je Bank×Klasse, Stichtag 31.12.2024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EBA-ITS/2020/04; CRR Art. 431–455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LGD-Quelle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identisch A-01 (EU-CR6-LGD)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wie A-01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A-02c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Backtest-Zeitreihe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eigene Pillar-3-Roh-Reihe, 10 Banken × FY2021–2024 (255 Quellenzeilen, 253 modellfähig), strikt no-look-ahead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Bank-Pillar-3-Reports FY2021–2024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A-03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EAD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EBA-Transparency Item 2520522 (post-CCF)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 2025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A-04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Stress-Transmission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2-Faktor-β/γ je Klasse (Abschnitt 3); PD-Floor 3 bp, Cap 50 %; LGD-Floor 5 %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2025 §2.4.2; ECB WP 2897/3112; FSR 5/2024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A-05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Kapitalformel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Basel-III-IRB (Vasicek/ASRF), α = 99,9 %, Basel-ρ je Klasse, Laufzeit-Adjustment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BCBS 2017 §272–284; CRR Art. 153/154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A-06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Sovereign-Kanal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ΔMtM = −Duration·Δr·Exposure; CET1-wirksam nur FVOCI/FVTPL-Anteil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Tuckman/Serrat 2012; EBA-IFRS-9-Split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A-07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Trading Book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kein eigener Kanal (entfernt — kleine Handelsbücher, keine belastbare FRTB-Kalibrierung)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assumption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Änderungsprotokoll 06/2026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A-08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Universum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die 10 größten EU-IRB-Banken (einheitliche Datenqualität statt Vollabdeckung)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A-09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Klassen-Raster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7 IRB-Klassen (corporate, sme_corporate, mortgage, qrre, other_retail, bank, sovereign)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EU-CR6-Struktur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A-10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Faktor-Unabhängigkeit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ρ(ΔBrent, Δr_10y) = +0,07 → separate Modellierung ohne Kreuzterm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eigene Regression, 1 242 Handelstage</w:t>
            </w:r>
          </w:p>
        </w:tc>
      </w:tr>
    </w:tbl>
    <w:p>
      <w:pPr>
        <w:spacing w:after="80"/>
      </w:pPr>
    </w:p>
    <w:p>
      <w:pPr>
        <w:pStyle w:val="Heading2"/>
      </w:pPr>
      <w:r>
        <w:t>Die Annahmen im Detail</w:t>
      </w:r>
    </w:p>
    <w:p>
      <w:pPr>
        <w:pStyle w:val="Heading3"/>
      </w:pPr>
      <w:r>
        <w:t>A-01 · PD-Quelle: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Je Bank und Klasse die EAD-gewichtete Durchschnitts-PD aus dem EU-CR6-Sub-total — die regulatorische 1-Jahres-PD nach CRR Art. 180, inklusive des 100-%-Default-Bands.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die einzige öffentliche, bankindividuelle und geprüfte PD-Quelle mit identischer Definition über alle zehn Banken.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PD-Ableitung aus EBA-Transparency-Ausfallquoten (vermischt Bestands- und Flussgrößen, keine 1-Jahres-PD) sowie Rating-Agentur-PDs (nicht je Bank × Klasse verfügbar).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Das PD-Niveau skaliert den erwarteten Verlust nahezu proportional, die Kapitalanforderung unterproportional — eine Niveauverzerrung verschiebt also Ergebnisse, kippt aber keine Richtungsaussage.</w:t>
      </w:r>
    </w:p>
    <w:p>
      <w:pPr>
        <w:pStyle w:val="Heading3"/>
      </w:pPr>
      <w:r>
        <w:t>A-02 · LGD-Quelle: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EAD-gewichtete Durchschnitts-LGD aus derselben EU-CR6-Tabelle wie A-01.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Bankintern geschätzte A-IRB-LGD spiegeln die tatsächliche Besicherung des Portfolios wider.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die pauschale F-IRB-Aufsichts-LGD von 45 % — sie würde besicherte Portfolien (v. a. Hypotheken) massiv überzeichnen.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LGD wirkt linear auf erwarteten Verlust und fast linear auf die Kapitalanforderung — der direkteste Hebel unter den Parametern.</w:t>
      </w:r>
    </w:p>
    <w:p>
      <w:pPr>
        <w:pStyle w:val="Heading3"/>
      </w:pPr>
      <w:r>
        <w:t>A-02c · Backtest-Zeitreihe (nur Pillar-3, no-look-ahead)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Eigene Roh-Reihe über 10 Banken × FY2021–FY2024 (255 quellenbelegte Zeilen, davon 253 modellfähig); ein Quartal im Jahr Y nutzt ausschließlich den Stichtag 31.12.(Y−1) — den jüngsten, der damals publiziert war.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so ist die Validierung echt out-of-sample.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den 2024-Snapshot rückwirkend anzuwenden (Look-ahead-Verzerrung) oder zwischen Stichtagen zu interpolieren (nicht quellengestützt).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Mit Look-ahead wäre jedes Backtest-Ergebnis systematisch geschönt und wertlos.</w:t>
      </w:r>
    </w:p>
    <w:p>
      <w:pPr>
        <w:pStyle w:val="Heading3"/>
      </w:pPr>
      <w:r>
        <w:t>A-03 · EAD: EBA Transparency, post-CCF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Exposure at Default je Klasse nach Kreditumrechnungsfaktoren (post-CCF; EBA-Item 2520522).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Post-CCF ist exakt die Bezugsgröße der IRB-Formel.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Original Exposure — überzeichnet nicht gezogene Kreditlinien.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EAD wirkt als Portfoliogewicht linear auf Volumeneffekte, verzerrt aber die Quoten-Richtung nicht.</w:t>
      </w:r>
    </w:p>
    <w:p>
      <w:pPr>
        <w:pStyle w:val="Heading3"/>
      </w:pPr>
      <w:r>
        <w:t>A-04 · 2-Faktor-Transmission (β/γ je Klasse)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Lineare Übersetzung der Schocks in ΔPD/ΔLGD über die Matrix aus Abschnitt 3, mit begründeten Unter-/Obergrenzen.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EBA-Stresstest-Methodik sieht sektorale Sensitivitäten explizit vor; die lineare Form ist transparent, prüfbar und per Regler übersteuerbar.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Ein-Faktor-Aggregat (verliert die Sektor-Differenzierung und überzeichnete in Tests die Magnitude) sowie bankindividuell geschätzte Ökonometrie (Datenlage öffentlich nicht ausreichend).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β sind der größte Unsicherheitsträger des Modells — deshalb Konfidenzklasse [estimate] und Sichtbarkeit als eigene Matrix; ein Fehler skaliert die Stress-Wirkung in etwa proportional.</w:t>
      </w:r>
    </w:p>
    <w:p>
      <w:pPr>
        <w:pStyle w:val="Heading3"/>
      </w:pPr>
      <w:r>
        <w:t>A-05 · IRB-Kapitalformel (Basel III / ASRF)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Die unveränderte regulatorische Formel mit α = 99,9 %, Basel-Asset-Korrelationen je Klasse und Laufzeit-Adjustment.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der regulatorische Standard macht Modell-Output und gemeldete RWA vergleichbar.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interne Portfoliomodelle (z. B. Migrationsmatrizen) — nicht gegen die CET1-Meldung abgleichbar.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Formel selbst ist fixiert; das Modellrisiko liegt vollständig in den Inputs (A-01 bis A-04).</w:t>
      </w:r>
    </w:p>
    <w:p>
      <w:pPr>
        <w:pStyle w:val="Heading3"/>
      </w:pPr>
      <w:r>
        <w:t>A-06 · Sovereign-Kanal (Duration-MtM, IFRS-9-Split)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ΔMtM = −Duration · Δr · Exposure; CET1-wirksam nur der FVOCI/FVTPL-Anteil je Bank.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Das folgt der IFRS-9-Bewertungslogik — zu fortgeführten Anschaffungskosten (AC) gehaltene Bestände berühren die CET1-Quote laufend nicht.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volle Marktbewertung aller Bestände (überzeichnet) oder Verzicht auf den Kanal (unterschlägt das Zinsrisiko).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Latente AC-Verluste bleiben unsichtbar — eine bewusste Untererfassung, die das Cockpit als separate Analyse ausweist (SVB-Lektion, Jiang et al. 2023).</w:t>
      </w:r>
    </w:p>
    <w:p>
      <w:pPr>
        <w:pStyle w:val="Heading3"/>
      </w:pPr>
      <w:r>
        <w:t>A-07 · Kein Trading-Book-Kanal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Das Handelsbuch ist kein eigener Stress-Kanal.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Handelsbücher der zehn Banken sind relativ klein, und eine belastbare öffentliche FRTB-Kalibrierung existiert nicht — ein pauschaler Multiplikator wäre Scheingenauigkeit.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Kanal mit angenommenem Marktrisiko-Multiplikator (frühere Version, entfernt).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Für Banken mit größerem Handelsbuch wird der Stress tendenziell unterschätzt — als Scope-Grenze dokumentiert (Abschnitt 8).</w:t>
      </w:r>
    </w:p>
    <w:p>
      <w:pPr>
        <w:pStyle w:val="Heading3"/>
      </w:pPr>
      <w:r>
        <w:t>A-08 · Universum: die 10 größten EU-IRB-Banken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Genau zehn Institute, ausgewählt nach Größe und A-IRB-Offenlegungsqualität.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Einheitliche, vollständige Pillar-3-Daten schlagen eine breite, aber heterogene Abdeckung.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alle ~67 IRB-Banken der Transparency (uneinheitliche Offenlegung, Konzern-/Tochter-Doppelzählungen).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Aussagen gelten für diese Gruppe — nicht für den gesamten EU-Bankenmarkt.</w:t>
      </w:r>
    </w:p>
    <w:p>
      <w:pPr>
        <w:pStyle w:val="Heading3"/>
      </w:pPr>
      <w:r>
        <w:t>A-09 · Klassen-Raster: 7 IRB-Klassen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corporate, sme_corporate, mortgage, qrre, other_retail, bank, sovereign — das EU-CR6-Raster.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der kleinste gemeinsame Nenner, den alle zehn Banken identisch offenlegen.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feinere Branchenraster (NACE) — öffentlich nicht flächendeckend verfügbar.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Heterogenität innerhalb einer Klasse wird auf den gewichteten Durchschnitt gemittelt.</w:t>
      </w:r>
    </w:p>
    <w:p>
      <w:pPr>
        <w:pStyle w:val="Heading3"/>
      </w:pPr>
      <w:r>
        <w:t>A-10 · Faktor-Unabhängigkeit (kein Kreuzterm)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Öl- und Zinsschock wirken additiv, ohne Interaktionsterm.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Empirisch sind die Faktoren nahezu unkorreliert (ρ = +0,07 über 1 242 Handelstage).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Copula- oder Interaktionsmodelle — ohne empirischen Träger nur zusätzliche Komplexität.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Bei gleichzeitigen Extremschocks entstünde ein Effekt zweiter Ordnung; im beobachteten Wertebereich ist er vernachlässigbar.</w:t>
      </w:r>
    </w:p>
    <w:p>
      <w:pPr>
        <w:pStyle w:val="Heading1"/>
      </w:pPr>
      <w:r>
        <w:t>7 · Validierung: der CET1-Walk-Forward-Backtest</w:t>
      </w:r>
    </w:p>
    <w:p>
      <w:pPr>
        <w:spacing w:after="140"/>
      </w:pPr>
      <w:r>
        <w:rPr>
          <w:b w:val="0"/>
          <w:i w:val="0"/>
          <w:sz w:val="21"/>
        </w:rPr>
        <w:t xml:space="preserve">Das Modell wird nicht an dem Datenstand geprüft, mit dem es gebaut wurde, sondern </w:t>
      </w:r>
      <w:r>
        <w:rPr>
          <w:b/>
          <w:i w:val="0"/>
          <w:sz w:val="21"/>
        </w:rPr>
        <w:t>rollierend durch die Vergangenheit</w:t>
      </w:r>
      <w:r>
        <w:rPr>
          <w:b w:val="0"/>
          <w:i w:val="0"/>
          <w:sz w:val="21"/>
        </w:rPr>
        <w:t>: Für jedes Jahr wird das Portfolio mit den damals bekannten Pillar-3-Parametern des Vorjahres eingefroren, der tatsächlich eingetretene Öl-/Zins-Schock des Jahres eingespeist und die prognostizierte CET1-Quote mit der später gemeldeten verglichen — ohne jeden Blick in die Zukunft.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10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alkforw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10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4 · No-Look-Ahead-Prinzip: einfrieren (31.12. des Vorjahres) → realen Schock einspeisen → gegen die gemeldete CET1-Quote halten → ein Jahr weiterrollen.</w:t>
      </w:r>
    </w:p>
    <w:p>
      <w:pPr>
        <w:pStyle w:val="Heading2"/>
      </w:pPr>
      <w:r>
        <w:t>Ergebnis (30 Bank-Jahre, 2022–2024 — vollständiges Panel)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23"/>
            <w:shd w:val="clear" w:fill="D9E4EC"/>
          </w:tcPr>
          <w:p>
            <w:r/>
            <w:r>
              <w:rPr>
                <w:b/>
                <w:sz w:val="18"/>
              </w:rPr>
              <w:t>Kennzahl</w:t>
            </w:r>
          </w:p>
        </w:tc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8"/>
              </w:rPr>
              <w:t>Wert</w:t>
            </w:r>
          </w:p>
        </w:tc>
        <w:tc>
          <w:tcPr>
            <w:tcW w:type="dxa" w:w="5270"/>
            <w:shd w:val="clear" w:fill="D9E4EC"/>
          </w:tcPr>
          <w:p>
            <w:r/>
            <w:r>
              <w:rPr>
                <w:b/>
                <w:sz w:val="18"/>
              </w:rPr>
              <w:t>Bedeutung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MAE (mittlerer absoluter Fehler)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≈ 1,3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Ø-Abstand Prognose ↔ gemeldete CET1-Quote; auf ~15 %-Niveau ≈ 9 % relativer Abstand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Treffer ≤ 1 pp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60 %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Anteil der Bank-Jahre mit höchstens 1 Prozentpunkt Abweichung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Konservativ-Anteil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73 %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Prognose ≤ gemeldete Quote — das Modell irrt auf der sicheren Seite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Bias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−1,0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systematisch vorsichtig (gewollt: kein NII-Gegeneffekt angesetzt)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  <w:sz w:val="19"/>
        </w:rPr>
        <w:t>Alle 10 Banken sind in allen drei Backtest-Jahren vertreten (30 von 30 möglichen Bank-Jahren). Im Zinsschock-Jahr 2022 liegt das Modell bei allen 10 Banken auf der konservativen Seite (Ø −2,5 pp — der bewusst nicht angesetzte NII-Gegeneffekt); in den ruhigeren Jahren 2023/2024 beträgt der mittlere Fehler nur 0,5 bzw. 0,8 pp.</w:t>
      </w:r>
    </w:p>
    <w:p>
      <w:pPr>
        <w:pStyle w:val="Heading2"/>
      </w:pPr>
      <w:r>
        <w:t>Ehrliche Grenze: Point-in-Time vs. Through-the-Cycle</w:t>
      </w:r>
    </w:p>
    <w:p>
      <w:pPr>
        <w:spacing w:after="140"/>
      </w:pPr>
      <w:r>
        <w:rPr>
          <w:b w:val="0"/>
          <w:i w:val="0"/>
          <w:sz w:val="21"/>
        </w:rPr>
        <w:t xml:space="preserve">Die einzelnen Melde-Kanäle (PD, Kredit-RWA) sind </w:t>
      </w:r>
      <w:r>
        <w:rPr>
          <w:b/>
          <w:i w:val="0"/>
          <w:sz w:val="21"/>
        </w:rPr>
        <w:t>nicht punktprognostizierbar</w:t>
      </w:r>
      <w:r>
        <w:rPr>
          <w:b w:val="0"/>
          <w:i w:val="0"/>
          <w:sz w:val="21"/>
        </w:rPr>
        <w:t xml:space="preserve"> — und zwar aus einem dokumentierten Daten-Grund, nicht wegen eines Modellfehlers: Das Modell rechnet </w:t>
      </w:r>
      <w:r>
        <w:rPr>
          <w:b/>
          <w:i w:val="0"/>
          <w:sz w:val="21"/>
        </w:rPr>
        <w:t>Point-in-Time</w:t>
      </w:r>
      <w:r>
        <w:rPr>
          <w:b w:val="0"/>
          <w:i w:val="0"/>
          <w:sz w:val="21"/>
        </w:rPr>
        <w:t xml:space="preserve"> (sofortige Schockreaktion), die gemeldeten A-IRB-Parameter sind </w:t>
      </w:r>
      <w:r>
        <w:rPr>
          <w:b/>
          <w:i w:val="0"/>
          <w:sz w:val="21"/>
        </w:rPr>
        <w:t>Through-the-Cycle</w:t>
      </w:r>
      <w:r>
        <w:rPr>
          <w:b w:val="0"/>
          <w:i w:val="0"/>
          <w:sz w:val="21"/>
        </w:rPr>
        <w:t xml:space="preserve"> — regulatorisch geglättet und antizyklisch (CRR Art. 180) sowie durch Portfoliosteuerung überlagert. Beleg 2022: Zins +2,8 pp → Modell-PD +0,5 pp, gemeldete PD −0,2 pp. Validiert ist das Modell deshalb als </w:t>
      </w:r>
      <w:r>
        <w:rPr>
          <w:b/>
          <w:i w:val="0"/>
          <w:sz w:val="21"/>
        </w:rPr>
        <w:t>konservatives Solvenz-/Frühwarn-Instrument</w:t>
      </w:r>
      <w:r>
        <w:rPr>
          <w:b w:val="0"/>
          <w:i w:val="0"/>
          <w:sz w:val="21"/>
        </w:rPr>
        <w:t xml:space="preserve"> (im CET1-Niveau nah und auf der sicheren Seite) — nicht als Prognose einzelner Meldegrößen.</w:t>
      </w:r>
    </w:p>
    <w:p>
      <w:pPr>
        <w:pStyle w:val="Heading1"/>
      </w:pPr>
      <w:r>
        <w:t>8 · Bewusste Scope-Grenzen</w:t>
      </w:r>
    </w:p>
    <w:p>
      <w:pPr>
        <w:pStyle w:val="ListBullet"/>
      </w:pPr>
      <w:r>
        <w:rPr>
          <w:b/>
          <w:sz w:val="21"/>
        </w:rPr>
        <w:t>Operational Risk</w:t>
      </w:r>
      <w:r>
        <w:rPr>
          <w:b w:val="0"/>
          <w:sz w:val="21"/>
        </w:rPr>
        <w:t xml:space="preserve"> bleibt unter Stress konstant.</w:t>
      </w:r>
    </w:p>
    <w:p>
      <w:pPr>
        <w:pStyle w:val="ListBullet"/>
      </w:pPr>
      <w:r>
        <w:rPr>
          <w:b/>
          <w:sz w:val="21"/>
        </w:rPr>
        <w:t>CVA / Kontrahentenrisiko</w:t>
      </w:r>
      <w:r>
        <w:rPr>
          <w:b w:val="0"/>
          <w:sz w:val="21"/>
        </w:rPr>
        <w:t xml:space="preserve"> nicht im Szenario.</w:t>
      </w:r>
    </w:p>
    <w:p>
      <w:pPr>
        <w:pStyle w:val="ListBullet"/>
      </w:pPr>
      <w:r>
        <w:rPr>
          <w:b/>
          <w:sz w:val="21"/>
        </w:rPr>
        <w:t>Sovereign-Spread-Risiko</w:t>
      </w:r>
      <w:r>
        <w:rPr>
          <w:b w:val="0"/>
          <w:sz w:val="21"/>
        </w:rPr>
        <w:t xml:space="preserve"> (z. B. Italien vs. Bund) nicht modelliert — nur der Niveauzins wirkt.</w:t>
      </w:r>
    </w:p>
    <w:p>
      <w:pPr>
        <w:pStyle w:val="ListBullet"/>
      </w:pPr>
      <w:r>
        <w:rPr>
          <w:b/>
          <w:sz w:val="21"/>
        </w:rPr>
        <w:t>IFRS-9-Lifetime-EL</w:t>
      </w:r>
      <w:r>
        <w:rPr>
          <w:b w:val="0"/>
          <w:sz w:val="21"/>
        </w:rPr>
        <w:t xml:space="preserve"> (Stage-2-Migration) außerhalb des Scopes; 1-Jahres-Horizont.</w:t>
      </w:r>
    </w:p>
    <w:p>
      <w:pPr>
        <w:pStyle w:val="ListBullet"/>
      </w:pPr>
      <w:r>
        <w:rPr>
          <w:b/>
          <w:sz w:val="21"/>
        </w:rPr>
        <w:t>Mehrjahres-Stresspfade</w:t>
      </w:r>
      <w:r>
        <w:rPr>
          <w:b w:val="0"/>
          <w:sz w:val="21"/>
        </w:rPr>
        <w:t xml:space="preserve"> (3-Jahres-EBA-Logik) nicht abgebildet.</w:t>
      </w:r>
    </w:p>
    <w:p>
      <w:pPr>
        <w:pStyle w:val="ListBullet"/>
      </w:pPr>
      <w:r>
        <w:rPr>
          <w:b/>
          <w:sz w:val="21"/>
        </w:rPr>
        <w:t>Hedging</w:t>
      </w:r>
      <w:r>
        <w:rPr>
          <w:b w:val="0"/>
          <w:sz w:val="21"/>
        </w:rPr>
        <w:t xml:space="preserve"> (Swaps, CDS) aus Offenlegungen nicht rekonstruierbar.</w:t>
      </w:r>
    </w:p>
    <w:p>
      <w:pPr>
        <w:pStyle w:val="ListBullet"/>
      </w:pPr>
      <w:r>
        <w:rPr>
          <w:b/>
          <w:sz w:val="21"/>
        </w:rPr>
        <w:t>Ertrags-Gegeneffekte</w:t>
      </w:r>
      <w:r>
        <w:rPr>
          <w:b w:val="0"/>
          <w:sz w:val="21"/>
        </w:rPr>
        <w:t xml:space="preserve"> (NII, Gebühren) bewusst nicht angesetzt — Ergebnis ist eine konservative Untergrenze der CET1-Quote.</w:t>
      </w:r>
    </w:p>
    <w:p>
      <w:pPr>
        <w:pStyle w:val="ListBullet"/>
      </w:pPr>
      <w:r>
        <w:rPr>
          <w:b/>
          <w:sz w:val="21"/>
        </w:rPr>
        <w:t>Bank-individuelle β</w:t>
      </w:r>
      <w:r>
        <w:rPr>
          <w:b w:val="0"/>
          <w:sz w:val="21"/>
        </w:rPr>
        <w:t xml:space="preserve"> — alle Banken teilen die Klassen-β; die Differenzierung kommt aus dem realen Portfolio-Mix je Bank.</w:t>
      </w:r>
    </w:p>
    <w:p>
      <w:pPr>
        <w:spacing w:after="140"/>
      </w:pPr>
      <w:r>
        <w:rPr>
          <w:b w:val="0"/>
          <w:i/>
          <w:sz w:val="19"/>
        </w:rPr>
        <w:t xml:space="preserve">Verwendungs-Scope: ICAAP-Validierungs-Übung und Lehre/Demonstration. </w:t>
      </w:r>
      <w:r>
        <w:rPr>
          <w:b/>
          <w:i/>
          <w:sz w:val="19"/>
        </w:rPr>
        <w:t>Keine Anlageempfehlung</w:t>
      </w:r>
      <w:r>
        <w:rPr>
          <w:b w:val="0"/>
          <w:i/>
          <w:sz w:val="19"/>
        </w:rPr>
        <w:t>; Modell-Output ist eine konservative Szenario-Schätzung, keine bank-individuelle Punktprognose.</w:t>
      </w:r>
    </w:p>
    <w:p>
      <w:pPr>
        <w:pStyle w:val="Heading1"/>
      </w:pPr>
      <w:r>
        <w:t>9 · Bibliographie</w:t>
      </w:r>
    </w:p>
    <w:p>
      <w:pPr>
        <w:spacing w:after="140"/>
      </w:pPr>
      <w:r>
        <w:rPr>
          <w:b w:val="0"/>
          <w:i w:val="0"/>
          <w:sz w:val="21"/>
        </w:rPr>
        <w:t>Vollständige Liste aller im Modell verwendeten Quellen — gegliedert nach Regulatorik, wissenschaftlicher Literatur und Datenquellen. Jede Quelle ist an der Stelle ihrer Verwendung im Dokument bzw. im Modell-Code referenziert.</w:t>
      </w:r>
    </w:p>
    <w:p>
      <w:pPr>
        <w:pStyle w:val="Heading2"/>
      </w:pPr>
      <w:r>
        <w:t>Regulatorische Quellen</w:t>
      </w:r>
    </w:p>
    <w:p>
      <w:pPr>
        <w:pStyle w:val="ListBullet"/>
      </w:pPr>
      <w:r>
        <w:rPr>
          <w:b w:val="0"/>
          <w:sz w:val="21"/>
        </w:rPr>
        <w:t>BCBS (2017). Basel III: Finalising post-crisis reforms. Basel Committee on Banking Supervision, §272–284 (IRB-Kapitalformel, Asset-Korrelationen).</w:t>
      </w:r>
    </w:p>
    <w:p>
      <w:pPr>
        <w:pStyle w:val="ListBullet"/>
      </w:pPr>
      <w:r>
        <w:rPr>
          <w:b w:val="0"/>
          <w:sz w:val="21"/>
        </w:rPr>
        <w:t>Board of Governors / OCC (2011). SR 11-7: Supervisory Guidance on Model Risk Management (Outcomes-Analysis des Backtests).</w:t>
      </w:r>
    </w:p>
    <w:p>
      <w:pPr>
        <w:pStyle w:val="ListBullet"/>
      </w:pPr>
      <w:r>
        <w:rPr>
          <w:b w:val="0"/>
          <w:sz w:val="21"/>
        </w:rPr>
        <w:t>EBA (2020). ITS/2020/04 — Implementing Technical Standards on public disclosures (EU-CR6-Template, Pillar-3-Datenbasis).</w:t>
      </w:r>
    </w:p>
    <w:p>
      <w:pPr>
        <w:pStyle w:val="ListBullet"/>
      </w:pPr>
      <w:r>
        <w:rPr>
          <w:b w:val="0"/>
          <w:sz w:val="21"/>
        </w:rPr>
        <w:t>EBA (2024). 2025 EU-wide Stress Test — Methodological Note, §2.4.2 (sektorale Sensitivitäten als aufsichtlicher Projektionsansatz).</w:t>
      </w:r>
    </w:p>
    <w:p>
      <w:pPr>
        <w:pStyle w:val="ListBullet"/>
      </w:pPr>
      <w:r>
        <w:rPr>
          <w:b w:val="0"/>
          <w:sz w:val="21"/>
        </w:rPr>
        <w:t>EBA/ESRB (2025). 2025 EU-wide Stress Test — Macro-financial Scenario, §4.1.6 (adverse Zinspfade als Plausibilitätsanker).</w:t>
      </w:r>
    </w:p>
    <w:p>
      <w:pPr>
        <w:pStyle w:val="ListBullet"/>
      </w:pPr>
      <w:r>
        <w:rPr>
          <w:b w:val="0"/>
          <w:sz w:val="21"/>
        </w:rPr>
        <w:t>EBA (2025). 2025 EU-wide Stress Test — Results, Fig. 22 (relative Verlustquoten je Portfolio als Quervalidierung der β-Struktur).</w:t>
      </w:r>
    </w:p>
    <w:p>
      <w:pPr>
        <w:pStyle w:val="ListBullet"/>
      </w:pPr>
      <w:r>
        <w:rPr>
          <w:b w:val="0"/>
          <w:sz w:val="21"/>
        </w:rPr>
        <w:t>EBA (2025). Report on the 2024 Credit Risk Benchmarking Exercise (PD-/LGD-Niveaus je IRB-Klasse).</w:t>
      </w:r>
    </w:p>
    <w:p>
      <w:pPr>
        <w:pStyle w:val="ListBullet"/>
      </w:pPr>
      <w:r>
        <w:rPr>
          <w:b w:val="0"/>
          <w:sz w:val="21"/>
        </w:rPr>
        <w:t>EBA GL 2014/14. Guidelines on ICAAP/Stress-Testing (Governance-Rahmen).</w:t>
      </w:r>
    </w:p>
    <w:p>
      <w:pPr>
        <w:pStyle w:val="ListBullet"/>
      </w:pPr>
      <w:r>
        <w:rPr>
          <w:b w:val="0"/>
          <w:sz w:val="21"/>
        </w:rPr>
        <w:t>Verordnung (EU) Nr. 575/2013 (CRR) — insb. Art. 153/154 (IRB-Risikogewichte), Art. 180/181 (PD-/LGD-Schätzung, TTC-Charakter), Art. 431–455 (Offenlegung).</w:t>
      </w:r>
    </w:p>
    <w:p>
      <w:pPr>
        <w:pStyle w:val="Heading2"/>
      </w:pPr>
      <w:r>
        <w:t>Wissenschaftliche Literatur</w:t>
      </w:r>
    </w:p>
    <w:p>
      <w:pPr>
        <w:pStyle w:val="ListBullet"/>
      </w:pPr>
      <w:r>
        <w:rPr>
          <w:b w:val="0"/>
          <w:sz w:val="21"/>
        </w:rPr>
        <w:t>Acharya, V., Drechsler, I. &amp; Schnabl, P. (2014). A Pyrrhic Victory? Bank Bailouts and Sovereign Credit Risk. Journal of Finance (Staaten-Banken-Verflechtung, Marktbuch-Analyse).</w:t>
      </w:r>
    </w:p>
    <w:p>
      <w:pPr>
        <w:pStyle w:val="ListBullet"/>
      </w:pPr>
      <w:r>
        <w:rPr>
          <w:b w:val="0"/>
          <w:sz w:val="21"/>
        </w:rPr>
        <w:t>Bandoni, E., Fourné, M. &amp; Jarmulska, B. (2025). Mortgage loan rates and the defaults of variable rate mortgages. ECB Working Paper 3112 (Zins-Sensitivität der Hypotheken-PD).</w:t>
      </w:r>
    </w:p>
    <w:p>
      <w:pPr>
        <w:pStyle w:val="ListBullet"/>
      </w:pPr>
      <w:r>
        <w:rPr>
          <w:b w:val="0"/>
          <w:sz w:val="21"/>
        </w:rPr>
        <w:t>Brunnermeier, M. et al. (2016). The Sovereign-Bank Diabolic Loop and ESBies. American Economic Review P&amp;P (Doom-Loop, Marktbuch-Analyse).</w:t>
      </w:r>
    </w:p>
    <w:p>
      <w:pPr>
        <w:pStyle w:val="ListBullet"/>
      </w:pPr>
      <w:r>
        <w:rPr>
          <w:b w:val="0"/>
          <w:sz w:val="21"/>
        </w:rPr>
        <w:t>Gordy, M. (2003). A Risk-Factor Model Foundation for Ratings-Based Bank Capital Rules. Journal of Financial Intermediation (ASRF-Fundierung).</w:t>
      </w:r>
    </w:p>
    <w:p>
      <w:pPr>
        <w:pStyle w:val="ListBullet"/>
      </w:pPr>
      <w:r>
        <w:rPr>
          <w:b w:val="0"/>
          <w:sz w:val="21"/>
        </w:rPr>
        <w:t>Hyndman, R. J. &amp; Athanasopoulos, G. (2021). Forecasting: Principles and Practice, 3. Aufl., Kap. 5.8 (Prognose-Evaluation, MAE).</w:t>
      </w:r>
    </w:p>
    <w:p>
      <w:pPr>
        <w:pStyle w:val="ListBullet"/>
      </w:pPr>
      <w:r>
        <w:rPr>
          <w:b w:val="0"/>
          <w:sz w:val="21"/>
        </w:rPr>
        <w:t>Jiang, E., Matvos, G., Piskorski, T. &amp; Seru, A. (2023). Monetary Tightening and U.S. Bank Fragility. NBER Working Paper 31048 (latente Bewertungsverluste, Marktbuch-Analyse).</w:t>
      </w:r>
    </w:p>
    <w:p>
      <w:pPr>
        <w:pStyle w:val="ListBullet"/>
      </w:pPr>
      <w:r>
        <w:rPr>
          <w:b w:val="0"/>
          <w:sz w:val="21"/>
        </w:rPr>
        <w:t>Konietschke, P., Metzler, J. &amp; Ponte Marques, A. (2026). A quantile probability model for sectoral corporate defaults in Europe. ECB Working Paper 3207 (Sektor-Heterogenität der Unternehmens-PD).</w:t>
      </w:r>
    </w:p>
    <w:p>
      <w:pPr>
        <w:pStyle w:val="ListBullet"/>
      </w:pPr>
      <w:r>
        <w:rPr>
          <w:b w:val="0"/>
          <w:sz w:val="21"/>
        </w:rPr>
        <w:t>Lo Duca, M., Moccero, D. &amp; Parlapiano, F. (2024). The impact of macroeconomic and monetary policy shocks on credit risk in the euro area corporate sector. ECB Working Paper 2897 (Corporate-/KMU-β).</w:t>
      </w:r>
    </w:p>
    <w:p>
      <w:pPr>
        <w:pStyle w:val="ListBullet"/>
      </w:pPr>
      <w:r>
        <w:rPr>
          <w:b w:val="0"/>
          <w:sz w:val="21"/>
        </w:rPr>
        <w:t>Nelson, C. &amp; Siegel, A. (1987). Parsimonious Modeling of Yield Curves. Journal of Business (Zinsstrukturmodell).</w:t>
      </w:r>
    </w:p>
    <w:p>
      <w:pPr>
        <w:pStyle w:val="ListBullet"/>
      </w:pPr>
      <w:r>
        <w:rPr>
          <w:b w:val="0"/>
          <w:sz w:val="21"/>
        </w:rPr>
        <w:t>Pesaran, M. H. &amp; Timmermann, A. (1992). A Simple Nonparametric Test of Predictive Performance. Journal of Business &amp; Economic Statistics (Richtungs-Trefferquote).</w:t>
      </w:r>
    </w:p>
    <w:p>
      <w:pPr>
        <w:pStyle w:val="ListBullet"/>
      </w:pPr>
      <w:r>
        <w:rPr>
          <w:b w:val="0"/>
          <w:sz w:val="21"/>
        </w:rPr>
        <w:t>Svensson, L. (1994). Estimating and Interpreting Forward Interest Rates: Sweden 1992–1994. NBER Working Paper 4871 (Zinsstrukturmodell der Bundesbank-Parameter).</w:t>
      </w:r>
    </w:p>
    <w:p>
      <w:pPr>
        <w:pStyle w:val="ListBullet"/>
      </w:pPr>
      <w:r>
        <w:rPr>
          <w:b w:val="0"/>
          <w:sz w:val="21"/>
        </w:rPr>
        <w:t>Tuckman, B. &amp; Serrat, A. (2012). Fixed Income Securities, 3. Aufl. (Modified Duration, Sovereign-Kanal).</w:t>
      </w:r>
    </w:p>
    <w:p>
      <w:pPr>
        <w:pStyle w:val="ListBullet"/>
      </w:pPr>
      <w:r>
        <w:rPr>
          <w:b w:val="0"/>
          <w:sz w:val="21"/>
        </w:rPr>
        <w:t>Vasicek, O. (1991). Limiting Loan Loss Probability Distribution. KMV Working Paper (Portfolio-Verlustverteilung).</w:t>
      </w:r>
    </w:p>
    <w:p>
      <w:pPr>
        <w:pStyle w:val="ListBullet"/>
      </w:pPr>
      <w:r>
        <w:rPr>
          <w:b w:val="0"/>
          <w:sz w:val="21"/>
        </w:rPr>
        <w:t>Vasicek, O. (2002). Loan Portfolio Value. Risk Magazine, Dezember (geschlossene Form der IRB-Formel).</w:t>
      </w:r>
    </w:p>
    <w:p>
      <w:pPr>
        <w:pStyle w:val="ListBullet"/>
      </w:pPr>
      <w:r>
        <w:rPr>
          <w:b w:val="0"/>
          <w:sz w:val="21"/>
        </w:rPr>
        <w:t>ECB (2024). Financial Stability Review, Mai 2024 (Energie-/Lebenshaltungskosten-Wirkung auf Haushalte; Retail-β).</w:t>
      </w:r>
    </w:p>
    <w:p>
      <w:pPr>
        <w:pStyle w:val="Heading2"/>
      </w:pPr>
      <w:r>
        <w:t>Datenquellen</w:t>
      </w:r>
    </w:p>
    <w:p>
      <w:pPr>
        <w:pStyle w:val="ListBullet"/>
      </w:pPr>
      <w:r>
        <w:rPr>
          <w:b w:val="0"/>
          <w:sz w:val="21"/>
        </w:rPr>
        <w:t>Pillar-3-Berichte (EU CR6) der zehn Banken, FY2021–FY2024 — Risikoparameter PD/LGD/EAD (je Zeile mit Seiten-/URL-Beleg).</w:t>
      </w:r>
    </w:p>
    <w:p>
      <w:pPr>
        <w:pStyle w:val="ListBullet"/>
      </w:pPr>
      <w:r>
        <w:rPr>
          <w:b w:val="0"/>
          <w:sz w:val="21"/>
        </w:rPr>
        <w:t>EBA EU-wide Transparency Exercise (Vintages 2020–2025) — realisierte CET1- und RWA-Werte, IFRS-9-Split der Staatsanleihen.</w:t>
      </w:r>
    </w:p>
    <w:p>
      <w:pPr>
        <w:pStyle w:val="ListBullet"/>
      </w:pPr>
      <w:r>
        <w:rPr>
          <w:b w:val="0"/>
          <w:sz w:val="21"/>
        </w:rPr>
        <w:t>ICE Brent Crude (täglich) — Ölpreis-Faktor.</w:t>
      </w:r>
    </w:p>
    <w:p>
      <w:pPr>
        <w:pStyle w:val="ListBullet"/>
      </w:pPr>
      <w:r>
        <w:rPr>
          <w:b w:val="0"/>
          <w:sz w:val="21"/>
        </w:rPr>
        <w:t>Deutsche Bundesbank — täglich geschätzte Svensson-Parameter der Zinsstrukturkurve (10-Jahres-Zins-Faktor).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6"/>
      </w:rPr>
      <w:t xml:space="preserve">Modellannahmen · EU Banking Credit Stress Cockpit · Seite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34B6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