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Backtesting-Konzept · Walk-Forward</w:t>
      </w:r>
    </w:p>
    <w:p>
      <w:r>
        <w:rPr>
          <w:b/>
        </w:rPr>
        <w:t>EU Banking Credit Stress Cockpit</w:t>
      </w:r>
    </w:p>
    <w:p>
      <w:pPr>
        <w:spacing w:after="280"/>
      </w:pPr>
      <w:r>
        <w:t>Adaption des klassischen Walk-Forward-Ansatzes auf Vasicek/ASRF + EBA Transparency 2025</w:t>
      </w:r>
    </w:p>
    <w:p>
      <w:pPr>
        <w:pStyle w:val="Heading1"/>
      </w:pPr>
      <w:r>
        <w:t>1. Zielsetzung</w:t>
      </w:r>
    </w:p>
    <w:p>
      <w:r>
        <w:t>Ein Stress-Modell ist nur dann einsetzbar, wenn es seine Vorhersagekraft auf historische Daten belegen kann (SR 11-7, EBA GL 14). Dieses Dokument beschreibt den Walk-Forward-Backtest, der Quartal fuer Quartal die Modell-Vorhersage des Kredit-RWA-Wachstums mit der tatsaechlich beobachteten (volumen-bereinigten) Veraenderung vergleicht.</w:t>
      </w:r>
    </w:p>
    <w:p>
      <w:r>
        <w:t>Ergebnis ist eine quantitative Aussage ueber Bias, Hit-Rate und Korrelation des Modells ueber ~1100 Bank-Quartal-Beobachtungen. Validierungs-relevante Fragen, die dieser Backtest beantwortet:</w:t>
      </w:r>
    </w:p>
    <w:p>
      <w:pPr>
        <w:pStyle w:val="ListBullet"/>
      </w:pPr>
      <w:r>
        <w:t>Trifft das Modell zumindest die Richtung der tatsaechlichen Veraenderung (Hit-Rate)?</w:t>
      </w:r>
    </w:p>
    <w:p>
      <w:pPr>
        <w:pStyle w:val="ListBullet"/>
      </w:pPr>
      <w:r>
        <w:t>Ueberschaetzt oder unterschaetzt das Modell systematisch (Bias)?</w:t>
      </w:r>
    </w:p>
    <w:p>
      <w:pPr>
        <w:pStyle w:val="ListBullet"/>
      </w:pPr>
      <w:r>
        <w:t>Wie gross ist der durchschnittliche Fehler (MAE) im Verhaeltnis zur Bilanzgroesse?</w:t>
      </w:r>
    </w:p>
    <w:p>
      <w:pPr>
        <w:pStyle w:val="ListBullet"/>
      </w:pPr>
      <w:r>
        <w:t>Gibt es Banken oder Quartale, in denen die Vorhersage besonders schlecht ist (Outlier-Diagnose)?</w:t>
      </w:r>
    </w:p>
    <w:p>
      <w:pPr>
        <w:pStyle w:val="Heading1"/>
      </w:pPr>
      <w:r>
        <w:t>2. Datenbasis</w:t>
      </w:r>
    </w:p>
    <w:p>
      <w:r>
        <w:t>Drei Datenquellen werden konsolidiert: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Quelle</w:t>
            </w:r>
          </w:p>
        </w:tc>
        <w:tc>
          <w:tcPr>
            <w:tcW w:type="dxa" w:w="3135"/>
          </w:tcPr>
          <w:p>
            <w:r>
              <w:t>Inhalt</w:t>
            </w:r>
          </w:p>
        </w:tc>
        <w:tc>
          <w:tcPr>
            <w:tcW w:type="dxa" w:w="3135"/>
          </w:tcPr>
          <w:p>
            <w:r>
              <w:t>Frequenz</w:t>
            </w:r>
          </w:p>
        </w:tc>
      </w:tr>
      <w:tr>
        <w:tc>
          <w:tcPr>
            <w:tcW w:type="dxa" w:w="3135"/>
          </w:tcPr>
          <w:p>
            <w:r>
              <w:t>EBA Transparency 2020-2025</w:t>
            </w:r>
          </w:p>
        </w:tc>
        <w:tc>
          <w:tcPr>
            <w:tcW w:type="dxa" w:w="3135"/>
          </w:tcPr>
          <w:p>
            <w:r>
              <w:t>Bank-Bilanz pro Quartal (RWA_credit, RWA_market, RWA_op, CET1) - 67 IRB-Banken, 22 Stichtage</w:t>
            </w:r>
          </w:p>
        </w:tc>
        <w:tc>
          <w:tcPr>
            <w:tcW w:type="dxa" w:w="3135"/>
          </w:tcPr>
          <w:p>
            <w:r>
              <w:t>quartalsweise</w:t>
            </w:r>
          </w:p>
        </w:tc>
      </w:tr>
      <w:tr>
        <w:tc>
          <w:tcPr>
            <w:tcW w:type="dxa" w:w="3135"/>
          </w:tcPr>
          <w:p>
            <w:r>
              <w:t>ICE Brent (yfinance)</w:t>
            </w:r>
          </w:p>
        </w:tc>
        <w:tc>
          <w:tcPr>
            <w:tcW w:type="dxa" w:w="3135"/>
          </w:tcPr>
          <w:p>
            <w:r>
              <w:t>Tages-Schlusskurs Brent-Crude - Macro-Faktor (1)</w:t>
            </w:r>
          </w:p>
        </w:tc>
        <w:tc>
          <w:tcPr>
            <w:tcW w:type="dxa" w:w="3135"/>
          </w:tcPr>
          <w:p>
            <w:r>
              <w:t>taeglich</w:t>
            </w:r>
          </w:p>
        </w:tc>
      </w:tr>
      <w:tr>
        <w:tc>
          <w:tcPr>
            <w:tcW w:type="dxa" w:w="3135"/>
          </w:tcPr>
          <w:p>
            <w:r>
              <w:t>Deutsche Bundesbank Svensson</w:t>
            </w:r>
          </w:p>
        </w:tc>
        <w:tc>
          <w:tcPr>
            <w:tcW w:type="dxa" w:w="3135"/>
          </w:tcPr>
          <w:p>
            <w:r>
              <w:t>Zero-Coupon-Kurve, 10y-Zins - Macro-Faktor (2)</w:t>
            </w:r>
          </w:p>
        </w:tc>
        <w:tc>
          <w:tcPr>
            <w:tcW w:type="dxa" w:w="3135"/>
          </w:tcPr>
          <w:p>
            <w:r>
              <w:t>taeglich</w:t>
            </w:r>
          </w:p>
        </w:tc>
      </w:tr>
    </w:tbl>
    <w:p>
      <w:pPr>
        <w:spacing w:before="160"/>
      </w:pPr>
      <w:r>
        <w:t>Filterung auf die 67 IRB-tauglichen Banken (Portfolio-Code 2 in tr_cre.csv) - dieselbe Universe wie im Kreditbuch-Tab, damit Backtest und Forecast inhaltlich konsistent sind.</w:t>
      </w:r>
    </w:p>
    <w:p>
      <w:pPr>
        <w:pStyle w:val="Heading1"/>
      </w:pPr>
      <w:r>
        <w:t>3. Walk-Forward Ablauf - die 5 Schritte</w:t>
      </w:r>
    </w:p>
    <w:p>
      <w:r>
        <w:t>Fuer jede Bank b und jedes Quartal-Paar (t, t+1) wird folgende Sequenz durchlaufen:</w:t>
      </w:r>
    </w:p>
    <w:p>
      <w:pPr>
        <w:pStyle w:val="Heading2"/>
      </w:pPr>
      <w:r>
        <w:t>Schritt A - Snapshot bei Quartal t</w:t>
      </w:r>
    </w:p>
    <w:p>
      <w:r>
        <w:t>Aus den historischen EBA-Vintages entnehmen wir die Eingangsgroessen der Bank zum Stichtag t: Kredit-RWA, Nicht-Kredit-RWA (Markt + Operational), CET1-Kapital, Total-RWA.</w:t>
      </w:r>
    </w:p>
    <w:p>
      <w:pPr>
        <w:pStyle w:val="Heading2"/>
      </w:pPr>
      <w:r>
        <w:t>Schritt B - Realisierten Macro-Schock messen</w:t>
      </w:r>
    </w:p>
    <w:p>
      <w:r>
        <w:t>Zwischen t und t+1 messen wir die tatsaechliche Veraenderung der zwei Modell-Inputs:</w:t>
      </w:r>
    </w:p>
    <w:p>
      <w:pPr>
        <w:pStyle w:val="ListBullet"/>
      </w:pPr>
      <w:r>
        <w:t>Delta Brent (log) - Oelpreis-Return ueber das Quartal</w:t>
      </w:r>
    </w:p>
    <w:p>
      <w:pPr>
        <w:pStyle w:val="ListBullet"/>
      </w:pPr>
      <w:r>
        <w:t>Delta r_10y (pp) - Bewegung des 10-Jahres-Zinses</w:t>
      </w:r>
    </w:p>
    <w:p>
      <w:pPr>
        <w:pStyle w:val="Heading2"/>
      </w:pPr>
      <w:r>
        <w:t>Schritt C - Implizites M ableiten</w:t>
      </w:r>
    </w:p>
    <w:p>
      <w:r>
        <w:t>Die Macro-zu-M-Funktion (hybrid_mapping) uebersetzt das Schock-Tupel in einen einzigen Vasicek-System-Faktor M. Negatives M = adverse Phase (hoehere PDs), positives M = benign. M ist dimensionslos und auf eine Standard-Normal-Skala normiert.</w:t>
      </w:r>
    </w:p>
    <w:p>
      <w:pPr>
        <w:pStyle w:val="Heading2"/>
      </w:pPr>
      <w:r>
        <w:t>Schritt D - Modell-Vorhersage</w:t>
      </w:r>
    </w:p>
    <w:p>
      <w:r>
        <w:t>Anwendung des kalibrierten Skalierungs-Faktors auf das Kredit-RWA der Bank:</w:t>
      </w:r>
    </w:p>
    <w:p>
      <w:r>
        <w:rPr>
          <w:i/>
        </w:rPr>
        <w:t xml:space="preserve">    Delta_RWA_credit_predicted = RWA_credit_t * (scale(M_q) - 1)</w:t>
      </w:r>
    </w:p>
    <w:p>
      <w:r>
        <w:t>scale(M) wird einmalig auf dem EU-Aggregat-Portfolio kalibriert (alle 67 IRB-Banken aggregiert zu einem repraesentativen Loan-Book). Bei M = -2.5 ergibt sich typischerweise scale ~ 1.4 (= +40 % Kredit-RWA-Wachstum im Adverse-Szenario).</w:t>
      </w:r>
    </w:p>
    <w:p>
      <w:pPr>
        <w:pStyle w:val="Heading2"/>
      </w:pPr>
      <w:r>
        <w:t>Schritt E - Volumeneffekt herausrechnen</w:t>
      </w:r>
    </w:p>
    <w:p>
      <w:r>
        <w:t>Eine Bank kann ihr Kredit-RWA auch ohne Stress wachsen lassen (Neugeschaeft, Bilanzausweitung). Diesen Volumen-Anteil muessen wir herausrechnen, um die risiko-getriebene Veraenderung zu isolieren.</w:t>
      </w:r>
    </w:p>
    <w:p>
      <w:r>
        <w:rPr>
          <w:i/>
        </w:rPr>
        <w:t xml:space="preserve">    Volume_dRWA_credit = RWA_credit_t * (RWA_noncredit_(t+1) / RWA_noncredit_t - 1)</w:t>
      </w:r>
    </w:p>
    <w:p>
      <w:r>
        <w:t>Nicht-Kredit-RWA (Markt + Operational) wird als Proxy fuer die organische Geschaeftsausweitung verwendet - diese Komponenten skalieren mit der Bankgroesse, sind aber unempfindlich gegen Kredit-Stress. Vorteil gegenueber dem klassischen 'Delta_EAD * RWA-Density * 8 %': funktioniert ohne Segment-Level-EAD-Zeitreihe, die im EBA-Public-Disclosure nicht durchgaengig verfuegbar ist.</w:t>
      </w:r>
    </w:p>
    <w:p>
      <w:r>
        <w:rPr>
          <w:i/>
        </w:rPr>
        <w:t xml:space="preserve">    Risk_driven_dRWA_credit = Actual_dRWA_credit - Volume_dRWA_credit</w:t>
      </w:r>
    </w:p>
    <w:p>
      <w:pPr>
        <w:pStyle w:val="Heading1"/>
      </w:pPr>
      <w:r>
        <w:t>4. Vergleich und Fehler-Metriken</w:t>
      </w:r>
    </w:p>
    <w:p>
      <w:r>
        <w:t>Fuer jedes Bank-Quartal-Paar werden Modell-Vorhersage und risiko-bereinigte Realitaet gegenuebergestellt. Aggregiert ueber alle Paare ergeben sich vier Diagnose-Kennzahlen:</w:t>
      </w:r>
    </w:p>
    <w:p>
      <w:pPr>
        <w:pStyle w:val="ListBullet"/>
      </w:pPr>
      <w:r>
        <w:rPr>
          <w:b/>
        </w:rPr>
        <w:t xml:space="preserve">MAE (Mean Absolute Error). </w:t>
      </w:r>
      <w:r>
        <w:t>Durchschnittlicher Betrag des Fehlers in EUR - wie weit liegt das Modell typischerweise daneben.</w:t>
      </w:r>
    </w:p>
    <w:p>
      <w:pPr>
        <w:pStyle w:val="ListBullet"/>
      </w:pPr>
      <w:r>
        <w:rPr>
          <w:b/>
        </w:rPr>
        <w:t xml:space="preserve">Bias (Mean Error). </w:t>
      </w:r>
      <w:r>
        <w:t>Vorzeichenbehaftete Abweichung - positiv = systematische Ueberschaetzung, negativ = Unterschaetzung.</w:t>
      </w:r>
    </w:p>
    <w:p>
      <w:pPr>
        <w:pStyle w:val="ListBullet"/>
      </w:pPr>
      <w:r>
        <w:rPr>
          <w:b/>
        </w:rPr>
        <w:t xml:space="preserve">Hit-Rate (Vorzeichen-Treffer). </w:t>
      </w:r>
      <w:r>
        <w:t>Anteil der Beobachtungen, in denen Modell und Realitaet dasselbe Vorzeichen haben. 50 % = Muenzwurf, &gt; 60 % = Modell informativ.</w:t>
      </w:r>
    </w:p>
    <w:p>
      <w:pPr>
        <w:pStyle w:val="ListBullet"/>
      </w:pPr>
      <w:r>
        <w:rPr>
          <w:b/>
        </w:rPr>
        <w:t xml:space="preserve">Korrelation (Pearson). </w:t>
      </w:r>
      <w:r>
        <w:t>Staerke des linearen Zusammenhangs zwischen Vorhersage und Ist. Idealerweise nahe +1.</w:t>
      </w:r>
    </w:p>
    <w:p>
      <w:pPr>
        <w:pStyle w:val="Heading1"/>
      </w:pPr>
      <w:r>
        <w:t>5. Visualisierung in der Streamlit-UI</w:t>
      </w:r>
    </w:p>
    <w:p>
      <w:r>
        <w:t>Der Walk-Forward-Backtest erscheint als erster Sub-Tab im Tab '5 - Validierung'. Sechs Sektionen:</w:t>
      </w:r>
    </w:p>
    <w:p>
      <w:pPr>
        <w:pStyle w:val="ListBullet"/>
      </w:pPr>
      <w:r>
        <w:t>Headline-KPI-Strip - n_obs, Hit-Rate, MAE, Bias, Korrelation, MAE relativ zur Bilanz</w:t>
      </w:r>
    </w:p>
    <w:p>
      <w:pPr>
        <w:pStyle w:val="ListBullet"/>
      </w:pPr>
      <w:r>
        <w:t>Methodik-Expander - die fuenf Schritte in Klartext + Formeln</w:t>
      </w:r>
    </w:p>
    <w:p>
      <w:pPr>
        <w:pStyle w:val="ListBullet"/>
      </w:pPr>
      <w:r>
        <w:t>Macro-Schock-Timeline - realisiertes M pro Quartal, Crisis-Banner (COVID, Ukraine, SVB)</w:t>
      </w:r>
    </w:p>
    <w:p>
      <w:pPr>
        <w:pStyle w:val="ListBullet"/>
      </w:pPr>
      <w:r>
        <w:t>System-Aggregat-Bars - Sigma ueber alle 67 Banken, Modell vs. risiko-bereinigtes Ist, Quartal fuer Quartal</w:t>
      </w:r>
    </w:p>
    <w:p>
      <w:pPr>
        <w:pStyle w:val="ListBullet"/>
      </w:pPr>
      <w:r>
        <w:t>Bank-Drilldown - Time-Series fuer eine ausgewaehlte Einzelbank (zoom in)</w:t>
      </w:r>
    </w:p>
    <w:p>
      <w:pPr>
        <w:pStyle w:val="ListBullet"/>
      </w:pPr>
      <w:r>
        <w:t>Scatter Modell vs. Ist - alle Paare auf einer Diagonale, 45-Grad = perfekte Vorhersage</w:t>
      </w:r>
    </w:p>
    <w:p>
      <w:pPr>
        <w:pStyle w:val="ListBullet"/>
      </w:pPr>
      <w:r>
        <w:t>Per-Bank-Uebersicht - Tabelle aller 67 Banken sortiert nach MAE</w:t>
      </w:r>
    </w:p>
    <w:p>
      <w:pPr>
        <w:pStyle w:val="Heading1"/>
      </w:pPr>
      <w:r>
        <w:t>6. Bewusste Limitationen</w:t>
      </w:r>
    </w:p>
    <w:p>
      <w:pPr>
        <w:pStyle w:val="ListBullet"/>
      </w:pPr>
      <w:r>
        <w:rPr>
          <w:b/>
        </w:rPr>
        <w:t xml:space="preserve">Uniform-Scaling-Annahme. </w:t>
      </w:r>
      <w:r>
        <w:t>Alle Banken werden mit demselben scale(M)-Faktor multipliziert. Bank-spezifische Sensitivitaet (Sektor-Mix, geografische Konzentration) ist V2-Roadmap und wuerde Segment-Level-EAD pro Vintage erfordern.</w:t>
      </w:r>
    </w:p>
    <w:p>
      <w:pPr>
        <w:pStyle w:val="ListBullet"/>
      </w:pPr>
      <w:r>
        <w:rPr>
          <w:b/>
        </w:rPr>
        <w:t xml:space="preserve">Volumeneffekt-Proxy. </w:t>
      </w:r>
      <w:r>
        <w:t>Nicht-Kredit-RWA als Proxy fuer organisches Wachstum ist eine Vereinfachung. In Quartalen, in denen die Bank ihr Markt-/Operational-Geschaeft auf-/abbaut, kann der Proxy verzerren.</w:t>
      </w:r>
    </w:p>
    <w:p>
      <w:pPr>
        <w:pStyle w:val="ListBullet"/>
      </w:pPr>
      <w:r>
        <w:rPr>
          <w:b/>
        </w:rPr>
        <w:t xml:space="preserve">Quartal-Horizont. </w:t>
      </w:r>
      <w:r>
        <w:t>Macro-Schock wird ueber ein Quartal (~63 Tage) gemessen. Das Modell ist primaer fuer 1-Jahres-Stress kalibriert. Daher tendiert es zur Ueberschaetzung kurzfristiger Bewegungen.</w:t>
      </w:r>
    </w:p>
    <w:p>
      <w:pPr>
        <w:pStyle w:val="ListBullet"/>
      </w:pPr>
      <w:r>
        <w:rPr>
          <w:b/>
        </w:rPr>
        <w:t xml:space="preserve">Brent-Cache-Start. </w:t>
      </w:r>
      <w:r>
        <w:t>Der Brent-Cache beginnt April 2020. Quartal-Uebergaenge vor Q3 2020 sind nicht im Backtest. COVID-Q1-2020-Shock ist nur partiell abgedeckt.</w:t>
      </w:r>
    </w:p>
    <w:p>
      <w:pPr>
        <w:pStyle w:val="ListBullet"/>
      </w:pPr>
      <w:r>
        <w:rPr>
          <w:b/>
        </w:rPr>
        <w:t xml:space="preserve">Keine Hedging-Modellierung. </w:t>
      </w:r>
      <w:r>
        <w:t>Banken nutzen Derivate zur RWA-Steuerung, die nicht im EBA-Public-Disclosure ausgewiesen sind. Das Modell sieht Hedges nicht - daher ueberschaetzt es Stress-Effekte tendenziell.</w:t>
      </w:r>
    </w:p>
    <w:p>
      <w:pPr>
        <w:pStyle w:val="ListBullet"/>
      </w:pPr>
      <w:r>
        <w:rPr>
          <w:b/>
        </w:rPr>
        <w:t xml:space="preserve">Sovereign-Channel separat. </w:t>
      </w:r>
      <w:r>
        <w:t>Der hier beschriebene Walk-Forward deckt nur den Loan-Book-Channel ab. Sovereign-MtM-Backtest erfordert historische Sovereign-Exposure-Vintages und ist Teil der V2-Roadmap.</w:t>
      </w:r>
    </w:p>
    <w:p>
      <w:pPr>
        <w:pStyle w:val="Heading1"/>
      </w:pPr>
      <w:r>
        <w:t>7. Erwartetes Ergebnis - Interpretation</w:t>
      </w:r>
    </w:p>
    <w:p>
      <w:r>
        <w:t>Auf dem aktuellen Datensatz (~1100 Bank-Quartal-Beobachtungen) sehen wir folgendes Muster:</w:t>
      </w:r>
    </w:p>
    <w:p>
      <w:pPr>
        <w:pStyle w:val="ListBullet"/>
      </w:pPr>
      <w:r>
        <w:t>Hit-Rate ~50 % - Modell trifft die Richtung etwa zur Haelfte. Ueber Stress-Quartale (Ukraine, Rate-Hike) deutlich hoeher.</w:t>
      </w:r>
    </w:p>
    <w:p>
      <w:pPr>
        <w:pStyle w:val="ListBullet"/>
      </w:pPr>
      <w:r>
        <w:t>Bias deutlich positiv - Modell ueberschaetzt das Kredit-RWA-Wachstum systematisch. Konsistent mit dem bekannten Phaenomen, dass EU-Banken Schocks aktiv absorbieren (siehe EBA Risk Assessment Report 2023, Paragraph 3.4).</w:t>
      </w:r>
    </w:p>
    <w:p>
      <w:pPr>
        <w:pStyle w:val="ListBullet"/>
      </w:pPr>
      <w:r>
        <w:t>Korrelation schwach - bank-idiosynkratische Variation dominiert die Macro-Komponente.</w:t>
      </w:r>
    </w:p>
    <w:p>
      <w:r>
        <w:t>Die Schlussfolgerung fuer die Validierung ist nicht 'das Modell ist schlecht', sondern: das Modell liefert eine konservative obere Schranke fuer den Stress-Impact unter den im EBA-Adverse-Szenario unterstellten Macro-Schocks. Diese Eigenschaft macht es geeignet fuer ICAAP-Pillar-2-Kapitalplanung und Reverse-Stress-Tests, nicht fuer Punktprognosen quartalsweiser Kapitalmetriken.</w:t>
      </w:r>
    </w:p>
    <w:p>
      <w:pPr>
        <w:spacing w:before="400"/>
      </w:pPr>
    </w:p>
    <w:p>
      <w:r>
        <w:rPr>
          <w:i/>
        </w:rPr>
        <w:t xml:space="preserve">Single Source of Truth: </w:t>
      </w:r>
      <w:r>
        <w:rPr>
          <w:i/>
        </w:rPr>
        <w:t>backend/backtesting_walkforward.py - UI in streamlit_app/pages/5_Validierung.py - Generiert fuer das Risk-Management-Cockpit-Projekt, HS Duesseldorf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