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34B6F"/>
          <w:sz w:val="32"/>
        </w:rPr>
        <w:t>Umsetzung des Professoren-Feedbacks — Übersicht</w:t>
      </w:r>
    </w:p>
    <w:p>
      <w:pPr>
        <w:spacing w:after="80"/>
      </w:pPr>
      <w:r>
        <w:rPr>
          <w:b w:val="0"/>
          <w:color w:val="6E6E6E"/>
          <w:sz w:val="18"/>
        </w:rPr>
        <w:t>DAX/EU-Banken Credit-Stress-Cockpit · Bleron Gashi · HS Düsseldorf · Stand: 10.06.2026</w:t>
      </w:r>
    </w:p>
    <w:p>
      <w:pPr>
        <w:spacing w:after="160"/>
      </w:pPr>
      <w:r>
        <w:rPr>
          <w:b w:val="0"/>
          <w:sz w:val="21"/>
        </w:rPr>
        <w:t>Dieses Dokument zeigt Punkt für Punkt, wie die methodische Kritik aus dem Feedbackgespräch im Modell umgesetzt wurde. Jede neue Umsetzung ist mit Beispiel, ökonomischer Interpretation und Quelle belegt; die Details stehen in MODEL_ASSUMPTIONS.md und direkt an jeder Grafik im Cockpit.</w:t>
      </w:r>
    </w:p>
    <w:p>
      <w:pPr>
        <w:spacing w:before="200" w:after="60"/>
      </w:pPr>
      <w:r>
        <w:rPr>
          <w:b/>
          <w:color w:val="034B6F"/>
          <w:sz w:val="24"/>
        </w:rPr>
        <w:t>Alle 10 To-dos aus dem Gespräch — Status auf einen Blick</w:t>
      </w:r>
    </w:p>
    <w:tbl>
      <w:tblPr>
        <w:tblStyle w:val="LightGrid-Accent1"/>
        <w:tblW w:type="auto" w:w="0"/>
        <w:tblLook w:firstColumn="1" w:firstRow="1" w:lastColumn="0" w:lastRow="0" w:noHBand="0" w:noVBand="1" w:val="04A0"/>
      </w:tblPr>
      <w:tblGrid>
        <w:gridCol w:w="2948"/>
        <w:gridCol w:w="6463"/>
      </w:tblGrid>
      <w:tr>
        <w:tc>
          <w:tcPr>
            <w:tcW w:type="dxa" w:w="2948"/>
          </w:tcPr>
          <w:p>
            <w:r>
              <w:rPr>
                <w:b/>
                <w:sz w:val="19"/>
              </w:rPr>
              <w:t>Kritikpunkt / To-do</w:t>
            </w:r>
          </w:p>
        </w:tc>
        <w:tc>
          <w:tcPr>
            <w:tcW w:type="dxa" w:w="6463"/>
          </w:tcPr>
          <w:p>
            <w:r>
              <w:rPr>
                <w:b/>
                <w:sz w:val="19"/>
              </w:rPr>
              <w:t>Umsetzung im Modell</w:t>
            </w:r>
          </w:p>
        </w:tc>
      </w:tr>
      <w:tr>
        <w:tc>
          <w:tcPr>
            <w:tcW w:type="dxa" w:w="2948"/>
          </w:tcPr>
          <w:p>
            <w:r>
              <w:rPr>
                <w:b/>
                <w:sz w:val="18"/>
              </w:rPr>
              <w:t>1. PD auf Stückzahlen statt Volumina</w:t>
            </w:r>
          </w:p>
        </w:tc>
        <w:tc>
          <w:tcPr>
            <w:tcW w:type="dxa" w:w="6463"/>
          </w:tcPr>
          <w:p>
            <w:r>
              <w:rPr>
                <w:sz w:val="18"/>
              </w:rPr>
              <w:t>Erledigt — wir berechnen gar keine eigene PD mehr aus Volumina. Das Modell übernimmt die bank-internen A-IRB-PDs aus den Pillar-3-Berichten (EU-CR6): kohortenbasierte 1-Jahres-Ausfallwahrscheinlichkeiten auf Schuldner-Ebene, von der EZB auditiert (CRR Art. 180).</w:t>
            </w:r>
          </w:p>
        </w:tc>
      </w:tr>
      <w:tr>
        <w:tc>
          <w:tcPr>
            <w:tcW w:type="dxa" w:w="2948"/>
          </w:tcPr>
          <w:p>
            <w:r>
              <w:rPr>
                <w:b/>
                <w:sz w:val="18"/>
              </w:rPr>
              <w:t>2. Konsistentes Einjahresportfolio</w:t>
            </w:r>
          </w:p>
        </w:tc>
        <w:tc>
          <w:tcPr>
            <w:tcW w:type="dxa" w:w="6463"/>
          </w:tcPr>
          <w:p>
            <w:r>
              <w:rPr>
                <w:sz w:val="18"/>
              </w:rPr>
              <w:t>Erledigt — A-IRB-PDs sind per Definition 1-Jahres-PDs (CRR Art. 4 (1) Nr. 54). Einheitlicher Stichtag 31.12.2024 für alle 10 Banken, per automatisiertem vintage_date-Test gesichert.</w:t>
            </w:r>
          </w:p>
        </w:tc>
      </w:tr>
      <w:tr>
        <w:tc>
          <w:tcPr>
            <w:tcW w:type="dxa" w:w="2948"/>
          </w:tcPr>
          <w:p>
            <w:r>
              <w:rPr>
                <w:b/>
                <w:sz w:val="18"/>
              </w:rPr>
              <w:t>3. Neugeschäft eliminieren</w:t>
            </w:r>
          </w:p>
        </w:tc>
        <w:tc>
          <w:tcPr>
            <w:tcW w:type="dxa" w:w="6463"/>
          </w:tcPr>
          <w:p>
            <w:r>
              <w:rPr>
                <w:sz w:val="18"/>
              </w:rPr>
              <w:t>Erledigt — die regulatorische Kohortenmethodik der Banken fixiert das Portfolio zum Jahresbeginn und verfolgt exakt diese Schuldner 12 Monate (EBA/GL/2017/16, Abschn. 5.3); Neugeschäft ist darin konstruktionsbedingt ausgeschlossen. Dokumentiert in MODEL_ASSUMPTIONS §A-01.</w:t>
            </w:r>
          </w:p>
        </w:tc>
      </w:tr>
      <w:tr>
        <w:tc>
          <w:tcPr>
            <w:tcW w:type="dxa" w:w="2948"/>
          </w:tcPr>
          <w:p>
            <w:r>
              <w:rPr>
                <w:b/>
                <w:sz w:val="18"/>
              </w:rPr>
              <w:t>4. Restschuld statt Original Exposure</w:t>
            </w:r>
          </w:p>
        </w:tc>
        <w:tc>
          <w:tcPr>
            <w:tcW w:type="dxa" w:w="6463"/>
          </w:tcPr>
          <w:p>
            <w:r>
              <w:rPr>
                <w:sz w:val="18"/>
              </w:rPr>
              <w:t>Erledigt — durchgängig EAD (Exposure at Default, CRR Art. 166) in allen Rechnungen: EL = PD·LGD·EAD, RWA = K·12,5·EAD. Original Exposure wird nirgends mehr für Risikomaße verwendet.</w:t>
            </w:r>
          </w:p>
        </w:tc>
      </w:tr>
      <w:tr>
        <w:tc>
          <w:tcPr>
            <w:tcW w:type="dxa" w:w="2948"/>
          </w:tcPr>
          <w:p>
            <w:r>
              <w:rPr>
                <w:b/>
                <w:sz w:val="18"/>
              </w:rPr>
              <w:t>5. Faktor-→-PD-Zusammenhang sauber modellieren</w:t>
            </w:r>
          </w:p>
        </w:tc>
        <w:tc>
          <w:tcPr>
            <w:tcW w:type="dxa" w:w="6463"/>
          </w:tcPr>
          <w:p>
            <w:r>
              <w:rPr>
                <w:sz w:val="18"/>
              </w:rPr>
              <w:t>Erledigt — explizite lineare Sensitivitäten je Asset-Klasse: ΔPD = β_oil·ΔBrent + β_rate·Δr_10y (analog ΔLGD). Jedes β hat eine eigene dokumentierte Quelle.</w:t>
            </w:r>
          </w:p>
        </w:tc>
      </w:tr>
      <w:tr>
        <w:tc>
          <w:tcPr>
            <w:tcW w:type="dxa" w:w="2948"/>
          </w:tcPr>
          <w:p>
            <w:r>
              <w:rPr>
                <w:b/>
                <w:sz w:val="18"/>
              </w:rPr>
              <w:t>6. Ökonomische Ursache-Wirkungs-Logik dokumentieren</w:t>
            </w:r>
          </w:p>
        </w:tc>
        <w:tc>
          <w:tcPr>
            <w:tcW w:type="dxa" w:w="6463"/>
          </w:tcPr>
          <w:p>
            <w:r>
              <w:rPr>
                <w:sz w:val="18"/>
              </w:rPr>
              <w:t>Erledigt — jede der 6 Asset-Klassen trägt im Code ein Feld economic_logic (Transmissionskanal in Worten); die Einführung erklärt die Wirkungskette in 5 Schritten.</w:t>
            </w:r>
          </w:p>
        </w:tc>
      </w:tr>
      <w:tr>
        <w:tc>
          <w:tcPr>
            <w:tcW w:type="dxa" w:w="2948"/>
          </w:tcPr>
          <w:p>
            <w:r>
              <w:rPr>
                <w:b/>
                <w:sz w:val="18"/>
              </w:rPr>
              <w:t>7. Mathematik nachvollziehbar erläutern</w:t>
            </w:r>
          </w:p>
        </w:tc>
        <w:tc>
          <w:tcPr>
            <w:tcW w:type="dxa" w:w="6463"/>
          </w:tcPr>
          <w:p>
            <w:r>
              <w:rPr>
                <w:sz w:val="18"/>
              </w:rPr>
              <w:t>Erledigt — jede Formel erscheint im Cockpit als Formelsatz UND wird verbal erklärt (z. B. Vasicek-IRB nach CRR Art. 153, Duration-MtM ΔFV = −D·Δy·E, MAE/Bias/Hit-Rate im Backtest).</w:t>
            </w:r>
          </w:p>
        </w:tc>
      </w:tr>
      <w:tr>
        <w:tc>
          <w:tcPr>
            <w:tcW w:type="dxa" w:w="2948"/>
          </w:tcPr>
          <w:p>
            <w:r>
              <w:rPr>
                <w:b/>
                <w:sz w:val="18"/>
              </w:rPr>
              <w:t>8. Korrelation Zins ↔ Ölpreis untersuchen</w:t>
            </w:r>
          </w:p>
        </w:tc>
        <w:tc>
          <w:tcPr>
            <w:tcW w:type="dxa" w:w="6463"/>
          </w:tcPr>
          <w:p>
            <w:r>
              <w:rPr>
                <w:sz w:val="18"/>
              </w:rPr>
              <w:t>Erledigt — Tab 1 enthält die empirische Analyse: Pearson-ρ, rollierende 252-Tage-Korrelation (mit Formel) und Regression auf Tagesdaten. Ergebnis: instabile, zeitvariable Korrelation.</w:t>
            </w:r>
          </w:p>
        </w:tc>
      </w:tr>
      <w:tr>
        <w:tc>
          <w:tcPr>
            <w:tcW w:type="dxa" w:w="2948"/>
          </w:tcPr>
          <w:p>
            <w:r>
              <w:rPr>
                <w:b/>
                <w:sz w:val="18"/>
              </w:rPr>
              <w:t>9. Ggf. zwei getrennte Risikofaktoren</w:t>
            </w:r>
          </w:p>
        </w:tc>
        <w:tc>
          <w:tcPr>
            <w:tcW w:type="dxa" w:w="6463"/>
          </w:tcPr>
          <w:p>
            <w:r>
              <w:rPr>
                <w:sz w:val="18"/>
              </w:rPr>
              <w:t>Erledigt — der verdichtete Faktor M wurde komplett entfernt. Brent und Δr_10y sind zwei separate Faktoren mit zwei separaten Slidern; genau die empfohlene Trennung.</w:t>
            </w:r>
          </w:p>
        </w:tc>
      </w:tr>
      <w:tr>
        <w:tc>
          <w:tcPr>
            <w:tcW w:type="dxa" w:w="2948"/>
          </w:tcPr>
          <w:p>
            <w:r>
              <w:rPr>
                <w:b/>
                <w:sz w:val="18"/>
              </w:rPr>
              <w:t>10. Formeln, Annahmen, Quellen dokumentieren</w:t>
            </w:r>
          </w:p>
        </w:tc>
        <w:tc>
          <w:tcPr>
            <w:tcW w:type="dxa" w:w="6463"/>
          </w:tcPr>
          <w:p>
            <w:r>
              <w:rPr>
                <w:sz w:val="18"/>
              </w:rPr>
              <w:t>Erledigt — MODEL_ASSUMPTIONS.md führt jede Annahme mit Formel, ökonomischer Begründung und Quelle; die PD/LGD-Datentabelle nennt pro Zelle Quellen-URL, Seitenzahl und Tabellennamen der jeweiligen Bank-Disclosure.</w:t>
            </w:r>
          </w:p>
        </w:tc>
      </w:tr>
    </w:tbl>
    <w:p/>
    <w:p>
      <w:pPr>
        <w:spacing w:before="200" w:after="60"/>
      </w:pPr>
      <w:r>
        <w:rPr>
          <w:b/>
          <w:color w:val="034B6F"/>
          <w:sz w:val="24"/>
        </w:rPr>
        <w:t>1 · PD-Methodik neu aufgesetzt (Kritikpunkte 1–4)</w:t>
      </w:r>
    </w:p>
    <w:p>
      <w:pPr>
        <w:spacing w:after="80"/>
      </w:pPr>
      <w:r>
        <w:rPr>
          <w:b/>
          <w:sz w:val="21"/>
        </w:rPr>
        <w:t xml:space="preserve">Kern der Umsetzung: </w:t>
      </w:r>
      <w:r>
        <w:rPr>
          <w:b w:val="0"/>
          <w:sz w:val="21"/>
        </w:rPr>
        <w:t>Statt eine PD selbst aus „Defaulted / Original Exposure“ zu schätzen (Wert- statt Mengengrößen), konsumiert das Modell die regulatorische PD — die bank-internen A-IRB-Schätzungen aus den Pillar-3-Berichten. Diese sind exakt so konstruiert, wie im Gespräch gefordert: festes Schuldner-Kohortenportfolio zum Jahresbeginn, 12-Monats-Beobachtung, Ausfallzählung auf Schuldner-Ebene, langfristiger Durchschnitt der 1-Jahres-Ausfallraten.</w:t>
      </w:r>
    </w:p>
    <w:p>
      <w:pPr>
        <w:spacing w:after="80"/>
      </w:pPr>
      <w:r>
        <w:rPr>
          <w:b/>
          <w:sz w:val="21"/>
        </w:rPr>
        <w:t xml:space="preserve">Beispiel: </w:t>
      </w:r>
      <w:r>
        <w:rPr>
          <w:b w:val="0"/>
          <w:sz w:val="21"/>
        </w:rPr>
        <w:t>Die Corporate-PD der Deutschen Bank stammt direkt aus „Pillar 3 Report Q4 2024“, S. 108–113 (Template EU CR6) — 10/10 Banken sind so Pillar-3-verifiziert (65 von 70 Datenzellen bank-spezifisch, 93 %; die 5 Proxy-Zellen sind offen als solche markiert).</w:t>
      </w:r>
    </w:p>
    <w:p>
      <w:pPr>
        <w:spacing w:after="80"/>
      </w:pPr>
      <w:r>
        <w:rPr>
          <w:b/>
          <w:sz w:val="21"/>
        </w:rPr>
        <w:t xml:space="preserve">Ökonomische Interpretation: </w:t>
      </w:r>
      <w:r>
        <w:rPr>
          <w:b w:val="0"/>
          <w:sz w:val="21"/>
        </w:rPr>
        <w:t>Wir messen Ausfall-Wahrscheinlichkeit als Mengengröße (Anzahl ausgefallener Schuldner), bewerten den Verlust aber mit der Wertgröße EAD (Restschuld bei Ausfall) — die Trennung, die im Feedback angemahnt wurde: EL = PD · LGD · EAD.</w:t>
      </w:r>
    </w:p>
    <w:p>
      <w:pPr>
        <w:spacing w:after="160"/>
      </w:pPr>
      <w:r>
        <w:rPr>
          <w:b/>
          <w:color w:val="6E6E6E"/>
          <w:sz w:val="17"/>
        </w:rPr>
        <w:t xml:space="preserve">Quellen: </w:t>
      </w:r>
      <w:r>
        <w:rPr>
          <w:b w:val="0"/>
          <w:color w:val="6E6E6E"/>
          <w:sz w:val="17"/>
        </w:rPr>
        <w:t>CRR Art. 4(1) Nr. 54 (PD-Definition, 1 Jahr) · Art. 166 (EAD) · Art. 178 (Default-Definition) · Art. 180 (Schätzstandards) · EBA/GL/2017/16 (PD-Estimation Guidelines, Kohortenmethodik) · EBA ITS/2020/04 (Pillar-3-Disclosure-Pflicht).</w:t>
      </w:r>
    </w:p>
    <w:p>
      <w:pPr>
        <w:spacing w:before="200" w:after="60"/>
      </w:pPr>
      <w:r>
        <w:rPr>
          <w:b/>
          <w:color w:val="034B6F"/>
          <w:sz w:val="24"/>
        </w:rPr>
        <w:t>2 · Faktor M ersetzt durch zwei getrennte Faktoren (Punkte 5, 8, 9)</w:t>
      </w:r>
    </w:p>
    <w:p>
      <w:pPr>
        <w:spacing w:after="80"/>
      </w:pPr>
      <w:r>
        <w:rPr>
          <w:b/>
          <w:sz w:val="21"/>
        </w:rPr>
        <w:t xml:space="preserve">Kern der Umsetzung: </w:t>
      </w:r>
      <w:r>
        <w:rPr>
          <w:b w:val="0"/>
          <w:sz w:val="21"/>
        </w:rPr>
        <w:t>Der verdichtete Faktor M existiert nicht mehr. Das Modell arbeitet mit zwei separaten, einzeln steuerbaren Faktoren — Brent-Ölpreis (Log-Return) und 10-Jahres-Zins (Δ in Prozentpunkten) — und einer transparenten Sensitivitäts-Matrix je Asset-Klasse:</w:t>
      </w:r>
    </w:p>
    <w:p>
      <w:pPr>
        <w:spacing w:after="80"/>
      </w:pPr>
      <w:r>
        <w:rPr>
          <w:b w:val="0"/>
          <w:sz w:val="20"/>
        </w:rPr>
        <w:t>ΔPD = β_oil · ΔBrent + β_rate · Δr_10y    (analog ΔLGD mit γ-Koeffizienten; Floors/Caps: PD 3 bp–50 %, LGD 5–100 %)</w:t>
      </w:r>
    </w:p>
    <w:p>
      <w:pPr>
        <w:spacing w:after="80"/>
      </w:pPr>
      <w:r>
        <w:rPr>
          <w:b/>
          <w:sz w:val="21"/>
        </w:rPr>
        <w:t xml:space="preserve">Beispiel: </w:t>
      </w:r>
      <w:r>
        <w:rPr>
          <w:b w:val="0"/>
          <w:sz w:val="21"/>
        </w:rPr>
        <w:t>Corporate: β_oil = 0,30 → ein +30 %-Brent-Schock erhöht die PD um 0,30 · 0,30 = +9 Basispunkte; β_rate = 0,20 → +200 bp Zins erhöhen die PD um +40 bp. SME liegt mit β_rate = 0,35 ca. 1,5× über Large Corporates — konsistent mit der BIS-Evidenz.</w:t>
      </w:r>
    </w:p>
    <w:p>
      <w:pPr>
        <w:spacing w:after="80"/>
      </w:pPr>
      <w:r>
        <w:rPr>
          <w:b/>
          <w:sz w:val="21"/>
        </w:rPr>
        <w:t xml:space="preserve">Korrelations-Voruntersuchung (Punkt 9): </w:t>
      </w:r>
      <w:r>
        <w:rPr>
          <w:b w:val="0"/>
          <w:sz w:val="21"/>
        </w:rPr>
        <w:t>Tab 1 prüft empirisch, ob die Verdichtung überhaupt zulässig wäre: Pearson-ρ und rollierende 252-Tage-Korrelation ρ_t über [t−251, t] zeigen eine zeitvariable, instabile Beziehung zwischen Öl und Zins — genau deshalb bleiben die Faktoren getrennt.</w:t>
      </w:r>
    </w:p>
    <w:p>
      <w:pPr>
        <w:spacing w:after="160"/>
      </w:pPr>
      <w:r>
        <w:rPr>
          <w:b/>
          <w:color w:val="6E6E6E"/>
          <w:sz w:val="17"/>
        </w:rPr>
        <w:t xml:space="preserve">Quellen: </w:t>
      </w:r>
      <w:r>
        <w:rPr>
          <w:b w:val="0"/>
          <w:color w:val="6E6E6E"/>
          <w:sz w:val="17"/>
        </w:rPr>
        <w:t>EBA Stress Test 2025 Methodology Note, Sec. 5.3.2/6.1 (Sektor-Elastizitäten) · Drehmann &amp; Juselius (2014), BIS WP 421 (SME-Zins-Sensitivität) · Hosszú &amp; Király (2018), MNB WP 2018/2 (Mortgage) · Castro (2013) (Öl-Transmission) · J.P. Morgan/Reuters RiskMetrics (1996) (rollierende Korrelation).</w:t>
      </w:r>
    </w:p>
    <w:p>
      <w:pPr>
        <w:spacing w:before="200" w:after="60"/>
      </w:pPr>
      <w:r>
        <w:rPr>
          <w:b/>
          <w:color w:val="034B6F"/>
          <w:sz w:val="24"/>
        </w:rPr>
        <w:t>3 · Differenzierte Zinslogik statt „Zins rauf = schlecht“ (Punkte 6, 7)</w:t>
      </w:r>
    </w:p>
    <w:p>
      <w:pPr>
        <w:spacing w:after="80"/>
      </w:pPr>
      <w:r>
        <w:rPr>
          <w:b/>
          <w:sz w:val="21"/>
        </w:rPr>
        <w:t xml:space="preserve">Kern der Umsetzung: </w:t>
      </w:r>
      <w:r>
        <w:rPr>
          <w:b w:val="0"/>
          <w:sz w:val="21"/>
        </w:rPr>
        <w:t>Die Zinswirkung ist jetzt vorzeichendifferenziert nach Schuldnertyp — die pauschale Logik ist aus dem Modell entfernt.</w:t>
      </w:r>
    </w:p>
    <w:p>
      <w:pPr>
        <w:spacing w:after="80"/>
      </w:pPr>
      <w:r>
        <w:rPr>
          <w:b/>
          <w:sz w:val="21"/>
        </w:rPr>
        <w:t xml:space="preserve">Beispiel: </w:t>
      </w:r>
      <w:r>
        <w:rPr>
          <w:b w:val="0"/>
          <w:sz w:val="21"/>
        </w:rPr>
        <w:t>Für Bank-Counterparties gilt β_rate = −0,05 (negativ!): steigende Zinsen verbessern die Net Interest Margin und senken netto die Ausfallwahrscheinlichkeit — während Hypotheken mit γ_rate = 1,50 die stärkste LGD-Zinssensitivität tragen (Immobilienwerte fallen via Duration). Dieselbe Zinsbewegung wirkt also je nach Cashflow-Struktur entgegengesetzt — exakt der im Gespräch geforderte Differenzierungsgrad.</w:t>
      </w:r>
    </w:p>
    <w:p>
      <w:pPr>
        <w:spacing w:after="80"/>
      </w:pPr>
      <w:r>
        <w:rPr>
          <w:b/>
          <w:sz w:val="21"/>
        </w:rPr>
        <w:t xml:space="preserve">Ursache-Wirkung dokumentiert: </w:t>
      </w:r>
      <w:r>
        <w:rPr>
          <w:b w:val="0"/>
          <w:sz w:val="21"/>
        </w:rPr>
        <w:t>Jede Klasse trägt im Code ein Feld economic_logic mit dem Transmissionskanal in Worten (z. B. Mortgage: Floating-Rate-Affordability + Property-Duration), und die Einführung zeigt die Kette Faktor → ΔPD/ΔLGD → ΔEL/ΔRWA → CET1 in 5 Schritten. Zusätzlich existiert ein zweiter, sauber getrennter Zinskanal: Staatsanleihen verlieren bei Δr &gt; 0 Marktwert (ΔFV = −D · Δy · E), der über die OCI-Rücklage direkt auf die CET1-Quote wirkt.</w:t>
      </w:r>
    </w:p>
    <w:p>
      <w:pPr>
        <w:spacing w:after="160"/>
      </w:pPr>
      <w:r>
        <w:rPr>
          <w:b/>
          <w:color w:val="6E6E6E"/>
          <w:sz w:val="17"/>
        </w:rPr>
        <w:t xml:space="preserve">Quellen: </w:t>
      </w:r>
      <w:r>
        <w:rPr>
          <w:b w:val="0"/>
          <w:color w:val="6E6E6E"/>
          <w:sz w:val="17"/>
        </w:rPr>
        <w:t>EBA Stress Test 2025 Methodology Note (NIM-Effekt bei Bank-Exposures) · Hosszú &amp; Király (2018) · Tuckman &amp; Serrat (2012), Fixed Income Securities, Kap. 4 (Duration-MtM).</w:t>
      </w:r>
    </w:p>
    <w:p>
      <w:pPr>
        <w:spacing w:before="200" w:after="60"/>
      </w:pPr>
      <w:r>
        <w:rPr>
          <w:b/>
          <w:color w:val="034B6F"/>
          <w:sz w:val="24"/>
        </w:rPr>
        <w:t>4 · Dokumentations-Standard: jede Grafik erklärt sich selbst (Punkte 10, 11)</w:t>
      </w:r>
    </w:p>
    <w:p>
      <w:pPr>
        <w:spacing w:after="80"/>
      </w:pPr>
      <w:r>
        <w:rPr>
          <w:b/>
          <w:sz w:val="21"/>
        </w:rPr>
        <w:t xml:space="preserve">Kern der Umsetzung: </w:t>
      </w:r>
      <w:r>
        <w:rPr>
          <w:b w:val="0"/>
          <w:sz w:val="21"/>
        </w:rPr>
        <w:t>Für jede Grafik und Analyse gilt verbindlich das Dreierschema (1) ökonomische Interpretation, (2) mathematische Formel mit verbaler Erläuterung, (3) Quelle. Das positiv bewertete Dashboard wurde beibehalten und auf dieses Niveau gehoben.</w:t>
      </w:r>
    </w:p>
    <w:p>
      <w:pPr>
        <w:spacing w:after="80"/>
      </w:pPr>
      <w:r>
        <w:rPr>
          <w:b/>
          <w:sz w:val="21"/>
        </w:rPr>
        <w:t xml:space="preserve">Beispiele aus den neuesten Analysen (Marktbuch): </w:t>
      </w:r>
      <w:r>
        <w:rPr>
          <w:b w:val="0"/>
          <w:sz w:val="21"/>
        </w:rPr>
        <w:t>Doom-Loop-Map (Home-Bias × Sovereign-Exposure/CET1): quantifiziert die Banken-Staaten-Spirale der Eurokrise — Brunnermeier et al. (2016, AER P&amp;P), Acharya/Drechsler/Schnabl (2014, Journal of Finance). Latente AC-Verluste: identische MtM-Formel für alle IFRS-9-Klassen, aber nur HfT/FVTPL/FVOCI sind CET1-wirksam; bei +200 bp sind ~48 % der Marktwertverluste bilanziell unsichtbar — die SVB-Lektion (Jiang et al. 2023, NBER WP 31048). Basis-Punkt-Wert je Bank: BPV = Σ E·D·10⁻⁴ (Tuckman/Serrat 2012). Validierung: Walk-Forward-Backtest mit MAE, Bias und Hit-Rate, jede Kennzahl als Formel + Quelle (Hyndman/Athanasopoulos 2021; Pesaran/Timmermann 1992).</w:t>
      </w:r>
    </w:p>
    <w:p>
      <w:pPr>
        <w:spacing w:after="80"/>
      </w:pPr>
      <w:r>
        <w:rPr>
          <w:b/>
          <w:sz w:val="21"/>
        </w:rPr>
        <w:t xml:space="preserve">Transparenz über Grenzen: </w:t>
      </w:r>
      <w:r>
        <w:rPr>
          <w:b w:val="0"/>
          <w:sz w:val="21"/>
        </w:rPr>
        <w:t>Bekannte Limitationen stehen offen im Modell (TTC-Glättung der A-IRB-PDs, Parallel-Shift-Annahme der Zinskurve, 5 verbleibende Proxy-Datenzellen) — dokumentiert in MODEL_ASSUMPTIONS.md statt versteckt.</w:t>
      </w:r>
    </w:p>
    <w:p>
      <w:pPr>
        <w:spacing w:after="160"/>
      </w:pPr>
      <w:r>
        <w:rPr>
          <w:b/>
          <w:color w:val="6E6E6E"/>
          <w:sz w:val="17"/>
        </w:rPr>
        <w:t xml:space="preserve">Quellen: </w:t>
      </w:r>
      <w:r>
        <w:rPr>
          <w:b w:val="0"/>
          <w:color w:val="6E6E6E"/>
          <w:sz w:val="17"/>
        </w:rPr>
        <w:t>MODEL_ASSUMPTIONS.md §A-01 ff. (jede Annahme: Formel + ökonomische Begründung + Quelle) · README.md (Annahmen-Register mit CRR-Artikeln je Zeile).</w:t>
      </w:r>
    </w:p>
    <w:p>
      <w:pPr>
        <w:spacing w:after="40"/>
      </w:pPr>
      <w:r>
        <w:rPr>
          <w:b/>
          <w:sz w:val="21"/>
        </w:rPr>
        <w:t xml:space="preserve">Fazit: </w:t>
      </w:r>
      <w:r>
        <w:rPr>
          <w:b w:val="0"/>
          <w:sz w:val="21"/>
        </w:rPr>
        <w:t>Alle 10 To-dos aus dem Gespräch sind umgesetzt. Die zwei methodischen Kernforderungen — saubere, mengenbasierte 1-Jahres-PD und getrennte, ökonomisch begründete Risikofaktoren — sind nicht nachträglich dokumentiert, sondern strukturell im Modell verankert: regulatorische A-IRB-PDs als Datenbasis, 2-Faktor-Sensitivitäten mit belegten β je Asset-Klasse.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51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