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CD34F" w14:textId="77777777" w:rsidR="00236E73" w:rsidRPr="003E30B6" w:rsidRDefault="00000000">
      <w:pPr>
        <w:spacing w:before="3000"/>
        <w:jc w:val="center"/>
        <w:rPr>
          <w:lang w:val="de-DE"/>
        </w:rPr>
      </w:pPr>
      <w:r w:rsidRPr="003E30B6">
        <w:rPr>
          <w:b/>
          <w:color w:val="051C2C"/>
          <w:sz w:val="64"/>
          <w:lang w:val="de-DE"/>
        </w:rPr>
        <w:t>Modellannahmen</w:t>
      </w:r>
    </w:p>
    <w:p w14:paraId="3E637476" w14:textId="77777777" w:rsidR="00236E73" w:rsidRPr="003E30B6" w:rsidRDefault="00000000">
      <w:pPr>
        <w:jc w:val="center"/>
        <w:rPr>
          <w:lang w:val="de-DE"/>
        </w:rPr>
      </w:pPr>
      <w:r w:rsidRPr="003E30B6">
        <w:rPr>
          <w:color w:val="034B6F"/>
          <w:sz w:val="26"/>
          <w:lang w:val="de-DE"/>
        </w:rPr>
        <w:t>EU Banking Credit Stress Cockpit</w:t>
      </w:r>
      <w:r w:rsidRPr="003E30B6">
        <w:rPr>
          <w:color w:val="034B6F"/>
          <w:sz w:val="26"/>
          <w:lang w:val="de-DE"/>
        </w:rPr>
        <w:br/>
        <w:t>2-Faktor-Kreditstress (Basel-III-IRB) | Zielgröße CET1-Quote | Pillar-3-Datenbasis</w:t>
      </w:r>
    </w:p>
    <w:p w14:paraId="0877A8F7" w14:textId="77777777" w:rsidR="00236E73" w:rsidRPr="003E30B6" w:rsidRDefault="00000000">
      <w:pPr>
        <w:spacing w:before="600"/>
        <w:jc w:val="center"/>
        <w:rPr>
          <w:lang w:val="de-DE"/>
        </w:rPr>
      </w:pPr>
      <w:r w:rsidRPr="003E30B6">
        <w:rPr>
          <w:color w:val="6E6E6E"/>
          <w:sz w:val="19"/>
          <w:lang w:val="de-DE"/>
        </w:rPr>
        <w:t>Kuratierte Abgabefassung | Stand 08.07.2026</w:t>
      </w:r>
      <w:r w:rsidRPr="003E30B6">
        <w:rPr>
          <w:color w:val="6E6E6E"/>
          <w:sz w:val="19"/>
          <w:lang w:val="de-DE"/>
        </w:rPr>
        <w:br/>
        <w:t>Technische Referenz: Modellarchitektur/docs/MODEL_ASSUMPTIONS.md (V2.1)</w:t>
      </w:r>
    </w:p>
    <w:p w14:paraId="7199B3E4" w14:textId="77777777" w:rsidR="00236E73" w:rsidRPr="003E30B6" w:rsidRDefault="00000000">
      <w:pPr>
        <w:rPr>
          <w:lang w:val="de-DE"/>
        </w:rPr>
      </w:pPr>
      <w:r w:rsidRPr="003E30B6">
        <w:rPr>
          <w:lang w:val="de-DE"/>
        </w:rPr>
        <w:br w:type="page"/>
      </w:r>
    </w:p>
    <w:p w14:paraId="30971975" w14:textId="77777777" w:rsidR="00236E73" w:rsidRPr="003E30B6" w:rsidRDefault="00000000">
      <w:pPr>
        <w:rPr>
          <w:lang w:val="de-DE"/>
        </w:rPr>
      </w:pPr>
      <w:r w:rsidRPr="003E30B6">
        <w:rPr>
          <w:b/>
          <w:color w:val="051C2C"/>
          <w:sz w:val="32"/>
          <w:lang w:val="de-DE"/>
        </w:rPr>
        <w:lastRenderedPageBreak/>
        <w:t>Inhaltsverzeichnis</w:t>
      </w:r>
    </w:p>
    <w:p w14:paraId="2FB85913" w14:textId="77777777" w:rsidR="00236E73" w:rsidRPr="003E30B6" w:rsidRDefault="00000000">
      <w:pPr>
        <w:tabs>
          <w:tab w:val="right" w:leader="dot" w:pos="9298"/>
        </w:tabs>
        <w:spacing w:after="60"/>
        <w:rPr>
          <w:lang w:val="de-DE"/>
        </w:rPr>
      </w:pPr>
      <w:r w:rsidRPr="003E30B6">
        <w:rPr>
          <w:b/>
          <w:sz w:val="19"/>
          <w:lang w:val="de-DE"/>
        </w:rPr>
        <w:t>Abkürzungen und Symbole</w:t>
      </w:r>
      <w:r w:rsidRPr="003E30B6">
        <w:rPr>
          <w:b/>
          <w:sz w:val="19"/>
          <w:lang w:val="de-DE"/>
        </w:rPr>
        <w:tab/>
        <w:t>3</w:t>
      </w:r>
    </w:p>
    <w:p w14:paraId="4E3DF0E3" w14:textId="77777777" w:rsidR="00236E73" w:rsidRPr="003E30B6" w:rsidRDefault="00000000">
      <w:pPr>
        <w:tabs>
          <w:tab w:val="right" w:leader="dot" w:pos="9298"/>
        </w:tabs>
        <w:spacing w:after="60"/>
        <w:rPr>
          <w:lang w:val="de-DE"/>
        </w:rPr>
      </w:pPr>
      <w:r w:rsidRPr="003E30B6">
        <w:rPr>
          <w:b/>
          <w:sz w:val="19"/>
          <w:lang w:val="de-DE"/>
        </w:rPr>
        <w:t>1. Das Modell auf einen Blick</w:t>
      </w:r>
      <w:r w:rsidRPr="003E30B6">
        <w:rPr>
          <w:b/>
          <w:sz w:val="19"/>
          <w:lang w:val="de-DE"/>
        </w:rPr>
        <w:tab/>
        <w:t>5</w:t>
      </w:r>
    </w:p>
    <w:p w14:paraId="394F1D24" w14:textId="77777777" w:rsidR="00236E73" w:rsidRPr="003E30B6" w:rsidRDefault="00000000">
      <w:pPr>
        <w:tabs>
          <w:tab w:val="right" w:leader="dot" w:pos="9298"/>
        </w:tabs>
        <w:spacing w:after="60"/>
        <w:ind w:left="312"/>
        <w:rPr>
          <w:lang w:val="de-DE"/>
        </w:rPr>
      </w:pPr>
      <w:r w:rsidRPr="003E30B6">
        <w:rPr>
          <w:sz w:val="19"/>
          <w:lang w:val="de-DE"/>
        </w:rPr>
        <w:t>Orientierung für die Prüfung</w:t>
      </w:r>
      <w:r w:rsidRPr="003E30B6">
        <w:rPr>
          <w:sz w:val="19"/>
          <w:lang w:val="de-DE"/>
        </w:rPr>
        <w:tab/>
        <w:t>5</w:t>
      </w:r>
    </w:p>
    <w:p w14:paraId="2B1DBE67" w14:textId="77777777" w:rsidR="00236E73" w:rsidRPr="003E30B6" w:rsidRDefault="00000000">
      <w:pPr>
        <w:tabs>
          <w:tab w:val="right" w:leader="dot" w:pos="9298"/>
        </w:tabs>
        <w:spacing w:after="60"/>
        <w:rPr>
          <w:lang w:val="de-DE"/>
        </w:rPr>
      </w:pPr>
      <w:r w:rsidRPr="003E30B6">
        <w:rPr>
          <w:b/>
          <w:sz w:val="19"/>
          <w:lang w:val="de-DE"/>
        </w:rPr>
        <w:t>2. Die zwei Risikofaktoren</w:t>
      </w:r>
      <w:r w:rsidRPr="003E30B6">
        <w:rPr>
          <w:b/>
          <w:sz w:val="19"/>
          <w:lang w:val="de-DE"/>
        </w:rPr>
        <w:tab/>
        <w:t>6</w:t>
      </w:r>
    </w:p>
    <w:p w14:paraId="2F1E4478" w14:textId="77777777" w:rsidR="00236E73" w:rsidRPr="003E30B6" w:rsidRDefault="00000000">
      <w:pPr>
        <w:tabs>
          <w:tab w:val="right" w:leader="dot" w:pos="9298"/>
        </w:tabs>
        <w:spacing w:after="60"/>
        <w:ind w:left="312"/>
        <w:rPr>
          <w:lang w:val="de-DE"/>
        </w:rPr>
      </w:pPr>
      <w:r w:rsidRPr="003E30B6">
        <w:rPr>
          <w:sz w:val="19"/>
          <w:lang w:val="de-DE"/>
        </w:rPr>
        <w:t>Warum Brent und Log-Renditen?</w:t>
      </w:r>
      <w:r w:rsidRPr="003E30B6">
        <w:rPr>
          <w:sz w:val="19"/>
          <w:lang w:val="de-DE"/>
        </w:rPr>
        <w:tab/>
        <w:t>6</w:t>
      </w:r>
    </w:p>
    <w:p w14:paraId="37357B46" w14:textId="77777777" w:rsidR="00236E73" w:rsidRPr="003E30B6" w:rsidRDefault="00000000">
      <w:pPr>
        <w:tabs>
          <w:tab w:val="right" w:leader="dot" w:pos="9298"/>
        </w:tabs>
        <w:spacing w:after="60"/>
        <w:ind w:left="312"/>
        <w:rPr>
          <w:lang w:val="de-DE"/>
        </w:rPr>
      </w:pPr>
      <w:r w:rsidRPr="003E30B6">
        <w:rPr>
          <w:sz w:val="19"/>
          <w:lang w:val="de-DE"/>
        </w:rPr>
        <w:t>Datenquellen und ihre Rollen</w:t>
      </w:r>
      <w:r w:rsidRPr="003E30B6">
        <w:rPr>
          <w:sz w:val="19"/>
          <w:lang w:val="de-DE"/>
        </w:rPr>
        <w:tab/>
        <w:t>7</w:t>
      </w:r>
    </w:p>
    <w:p w14:paraId="19C6F171" w14:textId="77777777" w:rsidR="00236E73" w:rsidRPr="003E30B6" w:rsidRDefault="00000000">
      <w:pPr>
        <w:tabs>
          <w:tab w:val="right" w:leader="dot" w:pos="9298"/>
        </w:tabs>
        <w:spacing w:after="60"/>
        <w:rPr>
          <w:lang w:val="de-DE"/>
        </w:rPr>
      </w:pPr>
      <w:r w:rsidRPr="003E30B6">
        <w:rPr>
          <w:b/>
          <w:sz w:val="19"/>
          <w:lang w:val="de-DE"/>
        </w:rPr>
        <w:t>3. Stressübertragung nach Kreditklasse</w:t>
      </w:r>
      <w:r w:rsidRPr="003E30B6">
        <w:rPr>
          <w:b/>
          <w:sz w:val="19"/>
          <w:lang w:val="de-DE"/>
        </w:rPr>
        <w:tab/>
        <w:t>7</w:t>
      </w:r>
    </w:p>
    <w:p w14:paraId="00293AB2" w14:textId="77777777" w:rsidR="00236E73" w:rsidRPr="003E30B6" w:rsidRDefault="00000000">
      <w:pPr>
        <w:tabs>
          <w:tab w:val="right" w:leader="dot" w:pos="9298"/>
        </w:tabs>
        <w:spacing w:after="60"/>
        <w:ind w:left="312"/>
        <w:rPr>
          <w:lang w:val="de-DE"/>
        </w:rPr>
      </w:pPr>
      <w:r w:rsidRPr="003E30B6">
        <w:rPr>
          <w:sz w:val="19"/>
          <w:lang w:val="de-DE"/>
        </w:rPr>
        <w:t>Ökonomische Logik je Kreditklasse</w:t>
      </w:r>
      <w:r w:rsidRPr="003E30B6">
        <w:rPr>
          <w:sz w:val="19"/>
          <w:lang w:val="de-DE"/>
        </w:rPr>
        <w:tab/>
        <w:t>8</w:t>
      </w:r>
    </w:p>
    <w:p w14:paraId="48BD6C72" w14:textId="77777777" w:rsidR="00236E73" w:rsidRPr="003E30B6" w:rsidRDefault="00000000">
      <w:pPr>
        <w:tabs>
          <w:tab w:val="right" w:leader="dot" w:pos="9298"/>
        </w:tabs>
        <w:spacing w:after="60"/>
        <w:ind w:left="312"/>
        <w:rPr>
          <w:lang w:val="de-DE"/>
        </w:rPr>
      </w:pPr>
      <w:r w:rsidRPr="003E30B6">
        <w:rPr>
          <w:sz w:val="19"/>
          <w:lang w:val="de-DE"/>
        </w:rPr>
        <w:t>Durchgerechnetes Beispiel</w:t>
      </w:r>
      <w:r w:rsidRPr="003E30B6">
        <w:rPr>
          <w:sz w:val="19"/>
          <w:lang w:val="de-DE"/>
        </w:rPr>
        <w:tab/>
        <w:t>8</w:t>
      </w:r>
    </w:p>
    <w:p w14:paraId="25F62A95" w14:textId="77777777" w:rsidR="00236E73" w:rsidRPr="003E30B6" w:rsidRDefault="00000000">
      <w:pPr>
        <w:tabs>
          <w:tab w:val="right" w:leader="dot" w:pos="9298"/>
        </w:tabs>
        <w:spacing w:after="60"/>
        <w:rPr>
          <w:lang w:val="de-DE"/>
        </w:rPr>
      </w:pPr>
      <w:r w:rsidRPr="003E30B6">
        <w:rPr>
          <w:b/>
          <w:sz w:val="19"/>
          <w:lang w:val="de-DE"/>
        </w:rPr>
        <w:t>4. Kapitalrechnung und CET1-Überleitung</w:t>
      </w:r>
      <w:r w:rsidRPr="003E30B6">
        <w:rPr>
          <w:b/>
          <w:sz w:val="19"/>
          <w:lang w:val="de-DE"/>
        </w:rPr>
        <w:tab/>
        <w:t>9</w:t>
      </w:r>
    </w:p>
    <w:p w14:paraId="6FCC5DD5" w14:textId="77777777" w:rsidR="00236E73" w:rsidRPr="003E30B6" w:rsidRDefault="00000000">
      <w:pPr>
        <w:tabs>
          <w:tab w:val="right" w:leader="dot" w:pos="9298"/>
        </w:tabs>
        <w:spacing w:after="60"/>
        <w:ind w:left="312"/>
        <w:rPr>
          <w:lang w:val="de-DE"/>
        </w:rPr>
      </w:pPr>
      <w:r w:rsidRPr="003E30B6">
        <w:rPr>
          <w:sz w:val="19"/>
          <w:lang w:val="de-DE"/>
        </w:rPr>
        <w:t>Die wichtigsten Formeln</w:t>
      </w:r>
      <w:r w:rsidRPr="003E30B6">
        <w:rPr>
          <w:sz w:val="19"/>
          <w:lang w:val="de-DE"/>
        </w:rPr>
        <w:tab/>
        <w:t>9</w:t>
      </w:r>
    </w:p>
    <w:p w14:paraId="0E38AE11" w14:textId="77777777" w:rsidR="00236E73" w:rsidRPr="003E30B6" w:rsidRDefault="00000000">
      <w:pPr>
        <w:tabs>
          <w:tab w:val="right" w:leader="dot" w:pos="9298"/>
        </w:tabs>
        <w:spacing w:after="60"/>
        <w:ind w:left="312"/>
        <w:rPr>
          <w:lang w:val="de-DE"/>
        </w:rPr>
      </w:pPr>
      <w:r w:rsidRPr="003E30B6">
        <w:rPr>
          <w:sz w:val="19"/>
          <w:lang w:val="de-DE"/>
        </w:rPr>
        <w:t>Der Sovereign-Kanal konkret</w:t>
      </w:r>
      <w:r w:rsidRPr="003E30B6">
        <w:rPr>
          <w:sz w:val="19"/>
          <w:lang w:val="de-DE"/>
        </w:rPr>
        <w:tab/>
        <w:t>10</w:t>
      </w:r>
    </w:p>
    <w:p w14:paraId="2F7A750E" w14:textId="77777777" w:rsidR="00236E73" w:rsidRPr="003E30B6" w:rsidRDefault="00000000">
      <w:pPr>
        <w:tabs>
          <w:tab w:val="right" w:leader="dot" w:pos="9298"/>
        </w:tabs>
        <w:spacing w:after="60"/>
        <w:rPr>
          <w:lang w:val="de-DE"/>
        </w:rPr>
      </w:pPr>
      <w:r w:rsidRPr="003E30B6">
        <w:rPr>
          <w:b/>
          <w:sz w:val="19"/>
          <w:lang w:val="de-DE"/>
        </w:rPr>
        <w:t>5. Datenbasis und Qualitätsprüfung</w:t>
      </w:r>
      <w:r w:rsidRPr="003E30B6">
        <w:rPr>
          <w:b/>
          <w:sz w:val="19"/>
          <w:lang w:val="de-DE"/>
        </w:rPr>
        <w:tab/>
        <w:t>11</w:t>
      </w:r>
    </w:p>
    <w:p w14:paraId="07E95A61" w14:textId="77777777" w:rsidR="00236E73" w:rsidRPr="003E30B6" w:rsidRDefault="00000000">
      <w:pPr>
        <w:tabs>
          <w:tab w:val="right" w:leader="dot" w:pos="9298"/>
        </w:tabs>
        <w:spacing w:after="60"/>
        <w:rPr>
          <w:lang w:val="de-DE"/>
        </w:rPr>
      </w:pPr>
      <w:r w:rsidRPr="003E30B6">
        <w:rPr>
          <w:b/>
          <w:sz w:val="19"/>
          <w:lang w:val="de-DE"/>
        </w:rPr>
        <w:t>6. Annahmenübersicht (A-01 bis A-10)</w:t>
      </w:r>
      <w:r w:rsidRPr="003E30B6">
        <w:rPr>
          <w:b/>
          <w:sz w:val="19"/>
          <w:lang w:val="de-DE"/>
        </w:rPr>
        <w:tab/>
        <w:t>12</w:t>
      </w:r>
    </w:p>
    <w:p w14:paraId="1E3CE8DF" w14:textId="77777777" w:rsidR="00236E73" w:rsidRPr="003E30B6" w:rsidRDefault="00000000">
      <w:pPr>
        <w:tabs>
          <w:tab w:val="right" w:leader="dot" w:pos="9298"/>
        </w:tabs>
        <w:spacing w:after="60"/>
        <w:rPr>
          <w:lang w:val="de-DE"/>
        </w:rPr>
      </w:pPr>
      <w:r w:rsidRPr="003E30B6">
        <w:rPr>
          <w:b/>
          <w:sz w:val="19"/>
          <w:lang w:val="de-DE"/>
        </w:rPr>
        <w:t>7. Validierung: CET1-Walk-Forward-Backtest</w:t>
      </w:r>
      <w:r w:rsidRPr="003E30B6">
        <w:rPr>
          <w:b/>
          <w:sz w:val="19"/>
          <w:lang w:val="de-DE"/>
        </w:rPr>
        <w:tab/>
        <w:t>15</w:t>
      </w:r>
    </w:p>
    <w:p w14:paraId="21BE7E3E" w14:textId="77777777" w:rsidR="00236E73" w:rsidRPr="003E30B6" w:rsidRDefault="00000000">
      <w:pPr>
        <w:tabs>
          <w:tab w:val="right" w:leader="dot" w:pos="9298"/>
        </w:tabs>
        <w:spacing w:after="60"/>
        <w:rPr>
          <w:lang w:val="de-DE"/>
        </w:rPr>
      </w:pPr>
      <w:r w:rsidRPr="003E30B6">
        <w:rPr>
          <w:b/>
          <w:sz w:val="19"/>
          <w:lang w:val="de-DE"/>
        </w:rPr>
        <w:t>8. Bewusste Modellgrenzen</w:t>
      </w:r>
      <w:r w:rsidRPr="003E30B6">
        <w:rPr>
          <w:b/>
          <w:sz w:val="19"/>
          <w:lang w:val="de-DE"/>
        </w:rPr>
        <w:tab/>
        <w:t>16</w:t>
      </w:r>
    </w:p>
    <w:p w14:paraId="23FDD216" w14:textId="77777777" w:rsidR="00236E73" w:rsidRPr="003E30B6" w:rsidRDefault="00000000">
      <w:pPr>
        <w:tabs>
          <w:tab w:val="right" w:leader="dot" w:pos="9298"/>
        </w:tabs>
        <w:spacing w:after="60"/>
        <w:rPr>
          <w:lang w:val="de-DE"/>
        </w:rPr>
      </w:pPr>
      <w:r w:rsidRPr="003E30B6">
        <w:rPr>
          <w:b/>
          <w:sz w:val="19"/>
          <w:lang w:val="de-DE"/>
        </w:rPr>
        <w:t>9. Bibliographie</w:t>
      </w:r>
      <w:r w:rsidRPr="003E30B6">
        <w:rPr>
          <w:b/>
          <w:sz w:val="19"/>
          <w:lang w:val="de-DE"/>
        </w:rPr>
        <w:tab/>
        <w:t>17</w:t>
      </w:r>
    </w:p>
    <w:p w14:paraId="5B716D5B" w14:textId="77777777" w:rsidR="00236E73" w:rsidRPr="003E30B6" w:rsidRDefault="00000000">
      <w:pPr>
        <w:rPr>
          <w:lang w:val="de-DE"/>
        </w:rPr>
      </w:pPr>
      <w:r w:rsidRPr="003E30B6">
        <w:rPr>
          <w:lang w:val="de-DE"/>
        </w:rPr>
        <w:br w:type="page"/>
      </w:r>
    </w:p>
    <w:p w14:paraId="297D3452" w14:textId="77777777" w:rsidR="00236E73" w:rsidRPr="003E30B6" w:rsidRDefault="00000000">
      <w:pPr>
        <w:pStyle w:val="Heading1"/>
        <w:rPr>
          <w:lang w:val="de-DE"/>
        </w:rPr>
      </w:pPr>
      <w:r w:rsidRPr="003E30B6">
        <w:rPr>
          <w:lang w:val="de-DE"/>
        </w:rPr>
        <w:lastRenderedPageBreak/>
        <w:t>Abkürzungen und Symbole</w:t>
      </w:r>
    </w:p>
    <w:p w14:paraId="434CF5B8" w14:textId="77777777" w:rsidR="00236E73" w:rsidRPr="003E30B6" w:rsidRDefault="00000000">
      <w:pPr>
        <w:rPr>
          <w:lang w:val="de-DE"/>
        </w:rPr>
      </w:pPr>
      <w:r w:rsidRPr="003E30B6">
        <w:rPr>
          <w:lang w:val="de-DE"/>
        </w:rPr>
        <w:t>Kurzreferenz für die kritische Durchsicht - jede Abkürzung wird zusätzlich bei ihrem ersten inhaltlichen Auftreten im Text erläutert.</w:t>
      </w:r>
    </w:p>
    <w:p w14:paraId="7A7B7C11" w14:textId="77777777" w:rsidR="00236E73" w:rsidRDefault="00000000">
      <w:pPr>
        <w:pStyle w:val="Heading2"/>
      </w:pPr>
      <w:r>
        <w:t>Abkürzungen</w:t>
      </w:r>
    </w:p>
    <w:tbl>
      <w:tblPr>
        <w:tblStyle w:val="TableGrid"/>
        <w:tblW w:w="0" w:type="auto"/>
        <w:jc w:val="center"/>
        <w:tblLook w:val="04A0" w:firstRow="1" w:lastRow="0" w:firstColumn="1" w:lastColumn="0" w:noHBand="0" w:noVBand="1"/>
      </w:tblPr>
      <w:tblGrid>
        <w:gridCol w:w="1600"/>
        <w:gridCol w:w="7811"/>
      </w:tblGrid>
      <w:tr w:rsidR="00236E73" w14:paraId="3CC5FEC4" w14:textId="77777777">
        <w:trPr>
          <w:jc w:val="center"/>
        </w:trPr>
        <w:tc>
          <w:tcPr>
            <w:tcW w:w="1600" w:type="dxa"/>
            <w:shd w:val="clear" w:color="auto" w:fill="D9E4EC"/>
          </w:tcPr>
          <w:p w14:paraId="6E538B6A" w14:textId="77777777" w:rsidR="00236E73" w:rsidRDefault="00000000">
            <w:r>
              <w:rPr>
                <w:b/>
                <w:sz w:val="17"/>
              </w:rPr>
              <w:t>Abkürzung</w:t>
            </w:r>
          </w:p>
        </w:tc>
        <w:tc>
          <w:tcPr>
            <w:tcW w:w="7811" w:type="dxa"/>
            <w:shd w:val="clear" w:color="auto" w:fill="D9E4EC"/>
          </w:tcPr>
          <w:p w14:paraId="16184970" w14:textId="77777777" w:rsidR="00236E73" w:rsidRDefault="00000000">
            <w:r>
              <w:rPr>
                <w:b/>
                <w:sz w:val="17"/>
              </w:rPr>
              <w:t>Bedeutung</w:t>
            </w:r>
          </w:p>
        </w:tc>
      </w:tr>
      <w:tr w:rsidR="00236E73" w:rsidRPr="003E30B6" w14:paraId="3B080AEF" w14:textId="77777777">
        <w:trPr>
          <w:jc w:val="center"/>
        </w:trPr>
        <w:tc>
          <w:tcPr>
            <w:tcW w:w="1600" w:type="dxa"/>
          </w:tcPr>
          <w:p w14:paraId="12CB7E12" w14:textId="77777777" w:rsidR="00236E73" w:rsidRDefault="00000000">
            <w:r>
              <w:rPr>
                <w:sz w:val="17"/>
              </w:rPr>
              <w:t>A-IRB / F-IRB</w:t>
            </w:r>
          </w:p>
        </w:tc>
        <w:tc>
          <w:tcPr>
            <w:tcW w:w="7811" w:type="dxa"/>
          </w:tcPr>
          <w:p w14:paraId="23B03C5A" w14:textId="77777777" w:rsidR="00236E73" w:rsidRPr="003E30B6" w:rsidRDefault="00000000">
            <w:pPr>
              <w:rPr>
                <w:lang w:val="de-DE"/>
              </w:rPr>
            </w:pPr>
            <w:r w:rsidRPr="003E30B6">
              <w:rPr>
                <w:sz w:val="17"/>
                <w:lang w:val="de-DE"/>
              </w:rPr>
              <w:t>Advanced / Foundation Internal Ratings-Based - im A-IRB schätzt die Bank PD und LGD selbst, im F-IRB nur die PD (LGD regulatorisch, z. B. 45 % für unbesicherte Senior-Forderungen)</w:t>
            </w:r>
          </w:p>
        </w:tc>
      </w:tr>
      <w:tr w:rsidR="00236E73" w:rsidRPr="003E30B6" w14:paraId="2C554068" w14:textId="77777777">
        <w:trPr>
          <w:jc w:val="center"/>
        </w:trPr>
        <w:tc>
          <w:tcPr>
            <w:tcW w:w="1600" w:type="dxa"/>
          </w:tcPr>
          <w:p w14:paraId="3E983C2E" w14:textId="77777777" w:rsidR="00236E73" w:rsidRDefault="00000000">
            <w:r>
              <w:rPr>
                <w:sz w:val="17"/>
              </w:rPr>
              <w:t>AC</w:t>
            </w:r>
          </w:p>
        </w:tc>
        <w:tc>
          <w:tcPr>
            <w:tcW w:w="7811" w:type="dxa"/>
          </w:tcPr>
          <w:p w14:paraId="714983E1" w14:textId="77777777" w:rsidR="00236E73" w:rsidRPr="003E30B6" w:rsidRDefault="00000000">
            <w:pPr>
              <w:rPr>
                <w:lang w:val="de-DE"/>
              </w:rPr>
            </w:pPr>
            <w:r w:rsidRPr="003E30B6">
              <w:rPr>
                <w:sz w:val="17"/>
                <w:lang w:val="de-DE"/>
              </w:rPr>
              <w:t>Amortised Cost - zu fortgeführten Anschaffungskosten bilanziert; kein laufender Marktwert-Effekt im Eigenkapital</w:t>
            </w:r>
          </w:p>
        </w:tc>
      </w:tr>
      <w:tr w:rsidR="00236E73" w14:paraId="2498B0DD" w14:textId="77777777">
        <w:trPr>
          <w:jc w:val="center"/>
        </w:trPr>
        <w:tc>
          <w:tcPr>
            <w:tcW w:w="1600" w:type="dxa"/>
          </w:tcPr>
          <w:p w14:paraId="5D949E63" w14:textId="77777777" w:rsidR="00236E73" w:rsidRDefault="00000000">
            <w:r>
              <w:rPr>
                <w:sz w:val="17"/>
              </w:rPr>
              <w:t>ASRF</w:t>
            </w:r>
          </w:p>
        </w:tc>
        <w:tc>
          <w:tcPr>
            <w:tcW w:w="7811" w:type="dxa"/>
          </w:tcPr>
          <w:p w14:paraId="298D162E" w14:textId="77777777" w:rsidR="00236E73" w:rsidRDefault="00000000">
            <w:r>
              <w:rPr>
                <w:sz w:val="17"/>
              </w:rPr>
              <w:t>Asymptotic Single Risk Factor - Portfoliomodell hinter der Basel-IRB-Formel (Vasicek/Gordy)</w:t>
            </w:r>
          </w:p>
        </w:tc>
      </w:tr>
      <w:tr w:rsidR="00236E73" w14:paraId="622D32B9" w14:textId="77777777">
        <w:trPr>
          <w:jc w:val="center"/>
        </w:trPr>
        <w:tc>
          <w:tcPr>
            <w:tcW w:w="1600" w:type="dxa"/>
          </w:tcPr>
          <w:p w14:paraId="10C5D313" w14:textId="77777777" w:rsidR="00236E73" w:rsidRDefault="00000000">
            <w:r>
              <w:rPr>
                <w:sz w:val="17"/>
              </w:rPr>
              <w:t>bp</w:t>
            </w:r>
          </w:p>
        </w:tc>
        <w:tc>
          <w:tcPr>
            <w:tcW w:w="7811" w:type="dxa"/>
          </w:tcPr>
          <w:p w14:paraId="103F29A4" w14:textId="77777777" w:rsidR="00236E73" w:rsidRDefault="00000000">
            <w:r>
              <w:rPr>
                <w:sz w:val="17"/>
              </w:rPr>
              <w:t>Basispunkt = 0,01 Prozentpunkte</w:t>
            </w:r>
          </w:p>
        </w:tc>
      </w:tr>
      <w:tr w:rsidR="00236E73" w:rsidRPr="003E30B6" w14:paraId="288BEA12" w14:textId="77777777">
        <w:trPr>
          <w:jc w:val="center"/>
        </w:trPr>
        <w:tc>
          <w:tcPr>
            <w:tcW w:w="1600" w:type="dxa"/>
          </w:tcPr>
          <w:p w14:paraId="7AFFBB3F" w14:textId="77777777" w:rsidR="00236E73" w:rsidRDefault="00000000">
            <w:r>
              <w:rPr>
                <w:sz w:val="17"/>
              </w:rPr>
              <w:t>CCF</w:t>
            </w:r>
          </w:p>
        </w:tc>
        <w:tc>
          <w:tcPr>
            <w:tcW w:w="7811" w:type="dxa"/>
          </w:tcPr>
          <w:p w14:paraId="3FBF4A23" w14:textId="77777777" w:rsidR="00236E73" w:rsidRPr="003E30B6" w:rsidRDefault="00000000">
            <w:pPr>
              <w:rPr>
                <w:lang w:val="de-DE"/>
              </w:rPr>
            </w:pPr>
            <w:r w:rsidRPr="003E30B6">
              <w:rPr>
                <w:sz w:val="17"/>
                <w:lang w:val="de-DE"/>
              </w:rPr>
              <w:t>Credit Conversion Factor - Umrechnungsfaktor für außerbilanzielle Kreditzusagen in EAD</w:t>
            </w:r>
          </w:p>
        </w:tc>
      </w:tr>
      <w:tr w:rsidR="00236E73" w:rsidRPr="003E30B6" w14:paraId="521D23C4" w14:textId="77777777">
        <w:trPr>
          <w:jc w:val="center"/>
        </w:trPr>
        <w:tc>
          <w:tcPr>
            <w:tcW w:w="1600" w:type="dxa"/>
          </w:tcPr>
          <w:p w14:paraId="1A9F87B6" w14:textId="77777777" w:rsidR="00236E73" w:rsidRDefault="00000000">
            <w:r>
              <w:rPr>
                <w:sz w:val="17"/>
              </w:rPr>
              <w:t>CET1</w:t>
            </w:r>
          </w:p>
        </w:tc>
        <w:tc>
          <w:tcPr>
            <w:tcW w:w="7811" w:type="dxa"/>
          </w:tcPr>
          <w:p w14:paraId="75261C6B" w14:textId="77777777" w:rsidR="00236E73" w:rsidRPr="003E30B6" w:rsidRDefault="00000000">
            <w:pPr>
              <w:rPr>
                <w:lang w:val="de-DE"/>
              </w:rPr>
            </w:pPr>
            <w:r w:rsidRPr="003E30B6">
              <w:rPr>
                <w:sz w:val="17"/>
                <w:lang w:val="de-DE"/>
              </w:rPr>
              <w:t>Common Equity Tier 1 - hartes Kernkapital; die CET1-Quote (CET1 ÷ RWA) ist die Zielgröße des Modells</w:t>
            </w:r>
          </w:p>
        </w:tc>
      </w:tr>
      <w:tr w:rsidR="00236E73" w14:paraId="6B02BE21" w14:textId="77777777">
        <w:trPr>
          <w:jc w:val="center"/>
        </w:trPr>
        <w:tc>
          <w:tcPr>
            <w:tcW w:w="1600" w:type="dxa"/>
          </w:tcPr>
          <w:p w14:paraId="42F1E973" w14:textId="77777777" w:rsidR="00236E73" w:rsidRDefault="00000000">
            <w:r>
              <w:rPr>
                <w:sz w:val="17"/>
              </w:rPr>
              <w:t>CRR</w:t>
            </w:r>
          </w:p>
        </w:tc>
        <w:tc>
          <w:tcPr>
            <w:tcW w:w="7811" w:type="dxa"/>
          </w:tcPr>
          <w:p w14:paraId="5595B30C" w14:textId="77777777" w:rsidR="00236E73" w:rsidRDefault="00000000">
            <w:r>
              <w:rPr>
                <w:sz w:val="17"/>
              </w:rPr>
              <w:t>Capital Requirements Regulation - Verordnung (EU) Nr. 575/2013</w:t>
            </w:r>
          </w:p>
        </w:tc>
      </w:tr>
      <w:tr w:rsidR="00236E73" w:rsidRPr="003E30B6" w14:paraId="12F2436D" w14:textId="77777777">
        <w:trPr>
          <w:jc w:val="center"/>
        </w:trPr>
        <w:tc>
          <w:tcPr>
            <w:tcW w:w="1600" w:type="dxa"/>
          </w:tcPr>
          <w:p w14:paraId="6344F1F8" w14:textId="77777777" w:rsidR="00236E73" w:rsidRDefault="00000000">
            <w:r>
              <w:rPr>
                <w:sz w:val="17"/>
              </w:rPr>
              <w:t>EAD</w:t>
            </w:r>
          </w:p>
        </w:tc>
        <w:tc>
          <w:tcPr>
            <w:tcW w:w="7811" w:type="dxa"/>
          </w:tcPr>
          <w:p w14:paraId="6703AC34" w14:textId="77777777" w:rsidR="00236E73" w:rsidRPr="003E30B6" w:rsidRDefault="00000000">
            <w:pPr>
              <w:rPr>
                <w:lang w:val="de-DE"/>
              </w:rPr>
            </w:pPr>
            <w:r w:rsidRPr="003E30B6">
              <w:rPr>
                <w:sz w:val="17"/>
                <w:lang w:val="de-DE"/>
              </w:rPr>
              <w:t>Exposure at Default - Forderungshöhe bei Ausfall (post-CCF)</w:t>
            </w:r>
          </w:p>
        </w:tc>
      </w:tr>
      <w:tr w:rsidR="00236E73" w:rsidRPr="003E30B6" w14:paraId="13A00523" w14:textId="77777777">
        <w:trPr>
          <w:jc w:val="center"/>
        </w:trPr>
        <w:tc>
          <w:tcPr>
            <w:tcW w:w="1600" w:type="dxa"/>
          </w:tcPr>
          <w:p w14:paraId="73115BBA" w14:textId="77777777" w:rsidR="00236E73" w:rsidRDefault="00000000">
            <w:r>
              <w:rPr>
                <w:sz w:val="17"/>
              </w:rPr>
              <w:t>EBA</w:t>
            </w:r>
          </w:p>
        </w:tc>
        <w:tc>
          <w:tcPr>
            <w:tcW w:w="7811" w:type="dxa"/>
          </w:tcPr>
          <w:p w14:paraId="7BF8D212" w14:textId="77777777" w:rsidR="00236E73" w:rsidRPr="003E30B6" w:rsidRDefault="00000000">
            <w:pPr>
              <w:rPr>
                <w:lang w:val="de-DE"/>
              </w:rPr>
            </w:pPr>
            <w:r w:rsidRPr="003E30B6">
              <w:rPr>
                <w:sz w:val="17"/>
                <w:lang w:val="de-DE"/>
              </w:rPr>
              <w:t>European Banking Authority - EU-Bankenaufsichtsbehörde</w:t>
            </w:r>
          </w:p>
        </w:tc>
      </w:tr>
      <w:tr w:rsidR="00236E73" w14:paraId="4E051C10" w14:textId="77777777">
        <w:trPr>
          <w:jc w:val="center"/>
        </w:trPr>
        <w:tc>
          <w:tcPr>
            <w:tcW w:w="1600" w:type="dxa"/>
          </w:tcPr>
          <w:p w14:paraId="7CF1C848" w14:textId="77777777" w:rsidR="00236E73" w:rsidRDefault="00000000">
            <w:r>
              <w:rPr>
                <w:sz w:val="17"/>
              </w:rPr>
              <w:t>EL</w:t>
            </w:r>
          </w:p>
        </w:tc>
        <w:tc>
          <w:tcPr>
            <w:tcW w:w="7811" w:type="dxa"/>
          </w:tcPr>
          <w:p w14:paraId="629D77AD" w14:textId="77777777" w:rsidR="00236E73" w:rsidRDefault="00000000">
            <w:r>
              <w:rPr>
                <w:sz w:val="17"/>
              </w:rPr>
              <w:t>Expected Loss - erwarteter Verlust = PD · LGD · EAD</w:t>
            </w:r>
          </w:p>
        </w:tc>
      </w:tr>
      <w:tr w:rsidR="00236E73" w:rsidRPr="003E30B6" w14:paraId="72960B69" w14:textId="77777777">
        <w:trPr>
          <w:jc w:val="center"/>
        </w:trPr>
        <w:tc>
          <w:tcPr>
            <w:tcW w:w="1600" w:type="dxa"/>
          </w:tcPr>
          <w:p w14:paraId="35126116" w14:textId="77777777" w:rsidR="00236E73" w:rsidRDefault="00000000">
            <w:r>
              <w:rPr>
                <w:sz w:val="17"/>
              </w:rPr>
              <w:t>EU CR6</w:t>
            </w:r>
          </w:p>
        </w:tc>
        <w:tc>
          <w:tcPr>
            <w:tcW w:w="7811" w:type="dxa"/>
          </w:tcPr>
          <w:p w14:paraId="1D236994" w14:textId="77777777" w:rsidR="00236E73" w:rsidRPr="003E30B6" w:rsidRDefault="00000000">
            <w:pPr>
              <w:rPr>
                <w:lang w:val="de-DE"/>
              </w:rPr>
            </w:pPr>
            <w:r w:rsidRPr="003E30B6">
              <w:rPr>
                <w:sz w:val="17"/>
                <w:lang w:val="de-DE"/>
              </w:rPr>
              <w:t>Pillar-3-Offenlegungstemplate für IRB-Kreditrisiko (PD/LGD/EAD je Exposure-Klasse; EBA ITS/2020/04)</w:t>
            </w:r>
          </w:p>
        </w:tc>
      </w:tr>
      <w:tr w:rsidR="00236E73" w:rsidRPr="003E30B6" w14:paraId="38AA48AD" w14:textId="77777777">
        <w:trPr>
          <w:jc w:val="center"/>
        </w:trPr>
        <w:tc>
          <w:tcPr>
            <w:tcW w:w="1600" w:type="dxa"/>
          </w:tcPr>
          <w:p w14:paraId="0140A147" w14:textId="77777777" w:rsidR="00236E73" w:rsidRDefault="00000000">
            <w:r>
              <w:rPr>
                <w:sz w:val="17"/>
              </w:rPr>
              <w:t>FVOCI</w:t>
            </w:r>
          </w:p>
        </w:tc>
        <w:tc>
          <w:tcPr>
            <w:tcW w:w="7811" w:type="dxa"/>
          </w:tcPr>
          <w:p w14:paraId="2777C416" w14:textId="77777777" w:rsidR="00236E73" w:rsidRPr="003E30B6" w:rsidRDefault="00000000">
            <w:pPr>
              <w:rPr>
                <w:lang w:val="de-DE"/>
              </w:rPr>
            </w:pPr>
            <w:r w:rsidRPr="003E30B6">
              <w:rPr>
                <w:sz w:val="17"/>
                <w:lang w:val="de-DE"/>
              </w:rPr>
              <w:t>Fair Value through Other Comprehensive Income - Marktwertänderungen wirken erfolgsneutral direkt im Eigenkapital (OCI)</w:t>
            </w:r>
          </w:p>
        </w:tc>
      </w:tr>
      <w:tr w:rsidR="00236E73" w:rsidRPr="003E30B6" w14:paraId="3A34947B" w14:textId="77777777">
        <w:trPr>
          <w:jc w:val="center"/>
        </w:trPr>
        <w:tc>
          <w:tcPr>
            <w:tcW w:w="1600" w:type="dxa"/>
          </w:tcPr>
          <w:p w14:paraId="77B2DB2A" w14:textId="77777777" w:rsidR="00236E73" w:rsidRDefault="00000000">
            <w:r>
              <w:rPr>
                <w:sz w:val="17"/>
              </w:rPr>
              <w:t>FVTPL / HfT</w:t>
            </w:r>
          </w:p>
        </w:tc>
        <w:tc>
          <w:tcPr>
            <w:tcW w:w="7811" w:type="dxa"/>
          </w:tcPr>
          <w:p w14:paraId="238ED957" w14:textId="77777777" w:rsidR="00236E73" w:rsidRPr="003E30B6" w:rsidRDefault="00000000">
            <w:pPr>
              <w:rPr>
                <w:lang w:val="de-DE"/>
              </w:rPr>
            </w:pPr>
            <w:r w:rsidRPr="003E30B6">
              <w:rPr>
                <w:sz w:val="17"/>
                <w:lang w:val="de-DE"/>
              </w:rPr>
              <w:t>Fair Value through Profit or Loss / Held for Trading - Marktwertänderungen wirken über die Gewinn- und Verlustrechnung</w:t>
            </w:r>
          </w:p>
        </w:tc>
      </w:tr>
      <w:tr w:rsidR="00236E73" w14:paraId="582D847F" w14:textId="77777777">
        <w:trPr>
          <w:jc w:val="center"/>
        </w:trPr>
        <w:tc>
          <w:tcPr>
            <w:tcW w:w="1600" w:type="dxa"/>
          </w:tcPr>
          <w:p w14:paraId="0E30FD2A" w14:textId="77777777" w:rsidR="00236E73" w:rsidRDefault="00000000">
            <w:r>
              <w:rPr>
                <w:sz w:val="17"/>
              </w:rPr>
              <w:t>ICAAP</w:t>
            </w:r>
          </w:p>
        </w:tc>
        <w:tc>
          <w:tcPr>
            <w:tcW w:w="7811" w:type="dxa"/>
          </w:tcPr>
          <w:p w14:paraId="086CFCDE" w14:textId="77777777" w:rsidR="00236E73" w:rsidRDefault="00000000">
            <w:r>
              <w:rPr>
                <w:sz w:val="17"/>
              </w:rPr>
              <w:t>Internal Capital Adequacy Assessment Process - bankinterner Kapitaladäquanz-Prozess</w:t>
            </w:r>
          </w:p>
        </w:tc>
      </w:tr>
      <w:tr w:rsidR="00236E73" w:rsidRPr="003E30B6" w14:paraId="1527613E" w14:textId="77777777">
        <w:trPr>
          <w:jc w:val="center"/>
        </w:trPr>
        <w:tc>
          <w:tcPr>
            <w:tcW w:w="1600" w:type="dxa"/>
          </w:tcPr>
          <w:p w14:paraId="6540F0A6" w14:textId="77777777" w:rsidR="00236E73" w:rsidRDefault="00000000">
            <w:r>
              <w:rPr>
                <w:sz w:val="17"/>
              </w:rPr>
              <w:t>IRB</w:t>
            </w:r>
          </w:p>
        </w:tc>
        <w:tc>
          <w:tcPr>
            <w:tcW w:w="7811" w:type="dxa"/>
          </w:tcPr>
          <w:p w14:paraId="075CFB75" w14:textId="77777777" w:rsidR="00236E73" w:rsidRPr="003E30B6" w:rsidRDefault="00000000">
            <w:pPr>
              <w:rPr>
                <w:lang w:val="de-DE"/>
              </w:rPr>
            </w:pPr>
            <w:r w:rsidRPr="003E30B6">
              <w:rPr>
                <w:sz w:val="17"/>
                <w:lang w:val="de-DE"/>
              </w:rPr>
              <w:t>Internal Ratings-Based Approach - auf internen Ratings basierender Ansatz der Kapitalunterlegung</w:t>
            </w:r>
          </w:p>
        </w:tc>
      </w:tr>
      <w:tr w:rsidR="00236E73" w:rsidRPr="003E30B6" w14:paraId="4FA6B024" w14:textId="77777777">
        <w:trPr>
          <w:jc w:val="center"/>
        </w:trPr>
        <w:tc>
          <w:tcPr>
            <w:tcW w:w="1600" w:type="dxa"/>
          </w:tcPr>
          <w:p w14:paraId="22CA41AB" w14:textId="77777777" w:rsidR="00236E73" w:rsidRDefault="00000000">
            <w:r>
              <w:rPr>
                <w:sz w:val="17"/>
              </w:rPr>
              <w:t>LEI</w:t>
            </w:r>
          </w:p>
        </w:tc>
        <w:tc>
          <w:tcPr>
            <w:tcW w:w="7811" w:type="dxa"/>
          </w:tcPr>
          <w:p w14:paraId="44461529" w14:textId="77777777" w:rsidR="00236E73" w:rsidRPr="003E30B6" w:rsidRDefault="00000000">
            <w:pPr>
              <w:rPr>
                <w:lang w:val="de-DE"/>
              </w:rPr>
            </w:pPr>
            <w:r w:rsidRPr="003E30B6">
              <w:rPr>
                <w:sz w:val="17"/>
                <w:lang w:val="de-DE"/>
              </w:rPr>
              <w:t>Legal Entity Identifier - eindeutige Kennung je Institut</w:t>
            </w:r>
          </w:p>
        </w:tc>
      </w:tr>
      <w:tr w:rsidR="00236E73" w:rsidRPr="003E30B6" w14:paraId="5B75D6AD" w14:textId="77777777">
        <w:trPr>
          <w:jc w:val="center"/>
        </w:trPr>
        <w:tc>
          <w:tcPr>
            <w:tcW w:w="1600" w:type="dxa"/>
          </w:tcPr>
          <w:p w14:paraId="48C044A5" w14:textId="77777777" w:rsidR="00236E73" w:rsidRDefault="00000000">
            <w:r>
              <w:rPr>
                <w:sz w:val="17"/>
              </w:rPr>
              <w:t>LGD</w:t>
            </w:r>
          </w:p>
        </w:tc>
        <w:tc>
          <w:tcPr>
            <w:tcW w:w="7811" w:type="dxa"/>
          </w:tcPr>
          <w:p w14:paraId="1316598B" w14:textId="77777777" w:rsidR="00236E73" w:rsidRPr="003E30B6" w:rsidRDefault="00000000">
            <w:pPr>
              <w:rPr>
                <w:lang w:val="de-DE"/>
              </w:rPr>
            </w:pPr>
            <w:r w:rsidRPr="003E30B6">
              <w:rPr>
                <w:sz w:val="17"/>
                <w:lang w:val="de-DE"/>
              </w:rPr>
              <w:t>Loss Given Default - Verlustquote bei Ausfall</w:t>
            </w:r>
          </w:p>
        </w:tc>
      </w:tr>
      <w:tr w:rsidR="00236E73" w:rsidRPr="003E30B6" w14:paraId="6C4DC36E" w14:textId="77777777">
        <w:trPr>
          <w:jc w:val="center"/>
        </w:trPr>
        <w:tc>
          <w:tcPr>
            <w:tcW w:w="1600" w:type="dxa"/>
          </w:tcPr>
          <w:p w14:paraId="52B998FE" w14:textId="77777777" w:rsidR="00236E73" w:rsidRDefault="00000000">
            <w:r>
              <w:rPr>
                <w:sz w:val="17"/>
              </w:rPr>
              <w:t>MAE</w:t>
            </w:r>
          </w:p>
        </w:tc>
        <w:tc>
          <w:tcPr>
            <w:tcW w:w="7811" w:type="dxa"/>
          </w:tcPr>
          <w:p w14:paraId="352F2290" w14:textId="77777777" w:rsidR="00236E73" w:rsidRPr="003E30B6" w:rsidRDefault="00000000">
            <w:pPr>
              <w:rPr>
                <w:lang w:val="de-DE"/>
              </w:rPr>
            </w:pPr>
            <w:r w:rsidRPr="003E30B6">
              <w:rPr>
                <w:sz w:val="17"/>
                <w:lang w:val="de-DE"/>
              </w:rPr>
              <w:t>Mean Absolute Error - mittlerer absoluter Prognosefehler</w:t>
            </w:r>
          </w:p>
        </w:tc>
      </w:tr>
      <w:tr w:rsidR="00236E73" w:rsidRPr="003E30B6" w14:paraId="3470BF89" w14:textId="77777777">
        <w:trPr>
          <w:jc w:val="center"/>
        </w:trPr>
        <w:tc>
          <w:tcPr>
            <w:tcW w:w="1600" w:type="dxa"/>
          </w:tcPr>
          <w:p w14:paraId="7E4F39FC" w14:textId="77777777" w:rsidR="00236E73" w:rsidRDefault="00000000">
            <w:r>
              <w:rPr>
                <w:sz w:val="17"/>
              </w:rPr>
              <w:t>MtM</w:t>
            </w:r>
          </w:p>
        </w:tc>
        <w:tc>
          <w:tcPr>
            <w:tcW w:w="7811" w:type="dxa"/>
          </w:tcPr>
          <w:p w14:paraId="40706F75" w14:textId="77777777" w:rsidR="00236E73" w:rsidRPr="003E30B6" w:rsidRDefault="00000000">
            <w:pPr>
              <w:rPr>
                <w:lang w:val="de-DE"/>
              </w:rPr>
            </w:pPr>
            <w:r w:rsidRPr="003E30B6">
              <w:rPr>
                <w:sz w:val="17"/>
                <w:lang w:val="de-DE"/>
              </w:rPr>
              <w:t>Mark-to-Market - Bewertung zum aktuellen Marktwert</w:t>
            </w:r>
          </w:p>
        </w:tc>
      </w:tr>
      <w:tr w:rsidR="00236E73" w:rsidRPr="003E30B6" w14:paraId="422021E5" w14:textId="77777777">
        <w:trPr>
          <w:jc w:val="center"/>
        </w:trPr>
        <w:tc>
          <w:tcPr>
            <w:tcW w:w="1600" w:type="dxa"/>
          </w:tcPr>
          <w:p w14:paraId="6470B10D" w14:textId="77777777" w:rsidR="00236E73" w:rsidRDefault="00000000">
            <w:r>
              <w:rPr>
                <w:sz w:val="17"/>
              </w:rPr>
              <w:t>NII / NIM</w:t>
            </w:r>
          </w:p>
        </w:tc>
        <w:tc>
          <w:tcPr>
            <w:tcW w:w="7811" w:type="dxa"/>
          </w:tcPr>
          <w:p w14:paraId="52452819" w14:textId="77777777" w:rsidR="00236E73" w:rsidRPr="003E30B6" w:rsidRDefault="00000000">
            <w:pPr>
              <w:rPr>
                <w:lang w:val="de-DE"/>
              </w:rPr>
            </w:pPr>
            <w:r w:rsidRPr="003E30B6">
              <w:rPr>
                <w:sz w:val="17"/>
                <w:lang w:val="de-DE"/>
              </w:rPr>
              <w:t>Net Interest Income / Margin - Zinsüberschuss bzw. Zinsmarge einer Bank</w:t>
            </w:r>
          </w:p>
        </w:tc>
      </w:tr>
      <w:tr w:rsidR="00236E73" w:rsidRPr="003E30B6" w14:paraId="17EA52D9" w14:textId="77777777">
        <w:trPr>
          <w:jc w:val="center"/>
        </w:trPr>
        <w:tc>
          <w:tcPr>
            <w:tcW w:w="1600" w:type="dxa"/>
          </w:tcPr>
          <w:p w14:paraId="65C12DB9" w14:textId="77777777" w:rsidR="00236E73" w:rsidRDefault="00000000">
            <w:r>
              <w:rPr>
                <w:sz w:val="17"/>
              </w:rPr>
              <w:t>OCI</w:t>
            </w:r>
          </w:p>
        </w:tc>
        <w:tc>
          <w:tcPr>
            <w:tcW w:w="7811" w:type="dxa"/>
          </w:tcPr>
          <w:p w14:paraId="3F0402C0" w14:textId="77777777" w:rsidR="00236E73" w:rsidRPr="003E30B6" w:rsidRDefault="00000000">
            <w:pPr>
              <w:rPr>
                <w:lang w:val="de-DE"/>
              </w:rPr>
            </w:pPr>
            <w:r w:rsidRPr="003E30B6">
              <w:rPr>
                <w:sz w:val="17"/>
                <w:lang w:val="de-DE"/>
              </w:rPr>
              <w:t>Other Comprehensive Income - erfolgsneutrales Eigenkapital (sonstiges Ergebnis)</w:t>
            </w:r>
          </w:p>
        </w:tc>
      </w:tr>
      <w:tr w:rsidR="00236E73" w:rsidRPr="003E30B6" w14:paraId="265FC14D" w14:textId="77777777">
        <w:trPr>
          <w:jc w:val="center"/>
        </w:trPr>
        <w:tc>
          <w:tcPr>
            <w:tcW w:w="1600" w:type="dxa"/>
          </w:tcPr>
          <w:p w14:paraId="1379132B" w14:textId="77777777" w:rsidR="00236E73" w:rsidRDefault="00000000">
            <w:r>
              <w:rPr>
                <w:sz w:val="17"/>
              </w:rPr>
              <w:t>PD</w:t>
            </w:r>
          </w:p>
        </w:tc>
        <w:tc>
          <w:tcPr>
            <w:tcW w:w="7811" w:type="dxa"/>
          </w:tcPr>
          <w:p w14:paraId="26E12546" w14:textId="77777777" w:rsidR="00236E73" w:rsidRPr="003E30B6" w:rsidRDefault="00000000">
            <w:pPr>
              <w:rPr>
                <w:lang w:val="de-DE"/>
              </w:rPr>
            </w:pPr>
            <w:r w:rsidRPr="003E30B6">
              <w:rPr>
                <w:sz w:val="17"/>
                <w:lang w:val="de-DE"/>
              </w:rPr>
              <w:t>Probability of Default - 1-Jahres-Ausfallwahrscheinlichkeit (CRR Art. 180)</w:t>
            </w:r>
          </w:p>
        </w:tc>
      </w:tr>
      <w:tr w:rsidR="00236E73" w:rsidRPr="003E30B6" w14:paraId="04A7EA18" w14:textId="77777777">
        <w:trPr>
          <w:jc w:val="center"/>
        </w:trPr>
        <w:tc>
          <w:tcPr>
            <w:tcW w:w="1600" w:type="dxa"/>
          </w:tcPr>
          <w:p w14:paraId="42877CC4" w14:textId="77777777" w:rsidR="00236E73" w:rsidRDefault="00000000">
            <w:r>
              <w:rPr>
                <w:sz w:val="17"/>
              </w:rPr>
              <w:t>PIT / TTC</w:t>
            </w:r>
          </w:p>
        </w:tc>
        <w:tc>
          <w:tcPr>
            <w:tcW w:w="7811" w:type="dxa"/>
          </w:tcPr>
          <w:p w14:paraId="62CA4437" w14:textId="77777777" w:rsidR="00236E73" w:rsidRPr="003E30B6" w:rsidRDefault="00000000">
            <w:pPr>
              <w:rPr>
                <w:lang w:val="de-DE"/>
              </w:rPr>
            </w:pPr>
            <w:r w:rsidRPr="003E30B6">
              <w:rPr>
                <w:sz w:val="17"/>
                <w:lang w:val="de-DE"/>
              </w:rPr>
              <w:t>Point-in-Time / Through-the-Cycle - stichtagsbezogene vs. über den Zyklus geglättete Risikomessung</w:t>
            </w:r>
          </w:p>
        </w:tc>
      </w:tr>
      <w:tr w:rsidR="00236E73" w14:paraId="0F34D89F" w14:textId="77777777">
        <w:trPr>
          <w:jc w:val="center"/>
        </w:trPr>
        <w:tc>
          <w:tcPr>
            <w:tcW w:w="1600" w:type="dxa"/>
          </w:tcPr>
          <w:p w14:paraId="38CC54B7" w14:textId="77777777" w:rsidR="00236E73" w:rsidRDefault="00000000">
            <w:r>
              <w:rPr>
                <w:sz w:val="17"/>
              </w:rPr>
              <w:t>pp</w:t>
            </w:r>
          </w:p>
        </w:tc>
        <w:tc>
          <w:tcPr>
            <w:tcW w:w="7811" w:type="dxa"/>
          </w:tcPr>
          <w:p w14:paraId="11DABA96" w14:textId="77777777" w:rsidR="00236E73" w:rsidRDefault="00000000">
            <w:r>
              <w:rPr>
                <w:sz w:val="17"/>
              </w:rPr>
              <w:t>Prozentpunkte</w:t>
            </w:r>
          </w:p>
        </w:tc>
      </w:tr>
      <w:tr w:rsidR="00236E73" w14:paraId="6EA9CE4D" w14:textId="77777777">
        <w:trPr>
          <w:jc w:val="center"/>
        </w:trPr>
        <w:tc>
          <w:tcPr>
            <w:tcW w:w="1600" w:type="dxa"/>
          </w:tcPr>
          <w:p w14:paraId="79671437" w14:textId="77777777" w:rsidR="00236E73" w:rsidRDefault="00000000">
            <w:r>
              <w:rPr>
                <w:sz w:val="17"/>
              </w:rPr>
              <w:t>QRRE</w:t>
            </w:r>
          </w:p>
        </w:tc>
        <w:tc>
          <w:tcPr>
            <w:tcW w:w="7811" w:type="dxa"/>
          </w:tcPr>
          <w:p w14:paraId="027F74A0" w14:textId="77777777" w:rsidR="00236E73" w:rsidRDefault="00000000">
            <w:r>
              <w:rPr>
                <w:sz w:val="17"/>
              </w:rPr>
              <w:t>Qualifying Revolving Retail Exposures - revolvierende Konsumentenkredite (z. B. Kreditkarten)</w:t>
            </w:r>
          </w:p>
        </w:tc>
      </w:tr>
      <w:tr w:rsidR="00236E73" w:rsidRPr="003E30B6" w14:paraId="178432DB" w14:textId="77777777">
        <w:trPr>
          <w:jc w:val="center"/>
        </w:trPr>
        <w:tc>
          <w:tcPr>
            <w:tcW w:w="1600" w:type="dxa"/>
          </w:tcPr>
          <w:p w14:paraId="035C5850" w14:textId="77777777" w:rsidR="00236E73" w:rsidRDefault="00000000">
            <w:r>
              <w:rPr>
                <w:sz w:val="17"/>
              </w:rPr>
              <w:t>RWA</w:t>
            </w:r>
          </w:p>
        </w:tc>
        <w:tc>
          <w:tcPr>
            <w:tcW w:w="7811" w:type="dxa"/>
          </w:tcPr>
          <w:p w14:paraId="08B4B4AE" w14:textId="77777777" w:rsidR="00236E73" w:rsidRPr="003E30B6" w:rsidRDefault="00000000">
            <w:pPr>
              <w:rPr>
                <w:lang w:val="de-DE"/>
              </w:rPr>
            </w:pPr>
            <w:r w:rsidRPr="003E30B6">
              <w:rPr>
                <w:sz w:val="17"/>
                <w:lang w:val="de-DE"/>
              </w:rPr>
              <w:t>Risk-Weighted Assets - risikogewichtete Aktiva; Nenner der CET1-Quote</w:t>
            </w:r>
          </w:p>
        </w:tc>
      </w:tr>
      <w:tr w:rsidR="00236E73" w14:paraId="63A9B723" w14:textId="77777777">
        <w:trPr>
          <w:jc w:val="center"/>
        </w:trPr>
        <w:tc>
          <w:tcPr>
            <w:tcW w:w="1600" w:type="dxa"/>
          </w:tcPr>
          <w:p w14:paraId="459FC583" w14:textId="77777777" w:rsidR="00236E73" w:rsidRDefault="00000000">
            <w:r>
              <w:rPr>
                <w:sz w:val="17"/>
              </w:rPr>
              <w:t>SREP</w:t>
            </w:r>
          </w:p>
        </w:tc>
        <w:tc>
          <w:tcPr>
            <w:tcW w:w="7811" w:type="dxa"/>
          </w:tcPr>
          <w:p w14:paraId="1D691725" w14:textId="77777777" w:rsidR="00236E73" w:rsidRDefault="00000000">
            <w:r>
              <w:rPr>
                <w:sz w:val="17"/>
              </w:rPr>
              <w:t>Supervisory Review and Evaluation Process - aufsichtlicher Überprüfungsprozess</w:t>
            </w:r>
          </w:p>
        </w:tc>
      </w:tr>
    </w:tbl>
    <w:p w14:paraId="00E3AB9C" w14:textId="77777777" w:rsidR="00236E73" w:rsidRDefault="00236E73">
      <w:pPr>
        <w:spacing w:after="80"/>
      </w:pPr>
    </w:p>
    <w:p w14:paraId="14F8168B" w14:textId="77777777" w:rsidR="003E30B6" w:rsidRDefault="003E30B6">
      <w:pPr>
        <w:spacing w:after="80"/>
      </w:pPr>
    </w:p>
    <w:p w14:paraId="1C9DA31B" w14:textId="77777777" w:rsidR="003E30B6" w:rsidRDefault="003E30B6">
      <w:pPr>
        <w:spacing w:after="80"/>
      </w:pPr>
    </w:p>
    <w:p w14:paraId="393B36BF" w14:textId="77777777" w:rsidR="00236E73" w:rsidRDefault="00000000">
      <w:pPr>
        <w:pStyle w:val="Heading2"/>
      </w:pPr>
      <w:r>
        <w:lastRenderedPageBreak/>
        <w:t>Symbole</w:t>
      </w:r>
    </w:p>
    <w:tbl>
      <w:tblPr>
        <w:tblStyle w:val="TableGrid"/>
        <w:tblW w:w="0" w:type="auto"/>
        <w:jc w:val="center"/>
        <w:tblLook w:val="04A0" w:firstRow="1" w:lastRow="0" w:firstColumn="1" w:lastColumn="0" w:noHBand="0" w:noVBand="1"/>
      </w:tblPr>
      <w:tblGrid>
        <w:gridCol w:w="1506"/>
        <w:gridCol w:w="5835"/>
        <w:gridCol w:w="2070"/>
      </w:tblGrid>
      <w:tr w:rsidR="00236E73" w14:paraId="593B05B4" w14:textId="77777777">
        <w:trPr>
          <w:jc w:val="center"/>
        </w:trPr>
        <w:tc>
          <w:tcPr>
            <w:tcW w:w="1506" w:type="dxa"/>
            <w:shd w:val="clear" w:color="auto" w:fill="D9E4EC"/>
          </w:tcPr>
          <w:p w14:paraId="2FB00445" w14:textId="77777777" w:rsidR="00236E73" w:rsidRDefault="00000000">
            <w:r>
              <w:rPr>
                <w:b/>
                <w:sz w:val="17"/>
              </w:rPr>
              <w:t>Symbol</w:t>
            </w:r>
          </w:p>
        </w:tc>
        <w:tc>
          <w:tcPr>
            <w:tcW w:w="5835" w:type="dxa"/>
            <w:shd w:val="clear" w:color="auto" w:fill="D9E4EC"/>
          </w:tcPr>
          <w:p w14:paraId="0EA0A9EE" w14:textId="77777777" w:rsidR="00236E73" w:rsidRDefault="00000000">
            <w:r>
              <w:rPr>
                <w:b/>
                <w:sz w:val="17"/>
              </w:rPr>
              <w:t>Bedeutung</w:t>
            </w:r>
          </w:p>
        </w:tc>
        <w:tc>
          <w:tcPr>
            <w:tcW w:w="2070" w:type="dxa"/>
            <w:shd w:val="clear" w:color="auto" w:fill="D9E4EC"/>
          </w:tcPr>
          <w:p w14:paraId="44A3C14A" w14:textId="77777777" w:rsidR="00236E73" w:rsidRDefault="00000000">
            <w:r>
              <w:rPr>
                <w:b/>
                <w:sz w:val="17"/>
              </w:rPr>
              <w:t>Ort</w:t>
            </w:r>
          </w:p>
        </w:tc>
      </w:tr>
      <w:tr w:rsidR="00236E73" w14:paraId="6275ED40" w14:textId="77777777">
        <w:trPr>
          <w:jc w:val="center"/>
        </w:trPr>
        <w:tc>
          <w:tcPr>
            <w:tcW w:w="1506" w:type="dxa"/>
          </w:tcPr>
          <w:p w14:paraId="4856B1B7" w14:textId="77777777" w:rsidR="00236E73" w:rsidRDefault="00000000">
            <w:r>
              <w:rPr>
                <w:sz w:val="17"/>
              </w:rPr>
              <w:t>ΔBrent_log</w:t>
            </w:r>
          </w:p>
        </w:tc>
        <w:tc>
          <w:tcPr>
            <w:tcW w:w="5835" w:type="dxa"/>
          </w:tcPr>
          <w:p w14:paraId="40ECA5D4" w14:textId="77777777" w:rsidR="00236E73" w:rsidRPr="003E30B6" w:rsidRDefault="00000000">
            <w:pPr>
              <w:rPr>
                <w:lang w:val="de-DE"/>
              </w:rPr>
            </w:pPr>
            <w:r w:rsidRPr="003E30B6">
              <w:rPr>
                <w:sz w:val="17"/>
                <w:lang w:val="de-DE"/>
              </w:rPr>
              <w:t>Ölpreis-Schock als log-Return ln(P₁/P₀); +0,50 ≈ +65 % Preis</w:t>
            </w:r>
          </w:p>
        </w:tc>
        <w:tc>
          <w:tcPr>
            <w:tcW w:w="2070" w:type="dxa"/>
          </w:tcPr>
          <w:p w14:paraId="51A28284" w14:textId="77777777" w:rsidR="00236E73" w:rsidRDefault="00000000">
            <w:r>
              <w:rPr>
                <w:sz w:val="17"/>
              </w:rPr>
              <w:t>Abschnitt 2</w:t>
            </w:r>
          </w:p>
        </w:tc>
      </w:tr>
      <w:tr w:rsidR="00236E73" w14:paraId="5D3F717A" w14:textId="77777777">
        <w:trPr>
          <w:jc w:val="center"/>
        </w:trPr>
        <w:tc>
          <w:tcPr>
            <w:tcW w:w="1506" w:type="dxa"/>
          </w:tcPr>
          <w:p w14:paraId="611B8E49" w14:textId="77777777" w:rsidR="00236E73" w:rsidRDefault="00000000">
            <w:r>
              <w:rPr>
                <w:sz w:val="17"/>
              </w:rPr>
              <w:t>Δr_10y</w:t>
            </w:r>
          </w:p>
        </w:tc>
        <w:tc>
          <w:tcPr>
            <w:tcW w:w="5835" w:type="dxa"/>
          </w:tcPr>
          <w:p w14:paraId="792E5EC8" w14:textId="77777777" w:rsidR="00236E73" w:rsidRPr="003E30B6" w:rsidRDefault="00000000">
            <w:pPr>
              <w:rPr>
                <w:lang w:val="de-DE"/>
              </w:rPr>
            </w:pPr>
            <w:r w:rsidRPr="003E30B6">
              <w:rPr>
                <w:sz w:val="17"/>
                <w:lang w:val="de-DE"/>
              </w:rPr>
              <w:t>Parallelverschiebung des 10-Jahres-Zinses in pp</w:t>
            </w:r>
          </w:p>
        </w:tc>
        <w:tc>
          <w:tcPr>
            <w:tcW w:w="2070" w:type="dxa"/>
          </w:tcPr>
          <w:p w14:paraId="02F71DD0" w14:textId="77777777" w:rsidR="00236E73" w:rsidRDefault="00000000">
            <w:r>
              <w:rPr>
                <w:sz w:val="17"/>
              </w:rPr>
              <w:t>Abschnitt 2</w:t>
            </w:r>
          </w:p>
        </w:tc>
      </w:tr>
      <w:tr w:rsidR="00236E73" w14:paraId="3BCF41DD" w14:textId="77777777">
        <w:trPr>
          <w:jc w:val="center"/>
        </w:trPr>
        <w:tc>
          <w:tcPr>
            <w:tcW w:w="1506" w:type="dxa"/>
          </w:tcPr>
          <w:p w14:paraId="65F14903" w14:textId="77777777" w:rsidR="00236E73" w:rsidRDefault="00000000">
            <w:r>
              <w:rPr>
                <w:sz w:val="17"/>
              </w:rPr>
              <w:t>β_Öl, β_Zins</w:t>
            </w:r>
          </w:p>
        </w:tc>
        <w:tc>
          <w:tcPr>
            <w:tcW w:w="5835" w:type="dxa"/>
          </w:tcPr>
          <w:p w14:paraId="748AD3F3" w14:textId="77777777" w:rsidR="00236E73" w:rsidRPr="003E30B6" w:rsidRDefault="00000000">
            <w:pPr>
              <w:rPr>
                <w:lang w:val="de-DE"/>
              </w:rPr>
            </w:pPr>
            <w:r w:rsidRPr="003E30B6">
              <w:rPr>
                <w:sz w:val="17"/>
                <w:lang w:val="de-DE"/>
              </w:rPr>
              <w:t xml:space="preserve">PD-Sensitivitäten je Kreditklasse (pp </w:t>
            </w:r>
            <w:r>
              <w:rPr>
                <w:sz w:val="17"/>
              </w:rPr>
              <w:t>Δ</w:t>
            </w:r>
            <w:r w:rsidRPr="003E30B6">
              <w:rPr>
                <w:sz w:val="17"/>
                <w:lang w:val="de-DE"/>
              </w:rPr>
              <w:t>PD pro Faktoreinheit)</w:t>
            </w:r>
          </w:p>
        </w:tc>
        <w:tc>
          <w:tcPr>
            <w:tcW w:w="2070" w:type="dxa"/>
          </w:tcPr>
          <w:p w14:paraId="0CF205A5" w14:textId="77777777" w:rsidR="00236E73" w:rsidRDefault="00000000">
            <w:r>
              <w:rPr>
                <w:sz w:val="17"/>
              </w:rPr>
              <w:t>Abschnitt 3</w:t>
            </w:r>
          </w:p>
        </w:tc>
      </w:tr>
      <w:tr w:rsidR="00236E73" w14:paraId="126A0408" w14:textId="77777777">
        <w:trPr>
          <w:jc w:val="center"/>
        </w:trPr>
        <w:tc>
          <w:tcPr>
            <w:tcW w:w="1506" w:type="dxa"/>
          </w:tcPr>
          <w:p w14:paraId="191E9A99" w14:textId="77777777" w:rsidR="00236E73" w:rsidRDefault="00000000">
            <w:r>
              <w:rPr>
                <w:sz w:val="17"/>
              </w:rPr>
              <w:t>γ_Öl, γ_Zins</w:t>
            </w:r>
          </w:p>
        </w:tc>
        <w:tc>
          <w:tcPr>
            <w:tcW w:w="5835" w:type="dxa"/>
          </w:tcPr>
          <w:p w14:paraId="461D94DB" w14:textId="77777777" w:rsidR="00236E73" w:rsidRDefault="00000000">
            <w:r>
              <w:rPr>
                <w:sz w:val="17"/>
              </w:rPr>
              <w:t>LGD-Sensitivitäten je Kreditklasse</w:t>
            </w:r>
          </w:p>
        </w:tc>
        <w:tc>
          <w:tcPr>
            <w:tcW w:w="2070" w:type="dxa"/>
          </w:tcPr>
          <w:p w14:paraId="77E47504" w14:textId="77777777" w:rsidR="00236E73" w:rsidRDefault="00000000">
            <w:r>
              <w:rPr>
                <w:sz w:val="17"/>
              </w:rPr>
              <w:t>Abschnitt 3</w:t>
            </w:r>
          </w:p>
        </w:tc>
      </w:tr>
      <w:tr w:rsidR="00236E73" w14:paraId="743BE89E" w14:textId="77777777">
        <w:trPr>
          <w:jc w:val="center"/>
        </w:trPr>
        <w:tc>
          <w:tcPr>
            <w:tcW w:w="1506" w:type="dxa"/>
          </w:tcPr>
          <w:p w14:paraId="082957D7" w14:textId="77777777" w:rsidR="00236E73" w:rsidRDefault="00000000">
            <w:r>
              <w:rPr>
                <w:sz w:val="17"/>
              </w:rPr>
              <w:t>ρ</w:t>
            </w:r>
          </w:p>
        </w:tc>
        <w:tc>
          <w:tcPr>
            <w:tcW w:w="5835" w:type="dxa"/>
          </w:tcPr>
          <w:p w14:paraId="351B77AC" w14:textId="77777777" w:rsidR="00236E73" w:rsidRPr="003E30B6" w:rsidRDefault="00000000">
            <w:pPr>
              <w:rPr>
                <w:lang w:val="de-DE"/>
              </w:rPr>
            </w:pPr>
            <w:r w:rsidRPr="003E30B6">
              <w:rPr>
                <w:sz w:val="17"/>
                <w:lang w:val="de-DE"/>
              </w:rPr>
              <w:t>Asset-Korrelation der IRB-Formel (CRR Art. 153/154)</w:t>
            </w:r>
          </w:p>
        </w:tc>
        <w:tc>
          <w:tcPr>
            <w:tcW w:w="2070" w:type="dxa"/>
          </w:tcPr>
          <w:p w14:paraId="79CACD89" w14:textId="77777777" w:rsidR="00236E73" w:rsidRDefault="00000000">
            <w:r>
              <w:rPr>
                <w:sz w:val="17"/>
              </w:rPr>
              <w:t>Abschnitt 4</w:t>
            </w:r>
          </w:p>
        </w:tc>
      </w:tr>
      <w:tr w:rsidR="00236E73" w14:paraId="2802E882" w14:textId="77777777">
        <w:trPr>
          <w:jc w:val="center"/>
        </w:trPr>
        <w:tc>
          <w:tcPr>
            <w:tcW w:w="1506" w:type="dxa"/>
          </w:tcPr>
          <w:p w14:paraId="3957EC4F" w14:textId="77777777" w:rsidR="00236E73" w:rsidRDefault="00000000">
            <w:r>
              <w:rPr>
                <w:sz w:val="17"/>
              </w:rPr>
              <w:t>K</w:t>
            </w:r>
          </w:p>
        </w:tc>
        <w:tc>
          <w:tcPr>
            <w:tcW w:w="5835" w:type="dxa"/>
          </w:tcPr>
          <w:p w14:paraId="7D1176BA" w14:textId="77777777" w:rsidR="00236E73" w:rsidRPr="003E30B6" w:rsidRDefault="00000000">
            <w:pPr>
              <w:rPr>
                <w:lang w:val="de-DE"/>
              </w:rPr>
            </w:pPr>
            <w:r w:rsidRPr="003E30B6">
              <w:rPr>
                <w:sz w:val="17"/>
                <w:lang w:val="de-DE"/>
              </w:rPr>
              <w:t>Kapitalanforderung je Einheit Exposure (IRB-Formel)</w:t>
            </w:r>
          </w:p>
        </w:tc>
        <w:tc>
          <w:tcPr>
            <w:tcW w:w="2070" w:type="dxa"/>
          </w:tcPr>
          <w:p w14:paraId="2204AA38" w14:textId="77777777" w:rsidR="00236E73" w:rsidRDefault="00000000">
            <w:r>
              <w:rPr>
                <w:sz w:val="17"/>
              </w:rPr>
              <w:t>Abschnitt 4</w:t>
            </w:r>
          </w:p>
        </w:tc>
      </w:tr>
      <w:tr w:rsidR="00236E73" w14:paraId="56B08577" w14:textId="77777777">
        <w:trPr>
          <w:jc w:val="center"/>
        </w:trPr>
        <w:tc>
          <w:tcPr>
            <w:tcW w:w="1506" w:type="dxa"/>
          </w:tcPr>
          <w:p w14:paraId="129E859E" w14:textId="77777777" w:rsidR="00236E73" w:rsidRDefault="00000000">
            <w:r>
              <w:rPr>
                <w:sz w:val="17"/>
              </w:rPr>
              <w:t>N, N⁻¹</w:t>
            </w:r>
          </w:p>
        </w:tc>
        <w:tc>
          <w:tcPr>
            <w:tcW w:w="5835" w:type="dxa"/>
          </w:tcPr>
          <w:p w14:paraId="6678AF53" w14:textId="77777777" w:rsidR="00236E73" w:rsidRPr="003E30B6" w:rsidRDefault="00000000">
            <w:pPr>
              <w:rPr>
                <w:lang w:val="de-DE"/>
              </w:rPr>
            </w:pPr>
            <w:r w:rsidRPr="003E30B6">
              <w:rPr>
                <w:sz w:val="17"/>
                <w:lang w:val="de-DE"/>
              </w:rPr>
              <w:t>Standardnormal-Verteilungsfunktion und ihre Inverse</w:t>
            </w:r>
          </w:p>
        </w:tc>
        <w:tc>
          <w:tcPr>
            <w:tcW w:w="2070" w:type="dxa"/>
          </w:tcPr>
          <w:p w14:paraId="3EEAF472" w14:textId="77777777" w:rsidR="00236E73" w:rsidRDefault="00000000">
            <w:r>
              <w:rPr>
                <w:sz w:val="17"/>
              </w:rPr>
              <w:t>Abschnitt 4</w:t>
            </w:r>
          </w:p>
        </w:tc>
      </w:tr>
      <w:tr w:rsidR="00236E73" w14:paraId="4EC0E1DE" w14:textId="77777777">
        <w:trPr>
          <w:jc w:val="center"/>
        </w:trPr>
        <w:tc>
          <w:tcPr>
            <w:tcW w:w="1506" w:type="dxa"/>
          </w:tcPr>
          <w:p w14:paraId="4CFD0E15" w14:textId="77777777" w:rsidR="00236E73" w:rsidRDefault="00000000">
            <w:r>
              <w:rPr>
                <w:sz w:val="17"/>
              </w:rPr>
              <w:t>α = 99,9 %</w:t>
            </w:r>
          </w:p>
        </w:tc>
        <w:tc>
          <w:tcPr>
            <w:tcW w:w="5835" w:type="dxa"/>
          </w:tcPr>
          <w:p w14:paraId="23120C07" w14:textId="77777777" w:rsidR="00236E73" w:rsidRDefault="00000000">
            <w:r>
              <w:rPr>
                <w:sz w:val="17"/>
              </w:rPr>
              <w:t>Konfidenzniveau der IRB-Formel</w:t>
            </w:r>
          </w:p>
        </w:tc>
        <w:tc>
          <w:tcPr>
            <w:tcW w:w="2070" w:type="dxa"/>
          </w:tcPr>
          <w:p w14:paraId="06643E91" w14:textId="77777777" w:rsidR="00236E73" w:rsidRDefault="00000000">
            <w:r>
              <w:rPr>
                <w:sz w:val="17"/>
              </w:rPr>
              <w:t>Abschnitt 4</w:t>
            </w:r>
          </w:p>
        </w:tc>
      </w:tr>
      <w:tr w:rsidR="00236E73" w14:paraId="7D2A0D80" w14:textId="77777777">
        <w:trPr>
          <w:jc w:val="center"/>
        </w:trPr>
        <w:tc>
          <w:tcPr>
            <w:tcW w:w="1506" w:type="dxa"/>
          </w:tcPr>
          <w:p w14:paraId="58A5ED65" w14:textId="77777777" w:rsidR="00236E73" w:rsidRDefault="00000000">
            <w:r>
              <w:rPr>
                <w:sz w:val="17"/>
              </w:rPr>
              <w:t>b(PD), MA</w:t>
            </w:r>
          </w:p>
        </w:tc>
        <w:tc>
          <w:tcPr>
            <w:tcW w:w="5835" w:type="dxa"/>
          </w:tcPr>
          <w:p w14:paraId="70911D2C" w14:textId="77777777" w:rsidR="00236E73" w:rsidRPr="003E30B6" w:rsidRDefault="00000000">
            <w:pPr>
              <w:rPr>
                <w:lang w:val="de-DE"/>
              </w:rPr>
            </w:pPr>
            <w:r w:rsidRPr="003E30B6">
              <w:rPr>
                <w:sz w:val="17"/>
                <w:lang w:val="de-DE"/>
              </w:rPr>
              <w:t>Laufzeit-Glättungsfunktion und Laufzeit-Adjustment</w:t>
            </w:r>
          </w:p>
        </w:tc>
        <w:tc>
          <w:tcPr>
            <w:tcW w:w="2070" w:type="dxa"/>
          </w:tcPr>
          <w:p w14:paraId="0A1906E4" w14:textId="77777777" w:rsidR="00236E73" w:rsidRDefault="00000000">
            <w:r>
              <w:rPr>
                <w:sz w:val="17"/>
              </w:rPr>
              <w:t>Abschnitt 4</w:t>
            </w:r>
          </w:p>
        </w:tc>
      </w:tr>
      <w:tr w:rsidR="00236E73" w14:paraId="01F60611" w14:textId="77777777">
        <w:trPr>
          <w:jc w:val="center"/>
        </w:trPr>
        <w:tc>
          <w:tcPr>
            <w:tcW w:w="1506" w:type="dxa"/>
          </w:tcPr>
          <w:p w14:paraId="5154DBF0" w14:textId="77777777" w:rsidR="00236E73" w:rsidRDefault="00000000">
            <w:r>
              <w:rPr>
                <w:sz w:val="17"/>
              </w:rPr>
              <w:t>M</w:t>
            </w:r>
          </w:p>
        </w:tc>
        <w:tc>
          <w:tcPr>
            <w:tcW w:w="5835" w:type="dxa"/>
          </w:tcPr>
          <w:p w14:paraId="3F866A84" w14:textId="77777777" w:rsidR="00236E73" w:rsidRPr="003E30B6" w:rsidRDefault="00000000">
            <w:pPr>
              <w:rPr>
                <w:lang w:val="de-DE"/>
              </w:rPr>
            </w:pPr>
            <w:r w:rsidRPr="003E30B6">
              <w:rPr>
                <w:sz w:val="17"/>
                <w:lang w:val="de-DE"/>
              </w:rPr>
              <w:t>effektive Restlaufzeit; Konvention M = 2,5 Jahre</w:t>
            </w:r>
          </w:p>
        </w:tc>
        <w:tc>
          <w:tcPr>
            <w:tcW w:w="2070" w:type="dxa"/>
          </w:tcPr>
          <w:p w14:paraId="22B12C1C" w14:textId="77777777" w:rsidR="00236E73" w:rsidRDefault="00000000">
            <w:r>
              <w:rPr>
                <w:sz w:val="17"/>
              </w:rPr>
              <w:t>Abschnitt 4</w:t>
            </w:r>
          </w:p>
        </w:tc>
      </w:tr>
      <w:tr w:rsidR="00236E73" w14:paraId="5866A6D9" w14:textId="77777777">
        <w:trPr>
          <w:jc w:val="center"/>
        </w:trPr>
        <w:tc>
          <w:tcPr>
            <w:tcW w:w="1506" w:type="dxa"/>
          </w:tcPr>
          <w:p w14:paraId="56537020" w14:textId="77777777" w:rsidR="00236E73" w:rsidRDefault="00000000">
            <w:r>
              <w:rPr>
                <w:sz w:val="17"/>
              </w:rPr>
              <w:t>S</w:t>
            </w:r>
          </w:p>
        </w:tc>
        <w:tc>
          <w:tcPr>
            <w:tcW w:w="5835" w:type="dxa"/>
          </w:tcPr>
          <w:p w14:paraId="5A014D13" w14:textId="77777777" w:rsidR="00236E73" w:rsidRDefault="00000000">
            <w:r w:rsidRPr="003E30B6">
              <w:rPr>
                <w:sz w:val="17"/>
                <w:lang w:val="de-DE"/>
              </w:rPr>
              <w:t>Jahresumsatz für die KMU-</w:t>
            </w:r>
            <w:r>
              <w:rPr>
                <w:sz w:val="17"/>
              </w:rPr>
              <w:t>ρ</w:t>
            </w:r>
            <w:r w:rsidRPr="003E30B6">
              <w:rPr>
                <w:sz w:val="17"/>
                <w:lang w:val="de-DE"/>
              </w:rPr>
              <w:t xml:space="preserve">-Anpassung; Konvention 20 Mio. </w:t>
            </w:r>
            <w:r>
              <w:rPr>
                <w:sz w:val="17"/>
              </w:rPr>
              <w:t>€</w:t>
            </w:r>
          </w:p>
        </w:tc>
        <w:tc>
          <w:tcPr>
            <w:tcW w:w="2070" w:type="dxa"/>
          </w:tcPr>
          <w:p w14:paraId="7EF6AD63" w14:textId="77777777" w:rsidR="00236E73" w:rsidRDefault="00000000">
            <w:r>
              <w:rPr>
                <w:sz w:val="17"/>
              </w:rPr>
              <w:t>Abschnitt 4</w:t>
            </w:r>
          </w:p>
        </w:tc>
      </w:tr>
      <w:tr w:rsidR="00236E73" w14:paraId="3FCBFB96" w14:textId="77777777">
        <w:trPr>
          <w:jc w:val="center"/>
        </w:trPr>
        <w:tc>
          <w:tcPr>
            <w:tcW w:w="1506" w:type="dxa"/>
          </w:tcPr>
          <w:p w14:paraId="751BC4A5" w14:textId="77777777" w:rsidR="00236E73" w:rsidRDefault="00000000">
            <w:r>
              <w:rPr>
                <w:sz w:val="17"/>
              </w:rPr>
              <w:t>D_bucket</w:t>
            </w:r>
          </w:p>
        </w:tc>
        <w:tc>
          <w:tcPr>
            <w:tcW w:w="5835" w:type="dxa"/>
          </w:tcPr>
          <w:p w14:paraId="4553EAC6" w14:textId="77777777" w:rsidR="00236E73" w:rsidRPr="003E30B6" w:rsidRDefault="00000000">
            <w:pPr>
              <w:rPr>
                <w:lang w:val="de-DE"/>
              </w:rPr>
            </w:pPr>
            <w:r w:rsidRPr="003E30B6">
              <w:rPr>
                <w:sz w:val="17"/>
                <w:lang w:val="de-DE"/>
              </w:rPr>
              <w:t>Modified Duration je Laufzeit-Bucket (Sovereign-Kanal)</w:t>
            </w:r>
          </w:p>
        </w:tc>
        <w:tc>
          <w:tcPr>
            <w:tcW w:w="2070" w:type="dxa"/>
          </w:tcPr>
          <w:p w14:paraId="3F627915" w14:textId="77777777" w:rsidR="00236E73" w:rsidRDefault="00000000">
            <w:r>
              <w:rPr>
                <w:sz w:val="17"/>
              </w:rPr>
              <w:t>Abschnitt 4</w:t>
            </w:r>
          </w:p>
        </w:tc>
      </w:tr>
      <w:tr w:rsidR="00236E73" w14:paraId="45E318B9" w14:textId="77777777">
        <w:trPr>
          <w:jc w:val="center"/>
        </w:trPr>
        <w:tc>
          <w:tcPr>
            <w:tcW w:w="1506" w:type="dxa"/>
          </w:tcPr>
          <w:p w14:paraId="0F7F84FC" w14:textId="77777777" w:rsidR="00236E73" w:rsidRDefault="00000000">
            <w:r>
              <w:rPr>
                <w:sz w:val="17"/>
              </w:rPr>
              <w:t>ΔRWA, ΔEL, ΔMtM</w:t>
            </w:r>
          </w:p>
        </w:tc>
        <w:tc>
          <w:tcPr>
            <w:tcW w:w="5835" w:type="dxa"/>
          </w:tcPr>
          <w:p w14:paraId="2A1D62B5" w14:textId="77777777" w:rsidR="00236E73" w:rsidRDefault="00000000">
            <w:r>
              <w:rPr>
                <w:sz w:val="17"/>
              </w:rPr>
              <w:t>Stress-Deltas der CET1-Bridge</w:t>
            </w:r>
          </w:p>
        </w:tc>
        <w:tc>
          <w:tcPr>
            <w:tcW w:w="2070" w:type="dxa"/>
          </w:tcPr>
          <w:p w14:paraId="44608535" w14:textId="77777777" w:rsidR="00236E73" w:rsidRDefault="00000000">
            <w:r>
              <w:rPr>
                <w:sz w:val="17"/>
              </w:rPr>
              <w:t>Abschnitt 4</w:t>
            </w:r>
          </w:p>
        </w:tc>
      </w:tr>
      <w:tr w:rsidR="00236E73" w14:paraId="33C60AC3" w14:textId="77777777">
        <w:trPr>
          <w:jc w:val="center"/>
        </w:trPr>
        <w:tc>
          <w:tcPr>
            <w:tcW w:w="1506" w:type="dxa"/>
          </w:tcPr>
          <w:p w14:paraId="34383C36" w14:textId="77777777" w:rsidR="00236E73" w:rsidRDefault="00000000">
            <w:r>
              <w:rPr>
                <w:sz w:val="17"/>
              </w:rPr>
              <w:t>e_i, MAE, Bias</w:t>
            </w:r>
          </w:p>
        </w:tc>
        <w:tc>
          <w:tcPr>
            <w:tcW w:w="5835" w:type="dxa"/>
          </w:tcPr>
          <w:p w14:paraId="6C6AB6A3" w14:textId="77777777" w:rsidR="00236E73" w:rsidRPr="003E30B6" w:rsidRDefault="00000000">
            <w:pPr>
              <w:rPr>
                <w:lang w:val="de-DE"/>
              </w:rPr>
            </w:pPr>
            <w:r w:rsidRPr="003E30B6">
              <w:rPr>
                <w:sz w:val="17"/>
                <w:lang w:val="de-DE"/>
              </w:rPr>
              <w:t>Prognosefehler je Bank-Jahr und Fehlermaße</w:t>
            </w:r>
          </w:p>
        </w:tc>
        <w:tc>
          <w:tcPr>
            <w:tcW w:w="2070" w:type="dxa"/>
          </w:tcPr>
          <w:p w14:paraId="54ED6EF2" w14:textId="77777777" w:rsidR="00236E73" w:rsidRDefault="00000000">
            <w:r>
              <w:rPr>
                <w:sz w:val="17"/>
              </w:rPr>
              <w:t>Abschnitt 7</w:t>
            </w:r>
          </w:p>
        </w:tc>
      </w:tr>
    </w:tbl>
    <w:p w14:paraId="4F97B44E" w14:textId="77777777" w:rsidR="00236E73" w:rsidRDefault="00236E73">
      <w:pPr>
        <w:spacing w:after="80"/>
      </w:pPr>
    </w:p>
    <w:p w14:paraId="09ECE988" w14:textId="77777777" w:rsidR="00236E73" w:rsidRDefault="00000000">
      <w:r>
        <w:br w:type="page"/>
      </w:r>
    </w:p>
    <w:p w14:paraId="60C7CE09" w14:textId="77777777" w:rsidR="00236E73" w:rsidRDefault="00000000">
      <w:pPr>
        <w:pStyle w:val="Heading1"/>
      </w:pPr>
      <w:r>
        <w:lastRenderedPageBreak/>
        <w:t>1. Das Modell auf einen Blick</w:t>
      </w:r>
    </w:p>
    <w:p w14:paraId="6C3821FB" w14:textId="77777777" w:rsidR="00236E73" w:rsidRPr="003E30B6" w:rsidRDefault="00000000">
      <w:pPr>
        <w:rPr>
          <w:lang w:val="de-DE"/>
        </w:rPr>
      </w:pPr>
      <w:r w:rsidRPr="003E30B6">
        <w:rPr>
          <w:lang w:val="de-DE"/>
        </w:rPr>
        <w:t xml:space="preserve">Das Cockpit beantwortet eine aufsichtlich zentrale Frage: </w:t>
      </w:r>
      <w:r w:rsidRPr="003E30B6">
        <w:rPr>
          <w:b/>
          <w:lang w:val="de-DE"/>
        </w:rPr>
        <w:t>Wie stünde die harte Kernkapitalquote (CET1) der zehn größten EU-IRB-Banken, wenn ein Ölpreis- und/oder Zinsschock einträte?</w:t>
      </w:r>
      <w:r w:rsidRPr="003E30B6">
        <w:rPr>
          <w:lang w:val="de-DE"/>
        </w:rPr>
        <w:t xml:space="preserve"> Die CET1-Quote ist die Solvenz-Kennzahl der Bankenaufsicht - fällt sie unter die gestaffelten Mindestanforderungen, greifen aufsichtliche Maßnahmen bis hin zu Ausschüttungssperren.</w:t>
      </w:r>
    </w:p>
    <w:p w14:paraId="407C9DE8" w14:textId="77777777" w:rsidR="00236E73" w:rsidRPr="003E30B6" w:rsidRDefault="00000000">
      <w:pPr>
        <w:rPr>
          <w:lang w:val="de-DE"/>
        </w:rPr>
      </w:pPr>
      <w:r w:rsidRPr="003E30B6">
        <w:rPr>
          <w:lang w:val="de-DE"/>
        </w:rPr>
        <w:t>Vier Prinzipien tragen das Modell:</w:t>
      </w:r>
    </w:p>
    <w:p w14:paraId="07C2B3B6" w14:textId="77777777" w:rsidR="00236E73" w:rsidRPr="003E30B6" w:rsidRDefault="00000000">
      <w:pPr>
        <w:pStyle w:val="ListBullet"/>
        <w:rPr>
          <w:lang w:val="de-DE"/>
        </w:rPr>
      </w:pPr>
      <w:r w:rsidRPr="003E30B6">
        <w:rPr>
          <w:b/>
          <w:lang w:val="de-DE"/>
        </w:rPr>
        <w:t>Quellenreine Datenbasis</w:t>
      </w:r>
      <w:r w:rsidRPr="003E30B6">
        <w:rPr>
          <w:lang w:val="de-DE"/>
        </w:rPr>
        <w:t xml:space="preserve"> - alle Risikoparameter (PD, LGD, EAD) stammen aus den offiziellen Pillar-3-Offenlegungen (EU CR6) der Banken selbst; kein Wert wird geschätzt oder abgeleitet.</w:t>
      </w:r>
    </w:p>
    <w:p w14:paraId="53750C35" w14:textId="77777777" w:rsidR="00236E73" w:rsidRPr="003E30B6" w:rsidRDefault="00000000">
      <w:pPr>
        <w:pStyle w:val="ListBullet"/>
        <w:rPr>
          <w:lang w:val="de-DE"/>
        </w:rPr>
      </w:pPr>
      <w:r w:rsidRPr="003E30B6">
        <w:rPr>
          <w:b/>
          <w:lang w:val="de-DE"/>
        </w:rPr>
        <w:t>Zwei getrennte, messbare Faktoren</w:t>
      </w:r>
      <w:r w:rsidRPr="003E30B6">
        <w:rPr>
          <w:lang w:val="de-DE"/>
        </w:rPr>
        <w:t xml:space="preserve"> - Ölpreis (</w:t>
      </w:r>
      <w:r>
        <w:t>Δ</w:t>
      </w:r>
      <w:r w:rsidRPr="003E30B6">
        <w:rPr>
          <w:lang w:val="de-DE"/>
        </w:rPr>
        <w:t>Brent) und 10-Jahres-Zins (</w:t>
      </w:r>
      <w:r>
        <w:t>Δ</w:t>
      </w:r>
      <w:r w:rsidRPr="003E30B6">
        <w:rPr>
          <w:lang w:val="de-DE"/>
        </w:rPr>
        <w:t>r_10y) werden nicht zu einem Kunstfaktor aggregiert, sondern wirken einzeln und beobachtbar.</w:t>
      </w:r>
    </w:p>
    <w:p w14:paraId="4C6224D8" w14:textId="77777777" w:rsidR="00236E73" w:rsidRPr="003E30B6" w:rsidRDefault="00000000">
      <w:pPr>
        <w:pStyle w:val="ListBullet"/>
        <w:rPr>
          <w:lang w:val="de-DE"/>
        </w:rPr>
      </w:pPr>
      <w:r w:rsidRPr="003E30B6">
        <w:rPr>
          <w:b/>
          <w:lang w:val="de-DE"/>
        </w:rPr>
        <w:t>Sektor-differenzierte Transmission</w:t>
      </w:r>
      <w:r w:rsidRPr="003E30B6">
        <w:rPr>
          <w:lang w:val="de-DE"/>
        </w:rPr>
        <w:t xml:space="preserve"> - jede Kreditklasse reagiert gemäß quellenbelegter Sensitivitäten unterschiedlich (eine Hypothek anders als ein Kreditkartenbuch).</w:t>
      </w:r>
    </w:p>
    <w:p w14:paraId="6C2C5945" w14:textId="77777777" w:rsidR="00236E73" w:rsidRPr="003E30B6" w:rsidRDefault="00000000">
      <w:pPr>
        <w:pStyle w:val="ListBullet"/>
        <w:rPr>
          <w:lang w:val="de-DE"/>
        </w:rPr>
      </w:pPr>
      <w:r w:rsidRPr="003E30B6">
        <w:rPr>
          <w:b/>
          <w:lang w:val="de-DE"/>
        </w:rPr>
        <w:t>Konservative Auslegung</w:t>
      </w:r>
      <w:r w:rsidRPr="003E30B6">
        <w:rPr>
          <w:lang w:val="de-DE"/>
        </w:rPr>
        <w:t xml:space="preserve"> - im Zweifel überschätzt das Modell den Kapitalbedarf; entlastende Effekte (z. B. Zinsüberschuss) werden bewusst nicht gegengerechnet.</w:t>
      </w:r>
    </w:p>
    <w:p w14:paraId="7C698DFF" w14:textId="77777777" w:rsidR="00236E73" w:rsidRDefault="00000000">
      <w:pPr>
        <w:spacing w:before="120" w:after="40"/>
        <w:jc w:val="center"/>
      </w:pPr>
      <w:r>
        <w:rPr>
          <w:noProof/>
        </w:rPr>
        <w:drawing>
          <wp:inline distT="0" distB="0" distL="0" distR="0" wp14:anchorId="4E0A6843" wp14:editId="004EB0D4">
            <wp:extent cx="5832000" cy="25281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8"/>
                    <a:stretch>
                      <a:fillRect/>
                    </a:stretch>
                  </pic:blipFill>
                  <pic:spPr>
                    <a:xfrm>
                      <a:off x="0" y="0"/>
                      <a:ext cx="5832000" cy="2528117"/>
                    </a:xfrm>
                    <a:prstGeom prst="rect">
                      <a:avLst/>
                    </a:prstGeom>
                  </pic:spPr>
                </pic:pic>
              </a:graphicData>
            </a:graphic>
          </wp:inline>
        </w:drawing>
      </w:r>
    </w:p>
    <w:p w14:paraId="7879590F" w14:textId="77777777" w:rsidR="00236E73" w:rsidRPr="003E30B6" w:rsidRDefault="00000000">
      <w:pPr>
        <w:spacing w:after="240"/>
        <w:jc w:val="center"/>
        <w:rPr>
          <w:lang w:val="de-DE"/>
        </w:rPr>
      </w:pPr>
      <w:r w:rsidRPr="003E30B6">
        <w:rPr>
          <w:i/>
          <w:color w:val="6E6E6E"/>
          <w:sz w:val="17"/>
          <w:lang w:val="de-DE"/>
        </w:rPr>
        <w:t xml:space="preserve">Abb. 1: Modell-Pipeline. Zwei Makro-Schocks laufen über die </w:t>
      </w:r>
      <w:r>
        <w:rPr>
          <w:i/>
          <w:color w:val="6E6E6E"/>
          <w:sz w:val="17"/>
        </w:rPr>
        <w:t>β</w:t>
      </w:r>
      <w:r w:rsidRPr="003E30B6">
        <w:rPr>
          <w:i/>
          <w:color w:val="6E6E6E"/>
          <w:sz w:val="17"/>
          <w:lang w:val="de-DE"/>
        </w:rPr>
        <w:t>-Transmission und die Basel-III-Kapitalformel in das Kreditbuch; der Zinsschock wirkt zusätzlich über den Sovereign-Kanal. Zielgröße ist stets die CET1-Quote unter Stress.</w:t>
      </w:r>
    </w:p>
    <w:p w14:paraId="625A842A" w14:textId="77777777" w:rsidR="00236E73" w:rsidRPr="003E30B6" w:rsidRDefault="00000000">
      <w:pPr>
        <w:pStyle w:val="Heading2"/>
        <w:rPr>
          <w:lang w:val="de-DE"/>
        </w:rPr>
      </w:pPr>
      <w:r w:rsidRPr="003E30B6">
        <w:rPr>
          <w:lang w:val="de-DE"/>
        </w:rPr>
        <w:t>Orientierung für die Prüfung</w:t>
      </w:r>
    </w:p>
    <w:p w14:paraId="458D38DE" w14:textId="77777777" w:rsidR="00236E73" w:rsidRPr="003E30B6" w:rsidRDefault="00000000">
      <w:pPr>
        <w:rPr>
          <w:lang w:val="de-DE"/>
        </w:rPr>
      </w:pPr>
      <w:r w:rsidRPr="003E30B6">
        <w:rPr>
          <w:lang w:val="de-DE"/>
        </w:rPr>
        <w:t>Das Dokument ist so aufgebaut, dass ein Dritter die Modelllogik vom Rohdatum bis zur CET1-Quote nachvollziehen kann. Die folgende Kurzlandkarte nennt die jeweils prüfbare Stelle; Details folgen in den Abschnitten 2 bis 8.</w:t>
      </w:r>
    </w:p>
    <w:tbl>
      <w:tblPr>
        <w:tblStyle w:val="TableGrid"/>
        <w:tblW w:w="0" w:type="auto"/>
        <w:jc w:val="center"/>
        <w:tblLook w:val="04A0" w:firstRow="1" w:lastRow="0" w:firstColumn="1" w:lastColumn="0" w:noHBand="0" w:noVBand="1"/>
      </w:tblPr>
      <w:tblGrid>
        <w:gridCol w:w="2823"/>
        <w:gridCol w:w="4706"/>
        <w:gridCol w:w="1882"/>
      </w:tblGrid>
      <w:tr w:rsidR="00236E73" w14:paraId="2FA38F90" w14:textId="77777777">
        <w:trPr>
          <w:jc w:val="center"/>
        </w:trPr>
        <w:tc>
          <w:tcPr>
            <w:tcW w:w="2823" w:type="dxa"/>
            <w:shd w:val="clear" w:color="auto" w:fill="D9E4EC"/>
          </w:tcPr>
          <w:p w14:paraId="55CB6EEB" w14:textId="77777777" w:rsidR="00236E73" w:rsidRDefault="00000000">
            <w:r>
              <w:rPr>
                <w:b/>
                <w:sz w:val="17"/>
              </w:rPr>
              <w:t>Prüffrage</w:t>
            </w:r>
          </w:p>
        </w:tc>
        <w:tc>
          <w:tcPr>
            <w:tcW w:w="4706" w:type="dxa"/>
            <w:shd w:val="clear" w:color="auto" w:fill="D9E4EC"/>
          </w:tcPr>
          <w:p w14:paraId="786B1824" w14:textId="77777777" w:rsidR="00236E73" w:rsidRDefault="00000000">
            <w:r>
              <w:rPr>
                <w:b/>
                <w:sz w:val="17"/>
              </w:rPr>
              <w:t>Nachvollziehbarer Beleg</w:t>
            </w:r>
          </w:p>
        </w:tc>
        <w:tc>
          <w:tcPr>
            <w:tcW w:w="1882" w:type="dxa"/>
            <w:shd w:val="clear" w:color="auto" w:fill="D9E4EC"/>
          </w:tcPr>
          <w:p w14:paraId="3F8A1710" w14:textId="77777777" w:rsidR="00236E73" w:rsidRDefault="00000000">
            <w:r>
              <w:rPr>
                <w:b/>
                <w:sz w:val="17"/>
              </w:rPr>
              <w:t>Abschnitt</w:t>
            </w:r>
          </w:p>
        </w:tc>
      </w:tr>
      <w:tr w:rsidR="00236E73" w14:paraId="53823F6D" w14:textId="77777777">
        <w:trPr>
          <w:jc w:val="center"/>
        </w:trPr>
        <w:tc>
          <w:tcPr>
            <w:tcW w:w="2823" w:type="dxa"/>
          </w:tcPr>
          <w:p w14:paraId="30C75D7B" w14:textId="77777777" w:rsidR="00236E73" w:rsidRPr="003E30B6" w:rsidRDefault="00000000">
            <w:pPr>
              <w:rPr>
                <w:lang w:val="de-DE"/>
              </w:rPr>
            </w:pPr>
            <w:r w:rsidRPr="003E30B6">
              <w:rPr>
                <w:sz w:val="17"/>
                <w:lang w:val="de-DE"/>
              </w:rPr>
              <w:t>Woher kommen PD, LGD und EAD?</w:t>
            </w:r>
          </w:p>
        </w:tc>
        <w:tc>
          <w:tcPr>
            <w:tcW w:w="4706" w:type="dxa"/>
          </w:tcPr>
          <w:p w14:paraId="6B5A0D2D" w14:textId="77777777" w:rsidR="00236E73" w:rsidRPr="003E30B6" w:rsidRDefault="00000000">
            <w:pPr>
              <w:rPr>
                <w:lang w:val="de-DE"/>
              </w:rPr>
            </w:pPr>
            <w:r w:rsidRPr="003E30B6">
              <w:rPr>
                <w:sz w:val="17"/>
                <w:lang w:val="de-DE"/>
              </w:rPr>
              <w:t>Pillar-3-EU-CR6-Zeilen mit Quellen-URL, Seitenzahl und Tabellenname; keine Ableitung aus RWA oder NPL-Quoten</w:t>
            </w:r>
          </w:p>
        </w:tc>
        <w:tc>
          <w:tcPr>
            <w:tcW w:w="1882" w:type="dxa"/>
          </w:tcPr>
          <w:p w14:paraId="78B85AD9" w14:textId="77777777" w:rsidR="00236E73" w:rsidRDefault="00000000">
            <w:r>
              <w:rPr>
                <w:sz w:val="17"/>
              </w:rPr>
              <w:t>5 / A-01 / A-02</w:t>
            </w:r>
          </w:p>
        </w:tc>
      </w:tr>
      <w:tr w:rsidR="00236E73" w14:paraId="59126593" w14:textId="77777777">
        <w:trPr>
          <w:jc w:val="center"/>
        </w:trPr>
        <w:tc>
          <w:tcPr>
            <w:tcW w:w="2823" w:type="dxa"/>
          </w:tcPr>
          <w:p w14:paraId="46C81788" w14:textId="77777777" w:rsidR="00236E73" w:rsidRPr="003E30B6" w:rsidRDefault="00000000">
            <w:pPr>
              <w:rPr>
                <w:lang w:val="de-DE"/>
              </w:rPr>
            </w:pPr>
            <w:r w:rsidRPr="003E30B6">
              <w:rPr>
                <w:sz w:val="17"/>
                <w:lang w:val="de-DE"/>
              </w:rPr>
              <w:t>Welche Werte sind Annahmen, welche nicht?</w:t>
            </w:r>
          </w:p>
        </w:tc>
        <w:tc>
          <w:tcPr>
            <w:tcW w:w="4706" w:type="dxa"/>
          </w:tcPr>
          <w:p w14:paraId="053B9B92" w14:textId="77777777" w:rsidR="00236E73" w:rsidRDefault="00000000">
            <w:r>
              <w:rPr>
                <w:sz w:val="17"/>
              </w:rPr>
              <w:t>Konfidenzklassen [published], [estimate], [approximation], [assumption]; ρ ist regulatorischer CRR-Parameter, keine Schätzung</w:t>
            </w:r>
          </w:p>
        </w:tc>
        <w:tc>
          <w:tcPr>
            <w:tcW w:w="1882" w:type="dxa"/>
          </w:tcPr>
          <w:p w14:paraId="5ACBD760" w14:textId="77777777" w:rsidR="00236E73" w:rsidRDefault="00000000">
            <w:r>
              <w:rPr>
                <w:sz w:val="17"/>
              </w:rPr>
              <w:t>4 / 6</w:t>
            </w:r>
          </w:p>
        </w:tc>
      </w:tr>
      <w:tr w:rsidR="00236E73" w14:paraId="7E342F5C" w14:textId="77777777">
        <w:trPr>
          <w:jc w:val="center"/>
        </w:trPr>
        <w:tc>
          <w:tcPr>
            <w:tcW w:w="2823" w:type="dxa"/>
          </w:tcPr>
          <w:p w14:paraId="31CFA13A" w14:textId="77777777" w:rsidR="00236E73" w:rsidRPr="003E30B6" w:rsidRDefault="00000000">
            <w:pPr>
              <w:rPr>
                <w:lang w:val="de-DE"/>
              </w:rPr>
            </w:pPr>
            <w:r w:rsidRPr="003E30B6">
              <w:rPr>
                <w:sz w:val="17"/>
                <w:lang w:val="de-DE"/>
              </w:rPr>
              <w:t>Wie läuft ein Schock durch das Modell?</w:t>
            </w:r>
          </w:p>
        </w:tc>
        <w:tc>
          <w:tcPr>
            <w:tcW w:w="4706" w:type="dxa"/>
          </w:tcPr>
          <w:p w14:paraId="05690C56" w14:textId="77777777" w:rsidR="00236E73" w:rsidRPr="003E30B6" w:rsidRDefault="00000000">
            <w:pPr>
              <w:rPr>
                <w:lang w:val="de-DE"/>
              </w:rPr>
            </w:pPr>
            <w:r>
              <w:rPr>
                <w:sz w:val="17"/>
              </w:rPr>
              <w:t>Δ</w:t>
            </w:r>
            <w:r w:rsidRPr="003E30B6">
              <w:rPr>
                <w:sz w:val="17"/>
                <w:lang w:val="de-DE"/>
              </w:rPr>
              <w:t xml:space="preserve">Brent und </w:t>
            </w:r>
            <w:r>
              <w:rPr>
                <w:sz w:val="17"/>
              </w:rPr>
              <w:t>Δ</w:t>
            </w:r>
            <w:r w:rsidRPr="003E30B6">
              <w:rPr>
                <w:sz w:val="17"/>
                <w:lang w:val="de-DE"/>
              </w:rPr>
              <w:t xml:space="preserve">r_10y → </w:t>
            </w:r>
            <w:r>
              <w:rPr>
                <w:sz w:val="17"/>
              </w:rPr>
              <w:t>Δ</w:t>
            </w:r>
            <w:r w:rsidRPr="003E30B6">
              <w:rPr>
                <w:sz w:val="17"/>
                <w:lang w:val="de-DE"/>
              </w:rPr>
              <w:t>PD/</w:t>
            </w:r>
            <w:r>
              <w:rPr>
                <w:sz w:val="17"/>
              </w:rPr>
              <w:t>Δ</w:t>
            </w:r>
            <w:r w:rsidRPr="003E30B6">
              <w:rPr>
                <w:sz w:val="17"/>
                <w:lang w:val="de-DE"/>
              </w:rPr>
              <w:t xml:space="preserve">LGD → IRB-K-Formel → </w:t>
            </w:r>
            <w:r>
              <w:rPr>
                <w:sz w:val="17"/>
              </w:rPr>
              <w:t>Δ</w:t>
            </w:r>
            <w:r w:rsidRPr="003E30B6">
              <w:rPr>
                <w:sz w:val="17"/>
                <w:lang w:val="de-DE"/>
              </w:rPr>
              <w:t>RWA/</w:t>
            </w:r>
            <w:r>
              <w:rPr>
                <w:sz w:val="17"/>
              </w:rPr>
              <w:t>Δ</w:t>
            </w:r>
            <w:r w:rsidRPr="003E30B6">
              <w:rPr>
                <w:sz w:val="17"/>
                <w:lang w:val="de-DE"/>
              </w:rPr>
              <w:t>EL → CET1-Bridge</w:t>
            </w:r>
          </w:p>
        </w:tc>
        <w:tc>
          <w:tcPr>
            <w:tcW w:w="1882" w:type="dxa"/>
          </w:tcPr>
          <w:p w14:paraId="2A0ADFB0" w14:textId="77777777" w:rsidR="00236E73" w:rsidRDefault="00000000">
            <w:r>
              <w:rPr>
                <w:sz w:val="17"/>
              </w:rPr>
              <w:t>3 / 4</w:t>
            </w:r>
          </w:p>
        </w:tc>
      </w:tr>
      <w:tr w:rsidR="00236E73" w14:paraId="1D9DD101" w14:textId="77777777">
        <w:trPr>
          <w:jc w:val="center"/>
        </w:trPr>
        <w:tc>
          <w:tcPr>
            <w:tcW w:w="2823" w:type="dxa"/>
          </w:tcPr>
          <w:p w14:paraId="3309E71E" w14:textId="77777777" w:rsidR="00236E73" w:rsidRPr="003E30B6" w:rsidRDefault="00000000">
            <w:pPr>
              <w:rPr>
                <w:lang w:val="de-DE"/>
              </w:rPr>
            </w:pPr>
            <w:r w:rsidRPr="003E30B6">
              <w:rPr>
                <w:sz w:val="17"/>
                <w:lang w:val="de-DE"/>
              </w:rPr>
              <w:t>Wie wird Look-ahead im Backtest verhindert?</w:t>
            </w:r>
          </w:p>
        </w:tc>
        <w:tc>
          <w:tcPr>
            <w:tcW w:w="4706" w:type="dxa"/>
          </w:tcPr>
          <w:p w14:paraId="1DF425C5" w14:textId="77777777" w:rsidR="00236E73" w:rsidRPr="003E30B6" w:rsidRDefault="00000000">
            <w:pPr>
              <w:rPr>
                <w:lang w:val="de-DE"/>
              </w:rPr>
            </w:pPr>
            <w:r w:rsidRPr="003E30B6">
              <w:rPr>
                <w:sz w:val="17"/>
                <w:lang w:val="de-DE"/>
              </w:rPr>
              <w:t>Walk-Forward: Portfolio zum Vorjahresstichtag einfrieren, realen Jahresschock einspeisen, erst danach mit gemeldeter CET1 vergleichen</w:t>
            </w:r>
          </w:p>
        </w:tc>
        <w:tc>
          <w:tcPr>
            <w:tcW w:w="1882" w:type="dxa"/>
          </w:tcPr>
          <w:p w14:paraId="3A59AF10" w14:textId="77777777" w:rsidR="00236E73" w:rsidRDefault="00000000">
            <w:r>
              <w:rPr>
                <w:sz w:val="17"/>
              </w:rPr>
              <w:t>7 / A-02c</w:t>
            </w:r>
          </w:p>
        </w:tc>
      </w:tr>
      <w:tr w:rsidR="00236E73" w14:paraId="0C7BF7EC" w14:textId="77777777">
        <w:trPr>
          <w:jc w:val="center"/>
        </w:trPr>
        <w:tc>
          <w:tcPr>
            <w:tcW w:w="2823" w:type="dxa"/>
          </w:tcPr>
          <w:p w14:paraId="4A67E52F" w14:textId="77777777" w:rsidR="00236E73" w:rsidRPr="003E30B6" w:rsidRDefault="00000000">
            <w:pPr>
              <w:rPr>
                <w:lang w:val="de-DE"/>
              </w:rPr>
            </w:pPr>
            <w:r w:rsidRPr="003E30B6">
              <w:rPr>
                <w:sz w:val="17"/>
                <w:lang w:val="de-DE"/>
              </w:rPr>
              <w:t>Wo liegen die bewussten Grenzen?</w:t>
            </w:r>
          </w:p>
        </w:tc>
        <w:tc>
          <w:tcPr>
            <w:tcW w:w="4706" w:type="dxa"/>
          </w:tcPr>
          <w:p w14:paraId="0ED02367" w14:textId="77777777" w:rsidR="00236E73" w:rsidRPr="003E30B6" w:rsidRDefault="00000000">
            <w:pPr>
              <w:rPr>
                <w:lang w:val="de-DE"/>
              </w:rPr>
            </w:pPr>
            <w:r w:rsidRPr="003E30B6">
              <w:rPr>
                <w:sz w:val="17"/>
                <w:lang w:val="de-DE"/>
              </w:rPr>
              <w:t>Scope-Grenzen separat ausgewiesen: u. a. kein NII-Gegeneffekt, kein Hedge-Rekonstrukt, kein Mehrjahrespfad</w:t>
            </w:r>
          </w:p>
        </w:tc>
        <w:tc>
          <w:tcPr>
            <w:tcW w:w="1882" w:type="dxa"/>
          </w:tcPr>
          <w:p w14:paraId="61EAEC66" w14:textId="77777777" w:rsidR="00236E73" w:rsidRDefault="00000000">
            <w:r>
              <w:rPr>
                <w:sz w:val="17"/>
              </w:rPr>
              <w:t>8</w:t>
            </w:r>
          </w:p>
        </w:tc>
      </w:tr>
    </w:tbl>
    <w:p w14:paraId="0AE2DDAC" w14:textId="77777777" w:rsidR="00236E73" w:rsidRDefault="00236E73">
      <w:pPr>
        <w:spacing w:after="80"/>
      </w:pPr>
    </w:p>
    <w:p w14:paraId="3C5EC728" w14:textId="77777777" w:rsidR="00236E73" w:rsidRDefault="00000000">
      <w:pPr>
        <w:pStyle w:val="Heading1"/>
      </w:pPr>
      <w:r>
        <w:lastRenderedPageBreak/>
        <w:t>2. Die zwei Risikofaktoren</w:t>
      </w:r>
    </w:p>
    <w:p w14:paraId="1B0B21CD" w14:textId="77777777" w:rsidR="00236E73" w:rsidRPr="003E30B6" w:rsidRDefault="00000000">
      <w:pPr>
        <w:rPr>
          <w:lang w:val="de-DE"/>
        </w:rPr>
      </w:pPr>
      <w:r w:rsidRPr="003E30B6">
        <w:rPr>
          <w:lang w:val="de-DE"/>
        </w:rPr>
        <w:t>Beide Faktoren sind täglich beobachtbare Marktgrößen - das Modell braucht keine latenten Zustandsvariablen:</w:t>
      </w:r>
    </w:p>
    <w:tbl>
      <w:tblPr>
        <w:tblStyle w:val="TableGrid"/>
        <w:tblW w:w="0" w:type="auto"/>
        <w:jc w:val="center"/>
        <w:tblLook w:val="04A0" w:firstRow="1" w:lastRow="0" w:firstColumn="1" w:lastColumn="0" w:noHBand="0" w:noVBand="1"/>
      </w:tblPr>
      <w:tblGrid>
        <w:gridCol w:w="1501"/>
        <w:gridCol w:w="1377"/>
        <w:gridCol w:w="4686"/>
        <w:gridCol w:w="2064"/>
      </w:tblGrid>
      <w:tr w:rsidR="00236E73" w14:paraId="4DD6DACA" w14:textId="77777777">
        <w:trPr>
          <w:jc w:val="center"/>
        </w:trPr>
        <w:tc>
          <w:tcPr>
            <w:tcW w:w="1506" w:type="dxa"/>
            <w:shd w:val="clear" w:color="auto" w:fill="D9E4EC"/>
          </w:tcPr>
          <w:p w14:paraId="151C67E7" w14:textId="77777777" w:rsidR="00236E73" w:rsidRDefault="00000000">
            <w:r>
              <w:rPr>
                <w:b/>
                <w:sz w:val="18"/>
              </w:rPr>
              <w:t>Faktor</w:t>
            </w:r>
          </w:p>
        </w:tc>
        <w:tc>
          <w:tcPr>
            <w:tcW w:w="1129" w:type="dxa"/>
            <w:shd w:val="clear" w:color="auto" w:fill="D9E4EC"/>
          </w:tcPr>
          <w:p w14:paraId="7DCAC5C2" w14:textId="77777777" w:rsidR="00236E73" w:rsidRDefault="00000000">
            <w:r>
              <w:rPr>
                <w:b/>
                <w:sz w:val="18"/>
              </w:rPr>
              <w:t>Einheit</w:t>
            </w:r>
          </w:p>
        </w:tc>
        <w:tc>
          <w:tcPr>
            <w:tcW w:w="4706" w:type="dxa"/>
            <w:shd w:val="clear" w:color="auto" w:fill="D9E4EC"/>
          </w:tcPr>
          <w:p w14:paraId="67119032" w14:textId="77777777" w:rsidR="00236E73" w:rsidRDefault="00000000">
            <w:r>
              <w:rPr>
                <w:b/>
                <w:sz w:val="18"/>
              </w:rPr>
              <w:t>Ökonomische Wirkung</w:t>
            </w:r>
          </w:p>
        </w:tc>
        <w:tc>
          <w:tcPr>
            <w:tcW w:w="2070" w:type="dxa"/>
            <w:shd w:val="clear" w:color="auto" w:fill="D9E4EC"/>
          </w:tcPr>
          <w:p w14:paraId="27D5BD96" w14:textId="77777777" w:rsidR="00236E73" w:rsidRDefault="00000000">
            <w:r>
              <w:rPr>
                <w:b/>
                <w:sz w:val="18"/>
              </w:rPr>
              <w:t>Lesebeispiel</w:t>
            </w:r>
          </w:p>
        </w:tc>
      </w:tr>
      <w:tr w:rsidR="00236E73" w14:paraId="340E6CD4" w14:textId="77777777">
        <w:trPr>
          <w:jc w:val="center"/>
        </w:trPr>
        <w:tc>
          <w:tcPr>
            <w:tcW w:w="1506" w:type="dxa"/>
          </w:tcPr>
          <w:p w14:paraId="4694532B" w14:textId="77777777" w:rsidR="00236E73" w:rsidRDefault="00000000">
            <w:r>
              <w:rPr>
                <w:b/>
                <w:sz w:val="18"/>
              </w:rPr>
              <w:t>ΔBrent</w:t>
            </w:r>
            <w:r>
              <w:rPr>
                <w:sz w:val="18"/>
              </w:rPr>
              <w:t xml:space="preserve"> (Ölpreis)</w:t>
            </w:r>
          </w:p>
        </w:tc>
        <w:tc>
          <w:tcPr>
            <w:tcW w:w="1129" w:type="dxa"/>
          </w:tcPr>
          <w:p w14:paraId="43478604" w14:textId="77777777" w:rsidR="00236E73" w:rsidRDefault="00000000">
            <w:r>
              <w:rPr>
                <w:sz w:val="18"/>
              </w:rPr>
              <w:t>log-Return</w:t>
            </w:r>
          </w:p>
        </w:tc>
        <w:tc>
          <w:tcPr>
            <w:tcW w:w="4706" w:type="dxa"/>
          </w:tcPr>
          <w:p w14:paraId="29ED28C9" w14:textId="77777777" w:rsidR="00236E73" w:rsidRPr="003E30B6" w:rsidRDefault="00000000">
            <w:pPr>
              <w:rPr>
                <w:lang w:val="de-DE"/>
              </w:rPr>
            </w:pPr>
            <w:r w:rsidRPr="003E30B6">
              <w:rPr>
                <w:sz w:val="18"/>
                <w:lang w:val="de-DE"/>
              </w:rPr>
              <w:t>Energie-/Kostenschock: verteuert Vorleistungen, drückt Schuldner-Cashflows und Haushaltsbudgets</w:t>
            </w:r>
          </w:p>
        </w:tc>
        <w:tc>
          <w:tcPr>
            <w:tcW w:w="2070" w:type="dxa"/>
          </w:tcPr>
          <w:p w14:paraId="0A427EFD" w14:textId="77777777" w:rsidR="00236E73" w:rsidRDefault="00000000">
            <w:r>
              <w:rPr>
                <w:sz w:val="18"/>
              </w:rPr>
              <w:t>+0,50 ≈ +65 % Ölpreis</w:t>
            </w:r>
          </w:p>
        </w:tc>
      </w:tr>
      <w:tr w:rsidR="00236E73" w14:paraId="724999DE" w14:textId="77777777">
        <w:trPr>
          <w:jc w:val="center"/>
        </w:trPr>
        <w:tc>
          <w:tcPr>
            <w:tcW w:w="1506" w:type="dxa"/>
          </w:tcPr>
          <w:p w14:paraId="2871CE58" w14:textId="77777777" w:rsidR="00236E73" w:rsidRDefault="00000000">
            <w:r>
              <w:rPr>
                <w:b/>
                <w:sz w:val="18"/>
              </w:rPr>
              <w:t>Δr_10y</w:t>
            </w:r>
            <w:r>
              <w:rPr>
                <w:sz w:val="18"/>
              </w:rPr>
              <w:t xml:space="preserve"> (10-J-Zins)</w:t>
            </w:r>
          </w:p>
        </w:tc>
        <w:tc>
          <w:tcPr>
            <w:tcW w:w="1129" w:type="dxa"/>
          </w:tcPr>
          <w:p w14:paraId="3105CAD4" w14:textId="77777777" w:rsidR="00236E73" w:rsidRDefault="00000000">
            <w:r>
              <w:rPr>
                <w:sz w:val="18"/>
              </w:rPr>
              <w:t>Prozentpunkte</w:t>
            </w:r>
          </w:p>
        </w:tc>
        <w:tc>
          <w:tcPr>
            <w:tcW w:w="4706" w:type="dxa"/>
          </w:tcPr>
          <w:p w14:paraId="4642FE15" w14:textId="77777777" w:rsidR="00236E73" w:rsidRPr="003E30B6" w:rsidRDefault="00000000">
            <w:pPr>
              <w:rPr>
                <w:lang w:val="de-DE"/>
              </w:rPr>
            </w:pPr>
            <w:r w:rsidRPr="003E30B6">
              <w:rPr>
                <w:sz w:val="18"/>
                <w:lang w:val="de-DE"/>
              </w:rPr>
              <w:t>Refinanzierungs-/Bewertungsschock: verteuert Anschlussfinanzierung, senkt Sicherheiten- und Anleihewerte</w:t>
            </w:r>
          </w:p>
        </w:tc>
        <w:tc>
          <w:tcPr>
            <w:tcW w:w="2070" w:type="dxa"/>
          </w:tcPr>
          <w:p w14:paraId="131A4805" w14:textId="77777777" w:rsidR="00236E73" w:rsidRDefault="00000000">
            <w:r>
              <w:rPr>
                <w:sz w:val="18"/>
              </w:rPr>
              <w:t>+2,0 = +200 Basispunkte</w:t>
            </w:r>
          </w:p>
        </w:tc>
      </w:tr>
    </w:tbl>
    <w:p w14:paraId="0CA0C061" w14:textId="77777777" w:rsidR="00236E73" w:rsidRDefault="00236E73">
      <w:pPr>
        <w:spacing w:after="80"/>
      </w:pPr>
    </w:p>
    <w:p w14:paraId="0E00FDEB" w14:textId="77777777" w:rsidR="00236E73" w:rsidRPr="003E30B6" w:rsidRDefault="00000000">
      <w:pPr>
        <w:pStyle w:val="Heading2"/>
        <w:rPr>
          <w:lang w:val="de-DE"/>
        </w:rPr>
      </w:pPr>
      <w:r w:rsidRPr="003E30B6">
        <w:rPr>
          <w:lang w:val="de-DE"/>
        </w:rPr>
        <w:t>Warum Brent und Log-Renditen?</w:t>
      </w:r>
    </w:p>
    <w:p w14:paraId="5719C815" w14:textId="77777777" w:rsidR="00236E73" w:rsidRPr="003E30B6" w:rsidRDefault="00000000">
      <w:pPr>
        <w:rPr>
          <w:lang w:val="de-DE"/>
        </w:rPr>
      </w:pPr>
      <w:r w:rsidRPr="003E30B6">
        <w:rPr>
          <w:b/>
          <w:lang w:val="de-DE"/>
        </w:rPr>
        <w:t>Warum Brent?</w:t>
      </w:r>
      <w:r w:rsidRPr="003E30B6">
        <w:rPr>
          <w:lang w:val="de-DE"/>
        </w:rPr>
        <w:t xml:space="preserve"> Brent ist der liquide, täglich verfügbare Rohöl-Benchmark mit hoher Relevanz für europäische Energie- und Importpreise. Das Modell nutzt Brent nicht, weil jede Bank direkt Ölpreisrisiko hält, sondern als beobachtbaren Proxy für den Energie-/Angebots-/Inflationsschock, der Unternehmensmargen, Haushaltsbudgets und Sicherheitenwerte belastet. WTI wäre stärker durch US-spezifische Lager- und Transportbedingungen geprägt; Gas- oder Strompreise wären für Europa ebenfalls relevant, aber deutlich heterogener und weniger stabil als ein einheitlicher, täglich verfügbarer Faktor.</w:t>
      </w:r>
    </w:p>
    <w:p w14:paraId="131DB1D0" w14:textId="77777777" w:rsidR="00236E73" w:rsidRPr="003E30B6" w:rsidRDefault="00000000">
      <w:pPr>
        <w:rPr>
          <w:lang w:val="de-DE"/>
        </w:rPr>
      </w:pPr>
      <w:r w:rsidRPr="003E30B6">
        <w:rPr>
          <w:b/>
          <w:lang w:val="de-DE"/>
        </w:rPr>
        <w:t>Warum log-Return statt einfacher Prozentänderung?</w:t>
      </w:r>
      <w:r w:rsidRPr="003E30B6">
        <w:rPr>
          <w:lang w:val="de-DE"/>
        </w:rPr>
        <w:t xml:space="preserve"> Der Ölpreis wird als </w:t>
      </w:r>
      <w:r>
        <w:t>Δ</w:t>
      </w:r>
      <w:r w:rsidRPr="003E30B6">
        <w:rPr>
          <w:lang w:val="de-DE"/>
        </w:rPr>
        <w:t xml:space="preserve">Brent_log = ln(P_t / P_0) gemessen. Log-Returns sind skalierungsfrei, über Zeiträume addierbar und behandeln relative Preisbewegungen konsistent: +0,50 entspricht exp(0,50)−1 ≈ +65 %, −0,50 entspricht etwa −39 %. Gerade bei großen Stressbewegungen vermeidet die Log-Konvention Verzerrungen einfacher Prozentänderungen und ist Standard in der Finanzzeitreihenanalyse. Die </w:t>
      </w:r>
      <w:r>
        <w:t>β</w:t>
      </w:r>
      <w:r w:rsidRPr="003E30B6">
        <w:rPr>
          <w:lang w:val="de-DE"/>
        </w:rPr>
        <w:t xml:space="preserve">-Werte sind daher als </w:t>
      </w:r>
      <w:r w:rsidRPr="003E30B6">
        <w:rPr>
          <w:b/>
          <w:lang w:val="de-DE"/>
        </w:rPr>
        <w:t xml:space="preserve">Prozentpunkte </w:t>
      </w:r>
      <w:r>
        <w:rPr>
          <w:b/>
        </w:rPr>
        <w:t>Δ</w:t>
      </w:r>
      <w:r w:rsidRPr="003E30B6">
        <w:rPr>
          <w:b/>
          <w:lang w:val="de-DE"/>
        </w:rPr>
        <w:t>PD/</w:t>
      </w:r>
      <w:r>
        <w:rPr>
          <w:b/>
        </w:rPr>
        <w:t>Δ</w:t>
      </w:r>
      <w:r w:rsidRPr="003E30B6">
        <w:rPr>
          <w:b/>
          <w:lang w:val="de-DE"/>
        </w:rPr>
        <w:t>LGD pro Logpunkt Brent-Schock</w:t>
      </w:r>
      <w:r w:rsidRPr="003E30B6">
        <w:rPr>
          <w:lang w:val="de-DE"/>
        </w:rPr>
        <w:t xml:space="preserve"> zu lesen. Der Zinsfaktor wird dagegen in Prozentpunkten gemessen, weil Renditen bereits Prozentgrößen sind.</w:t>
      </w:r>
    </w:p>
    <w:p w14:paraId="753B266A" w14:textId="77777777" w:rsidR="00236E73" w:rsidRPr="003E30B6" w:rsidRDefault="00000000">
      <w:pPr>
        <w:rPr>
          <w:lang w:val="de-DE"/>
        </w:rPr>
      </w:pPr>
      <w:r w:rsidRPr="003E30B6">
        <w:rPr>
          <w:b/>
          <w:lang w:val="de-DE"/>
        </w:rPr>
        <w:t>Warum zwei getrennte Faktoren?</w:t>
      </w:r>
      <w:r w:rsidRPr="003E30B6">
        <w:rPr>
          <w:lang w:val="de-DE"/>
        </w:rPr>
        <w:t xml:space="preserve"> Gemessen auf Tagesbasis - tägliche Brent-log-Returns gegen tägliche Änderungen des 10-Jahres-Svensson-Zinses, rollierendes 5-Jahres-Fenster mit 1 242 Handelstagen - beträgt die Pearson-Korrelation der beiden Faktoren nur </w:t>
      </w:r>
      <w:r>
        <w:t>ρ</w:t>
      </w:r>
      <w:r w:rsidRPr="003E30B6">
        <w:rPr>
          <w:lang w:val="de-DE"/>
        </w:rPr>
        <w:t xml:space="preserve"> = +0,07 (Fisher-z-95 %-Konfidenzintervall [+0,01; +0,12]; OLS-R² = 0,005). Sie tragen also nahezu unabhängige Information - eine Aggregation zu einem Einheitsfaktor würde genau die Unterscheidung wegwerfen, die z. B. eine zinsgetriebene Hypothekenkrise von einem Energiekostenschock trennt. Die Grenze dieser Tages-Evidenz für den Jahres-Horizont diskutiert Annahme A-10; die Slider-Spannen des Cockpits (</w:t>
      </w:r>
      <w:r>
        <w:t>Δ</w:t>
      </w:r>
      <w:r w:rsidRPr="003E30B6">
        <w:rPr>
          <w:lang w:val="de-DE"/>
        </w:rPr>
        <w:t xml:space="preserve">Brent_log ∈ [−1,0; +1,5], </w:t>
      </w:r>
      <w:r>
        <w:t>Δ</w:t>
      </w:r>
      <w:r w:rsidRPr="003E30B6">
        <w:rPr>
          <w:lang w:val="de-DE"/>
        </w:rPr>
        <w:t>r_10y ∈ [−3; +5] pp) orientieren sich an der Größenordnung des adversen EBA/ESRB-2025-Szenarios (§4.1.6).</w:t>
      </w:r>
    </w:p>
    <w:p w14:paraId="793DB700" w14:textId="77777777" w:rsidR="00236E73" w:rsidRDefault="00000000">
      <w:pPr>
        <w:pStyle w:val="Heading2"/>
      </w:pPr>
      <w:r>
        <w:t>Datenquellen und ihre Rollen</w:t>
      </w:r>
    </w:p>
    <w:tbl>
      <w:tblPr>
        <w:tblStyle w:val="TableGrid"/>
        <w:tblW w:w="0" w:type="auto"/>
        <w:jc w:val="center"/>
        <w:tblLook w:val="04A0" w:firstRow="1" w:lastRow="0" w:firstColumn="1" w:lastColumn="0" w:noHBand="0" w:noVBand="1"/>
      </w:tblPr>
      <w:tblGrid>
        <w:gridCol w:w="2259"/>
        <w:gridCol w:w="3106"/>
        <w:gridCol w:w="4047"/>
      </w:tblGrid>
      <w:tr w:rsidR="00236E73" w14:paraId="0DE43260" w14:textId="77777777">
        <w:trPr>
          <w:jc w:val="center"/>
        </w:trPr>
        <w:tc>
          <w:tcPr>
            <w:tcW w:w="2259" w:type="dxa"/>
            <w:shd w:val="clear" w:color="auto" w:fill="D9E4EC"/>
          </w:tcPr>
          <w:p w14:paraId="4FA27D00" w14:textId="77777777" w:rsidR="00236E73" w:rsidRDefault="00000000">
            <w:r>
              <w:rPr>
                <w:b/>
                <w:sz w:val="18"/>
              </w:rPr>
              <w:t>Quelle</w:t>
            </w:r>
          </w:p>
        </w:tc>
        <w:tc>
          <w:tcPr>
            <w:tcW w:w="3106" w:type="dxa"/>
            <w:shd w:val="clear" w:color="auto" w:fill="D9E4EC"/>
          </w:tcPr>
          <w:p w14:paraId="27A24889" w14:textId="77777777" w:rsidR="00236E73" w:rsidRDefault="00000000">
            <w:r>
              <w:rPr>
                <w:b/>
                <w:sz w:val="18"/>
              </w:rPr>
              <w:t>Inhalt</w:t>
            </w:r>
          </w:p>
        </w:tc>
        <w:tc>
          <w:tcPr>
            <w:tcW w:w="4047" w:type="dxa"/>
            <w:shd w:val="clear" w:color="auto" w:fill="D9E4EC"/>
          </w:tcPr>
          <w:p w14:paraId="17C579F4" w14:textId="77777777" w:rsidR="00236E73" w:rsidRDefault="00000000">
            <w:r>
              <w:rPr>
                <w:b/>
                <w:sz w:val="18"/>
              </w:rPr>
              <w:t>Rolle im Modell</w:t>
            </w:r>
          </w:p>
        </w:tc>
      </w:tr>
      <w:tr w:rsidR="00236E73" w14:paraId="78D64AFA" w14:textId="77777777">
        <w:trPr>
          <w:jc w:val="center"/>
        </w:trPr>
        <w:tc>
          <w:tcPr>
            <w:tcW w:w="2259" w:type="dxa"/>
          </w:tcPr>
          <w:p w14:paraId="066D5137" w14:textId="77777777" w:rsidR="00236E73" w:rsidRDefault="00000000">
            <w:r>
              <w:rPr>
                <w:sz w:val="18"/>
              </w:rPr>
              <w:t>Pillar-3-Reports (EU CR6)</w:t>
            </w:r>
          </w:p>
        </w:tc>
        <w:tc>
          <w:tcPr>
            <w:tcW w:w="3106" w:type="dxa"/>
          </w:tcPr>
          <w:p w14:paraId="2AD15145" w14:textId="77777777" w:rsidR="00236E73" w:rsidRPr="003E30B6" w:rsidRDefault="00000000">
            <w:pPr>
              <w:rPr>
                <w:lang w:val="de-DE"/>
              </w:rPr>
            </w:pPr>
            <w:r w:rsidRPr="003E30B6">
              <w:rPr>
                <w:sz w:val="18"/>
                <w:lang w:val="de-DE"/>
              </w:rPr>
              <w:t>PD, LGD, EAD je Bank × Kreditklasse</w:t>
            </w:r>
          </w:p>
        </w:tc>
        <w:tc>
          <w:tcPr>
            <w:tcW w:w="4047" w:type="dxa"/>
          </w:tcPr>
          <w:p w14:paraId="3B2796F0" w14:textId="77777777" w:rsidR="00236E73" w:rsidRDefault="00000000">
            <w:r>
              <w:rPr>
                <w:b/>
                <w:sz w:val="18"/>
              </w:rPr>
              <w:t>Input</w:t>
            </w:r>
            <w:r>
              <w:rPr>
                <w:sz w:val="18"/>
              </w:rPr>
              <w:t xml:space="preserve"> - Risikoparameter (Live-Snapshot 31.12.2024 + Backtest-Reihe FY2021–2024)</w:t>
            </w:r>
          </w:p>
        </w:tc>
      </w:tr>
      <w:tr w:rsidR="00236E73" w:rsidRPr="003E30B6" w14:paraId="2789367D" w14:textId="77777777">
        <w:trPr>
          <w:jc w:val="center"/>
        </w:trPr>
        <w:tc>
          <w:tcPr>
            <w:tcW w:w="2259" w:type="dxa"/>
          </w:tcPr>
          <w:p w14:paraId="50075833" w14:textId="77777777" w:rsidR="00236E73" w:rsidRDefault="00000000">
            <w:r>
              <w:rPr>
                <w:sz w:val="18"/>
              </w:rPr>
              <w:t>EBA Transparency Exercise</w:t>
            </w:r>
          </w:p>
        </w:tc>
        <w:tc>
          <w:tcPr>
            <w:tcW w:w="3106" w:type="dxa"/>
          </w:tcPr>
          <w:p w14:paraId="44CF6E46" w14:textId="77777777" w:rsidR="00236E73" w:rsidRPr="003E30B6" w:rsidRDefault="00000000">
            <w:pPr>
              <w:rPr>
                <w:lang w:val="de-DE"/>
              </w:rPr>
            </w:pPr>
            <w:r w:rsidRPr="003E30B6">
              <w:rPr>
                <w:sz w:val="18"/>
                <w:lang w:val="de-DE"/>
              </w:rPr>
              <w:t>CET1, RWA je Bank und Quartal</w:t>
            </w:r>
          </w:p>
        </w:tc>
        <w:tc>
          <w:tcPr>
            <w:tcW w:w="4047" w:type="dxa"/>
          </w:tcPr>
          <w:p w14:paraId="64C653C9" w14:textId="77777777" w:rsidR="00236E73" w:rsidRPr="003E30B6" w:rsidRDefault="00000000">
            <w:pPr>
              <w:rPr>
                <w:lang w:val="de-DE"/>
              </w:rPr>
            </w:pPr>
            <w:r w:rsidRPr="003E30B6">
              <w:rPr>
                <w:b/>
                <w:sz w:val="18"/>
                <w:lang w:val="de-DE"/>
              </w:rPr>
              <w:t>Vergleichsseite</w:t>
            </w:r>
            <w:r w:rsidRPr="003E30B6">
              <w:rPr>
                <w:sz w:val="18"/>
                <w:lang w:val="de-DE"/>
              </w:rPr>
              <w:t xml:space="preserve"> - realisierte Werte für die Validierung; nie PD/LGD-Quelle</w:t>
            </w:r>
          </w:p>
        </w:tc>
      </w:tr>
      <w:tr w:rsidR="00236E73" w14:paraId="6E56E6BE" w14:textId="77777777">
        <w:trPr>
          <w:jc w:val="center"/>
        </w:trPr>
        <w:tc>
          <w:tcPr>
            <w:tcW w:w="2259" w:type="dxa"/>
          </w:tcPr>
          <w:p w14:paraId="55FC2589" w14:textId="77777777" w:rsidR="00236E73" w:rsidRDefault="00000000">
            <w:r>
              <w:rPr>
                <w:sz w:val="18"/>
              </w:rPr>
              <w:t>Brent (ICE), täglich</w:t>
            </w:r>
          </w:p>
        </w:tc>
        <w:tc>
          <w:tcPr>
            <w:tcW w:w="3106" w:type="dxa"/>
          </w:tcPr>
          <w:p w14:paraId="4538E797" w14:textId="77777777" w:rsidR="00236E73" w:rsidRDefault="00000000">
            <w:r>
              <w:rPr>
                <w:sz w:val="18"/>
              </w:rPr>
              <w:t>Ölpreis-Historie</w:t>
            </w:r>
          </w:p>
        </w:tc>
        <w:tc>
          <w:tcPr>
            <w:tcW w:w="4047" w:type="dxa"/>
          </w:tcPr>
          <w:p w14:paraId="33195822" w14:textId="77777777" w:rsidR="00236E73" w:rsidRDefault="00000000">
            <w:r>
              <w:rPr>
                <w:sz w:val="18"/>
              </w:rPr>
              <w:t>Faktor 1</w:t>
            </w:r>
          </w:p>
        </w:tc>
      </w:tr>
      <w:tr w:rsidR="00236E73" w14:paraId="733C84BA" w14:textId="77777777">
        <w:trPr>
          <w:jc w:val="center"/>
        </w:trPr>
        <w:tc>
          <w:tcPr>
            <w:tcW w:w="2259" w:type="dxa"/>
          </w:tcPr>
          <w:p w14:paraId="16DEF16D" w14:textId="77777777" w:rsidR="00236E73" w:rsidRDefault="00000000">
            <w:r>
              <w:rPr>
                <w:sz w:val="18"/>
              </w:rPr>
              <w:t>Bundesbank-Svensson-Parameter</w:t>
            </w:r>
          </w:p>
        </w:tc>
        <w:tc>
          <w:tcPr>
            <w:tcW w:w="3106" w:type="dxa"/>
          </w:tcPr>
          <w:p w14:paraId="01E09361" w14:textId="77777777" w:rsidR="00236E73" w:rsidRPr="003E30B6" w:rsidRDefault="00000000">
            <w:pPr>
              <w:rPr>
                <w:lang w:val="de-DE"/>
              </w:rPr>
            </w:pPr>
            <w:r w:rsidRPr="003E30B6">
              <w:rPr>
                <w:sz w:val="18"/>
                <w:lang w:val="de-DE"/>
              </w:rPr>
              <w:t>Zinsstrukturkurve, täglich (Nelson/Siegel 1987, erweitert um Svensson 1994)</w:t>
            </w:r>
          </w:p>
        </w:tc>
        <w:tc>
          <w:tcPr>
            <w:tcW w:w="4047" w:type="dxa"/>
          </w:tcPr>
          <w:p w14:paraId="1F82AD3B" w14:textId="77777777" w:rsidR="00236E73" w:rsidRDefault="00000000">
            <w:r>
              <w:rPr>
                <w:sz w:val="18"/>
              </w:rPr>
              <w:t>Faktor 2 (10-J-Zins)</w:t>
            </w:r>
          </w:p>
        </w:tc>
      </w:tr>
      <w:tr w:rsidR="00236E73" w:rsidRPr="003E30B6" w14:paraId="0472928E" w14:textId="77777777">
        <w:trPr>
          <w:jc w:val="center"/>
        </w:trPr>
        <w:tc>
          <w:tcPr>
            <w:tcW w:w="2259" w:type="dxa"/>
          </w:tcPr>
          <w:p w14:paraId="73BCD1AC" w14:textId="77777777" w:rsidR="00236E73" w:rsidRDefault="00000000">
            <w:r>
              <w:rPr>
                <w:sz w:val="18"/>
              </w:rPr>
              <w:t>EBA IFRS-9-Split</w:t>
            </w:r>
          </w:p>
        </w:tc>
        <w:tc>
          <w:tcPr>
            <w:tcW w:w="3106" w:type="dxa"/>
          </w:tcPr>
          <w:p w14:paraId="2DC4A84D" w14:textId="77777777" w:rsidR="00236E73" w:rsidRPr="003E30B6" w:rsidRDefault="00000000">
            <w:pPr>
              <w:rPr>
                <w:lang w:val="de-DE"/>
              </w:rPr>
            </w:pPr>
            <w:r w:rsidRPr="003E30B6">
              <w:rPr>
                <w:sz w:val="18"/>
                <w:lang w:val="de-DE"/>
              </w:rPr>
              <w:t>HfT/FVTPL/FVOCI-Anteile der Staatsanleihen</w:t>
            </w:r>
          </w:p>
        </w:tc>
        <w:tc>
          <w:tcPr>
            <w:tcW w:w="4047" w:type="dxa"/>
          </w:tcPr>
          <w:p w14:paraId="6C794C57" w14:textId="77777777" w:rsidR="00236E73" w:rsidRPr="003E30B6" w:rsidRDefault="00000000">
            <w:pPr>
              <w:rPr>
                <w:lang w:val="de-DE"/>
              </w:rPr>
            </w:pPr>
            <w:r w:rsidRPr="003E30B6">
              <w:rPr>
                <w:sz w:val="18"/>
                <w:lang w:val="de-DE"/>
              </w:rPr>
              <w:t>Sovereign-Kanal (CET1-wirksamer Anteil)</w:t>
            </w:r>
          </w:p>
        </w:tc>
      </w:tr>
    </w:tbl>
    <w:p w14:paraId="3A6D0942" w14:textId="77777777" w:rsidR="00236E73" w:rsidRPr="003E30B6" w:rsidRDefault="00236E73">
      <w:pPr>
        <w:spacing w:after="80"/>
        <w:rPr>
          <w:lang w:val="de-DE"/>
        </w:rPr>
      </w:pPr>
    </w:p>
    <w:p w14:paraId="0409013F" w14:textId="77777777" w:rsidR="00236E73" w:rsidRPr="003E30B6" w:rsidRDefault="00000000">
      <w:pPr>
        <w:pStyle w:val="Heading1"/>
        <w:rPr>
          <w:lang w:val="de-DE"/>
        </w:rPr>
      </w:pPr>
      <w:r w:rsidRPr="003E30B6">
        <w:rPr>
          <w:lang w:val="de-DE"/>
        </w:rPr>
        <w:lastRenderedPageBreak/>
        <w:t>3. Stressübertragung nach Kreditklasse</w:t>
      </w:r>
    </w:p>
    <w:p w14:paraId="68818050" w14:textId="77777777" w:rsidR="00236E73" w:rsidRPr="003E30B6" w:rsidRDefault="00000000">
      <w:pPr>
        <w:rPr>
          <w:lang w:val="de-DE"/>
        </w:rPr>
      </w:pPr>
      <w:r w:rsidRPr="003E30B6">
        <w:rPr>
          <w:lang w:val="de-DE"/>
        </w:rPr>
        <w:t xml:space="preserve">Kern des Modells ist die Übersetzung der beiden Schocks in Risikoparameter - </w:t>
      </w:r>
      <w:r w:rsidRPr="003E30B6">
        <w:rPr>
          <w:b/>
          <w:lang w:val="de-DE"/>
        </w:rPr>
        <w:t>mit eigenen Sensitivitäten je Kreditklasse</w:t>
      </w:r>
      <w:r w:rsidRPr="003E30B6">
        <w:rPr>
          <w:lang w:val="de-DE"/>
        </w:rPr>
        <w:t xml:space="preserve"> (Annahme A-04):</w:t>
      </w:r>
    </w:p>
    <w:p w14:paraId="4B246044" w14:textId="77777777" w:rsidR="00236E73" w:rsidRPr="003E30B6" w:rsidRDefault="00000000">
      <w:pPr>
        <w:rPr>
          <w:lang w:val="de-DE"/>
        </w:rPr>
      </w:pPr>
      <w:r>
        <w:rPr>
          <w:color w:val="034B6F"/>
        </w:rPr>
        <w:t>Δ</w:t>
      </w:r>
      <w:r w:rsidRPr="003E30B6">
        <w:rPr>
          <w:color w:val="034B6F"/>
          <w:lang w:val="de-DE"/>
        </w:rPr>
        <w:t xml:space="preserve">PD [pp] = </w:t>
      </w:r>
      <w:r>
        <w:rPr>
          <w:color w:val="034B6F"/>
        </w:rPr>
        <w:t>β</w:t>
      </w:r>
      <w:r w:rsidRPr="003E30B6">
        <w:rPr>
          <w:color w:val="034B6F"/>
          <w:lang w:val="de-DE"/>
        </w:rPr>
        <w:t xml:space="preserve">_Öl · </w:t>
      </w:r>
      <w:r>
        <w:rPr>
          <w:color w:val="034B6F"/>
        </w:rPr>
        <w:t>Δ</w:t>
      </w:r>
      <w:r w:rsidRPr="003E30B6">
        <w:rPr>
          <w:color w:val="034B6F"/>
          <w:lang w:val="de-DE"/>
        </w:rPr>
        <w:t xml:space="preserve">Brent + </w:t>
      </w:r>
      <w:r>
        <w:rPr>
          <w:color w:val="034B6F"/>
        </w:rPr>
        <w:t>β</w:t>
      </w:r>
      <w:r w:rsidRPr="003E30B6">
        <w:rPr>
          <w:color w:val="034B6F"/>
          <w:lang w:val="de-DE"/>
        </w:rPr>
        <w:t xml:space="preserve">_Zins · </w:t>
      </w:r>
      <w:r>
        <w:rPr>
          <w:color w:val="034B6F"/>
        </w:rPr>
        <w:t>Δ</w:t>
      </w:r>
      <w:r w:rsidRPr="003E30B6">
        <w:rPr>
          <w:color w:val="034B6F"/>
          <w:lang w:val="de-DE"/>
        </w:rPr>
        <w:t xml:space="preserve">r_10y      </w:t>
      </w:r>
      <w:r>
        <w:rPr>
          <w:color w:val="034B6F"/>
        </w:rPr>
        <w:t>Δ</w:t>
      </w:r>
      <w:r w:rsidRPr="003E30B6">
        <w:rPr>
          <w:color w:val="034B6F"/>
          <w:lang w:val="de-DE"/>
        </w:rPr>
        <w:t xml:space="preserve">LGD [pp] = </w:t>
      </w:r>
      <w:r>
        <w:rPr>
          <w:color w:val="034B6F"/>
        </w:rPr>
        <w:t>γ</w:t>
      </w:r>
      <w:r w:rsidRPr="003E30B6">
        <w:rPr>
          <w:color w:val="034B6F"/>
          <w:lang w:val="de-DE"/>
        </w:rPr>
        <w:t xml:space="preserve">_Öl · </w:t>
      </w:r>
      <w:r>
        <w:rPr>
          <w:color w:val="034B6F"/>
        </w:rPr>
        <w:t>Δ</w:t>
      </w:r>
      <w:r w:rsidRPr="003E30B6">
        <w:rPr>
          <w:color w:val="034B6F"/>
          <w:lang w:val="de-DE"/>
        </w:rPr>
        <w:t xml:space="preserve">Brent + </w:t>
      </w:r>
      <w:r>
        <w:rPr>
          <w:color w:val="034B6F"/>
        </w:rPr>
        <w:t>γ</w:t>
      </w:r>
      <w:r w:rsidRPr="003E30B6">
        <w:rPr>
          <w:color w:val="034B6F"/>
          <w:lang w:val="de-DE"/>
        </w:rPr>
        <w:t xml:space="preserve">_Zins · </w:t>
      </w:r>
      <w:r>
        <w:rPr>
          <w:color w:val="034B6F"/>
        </w:rPr>
        <w:t>Δ</w:t>
      </w:r>
      <w:r w:rsidRPr="003E30B6">
        <w:rPr>
          <w:color w:val="034B6F"/>
          <w:lang w:val="de-DE"/>
        </w:rPr>
        <w:t>r_10y</w:t>
      </w:r>
    </w:p>
    <w:p w14:paraId="4D8DFD6C" w14:textId="77777777" w:rsidR="00236E73" w:rsidRPr="003E30B6" w:rsidRDefault="00000000">
      <w:pPr>
        <w:rPr>
          <w:lang w:val="de-DE"/>
        </w:rPr>
      </w:pPr>
      <w:r w:rsidRPr="003E30B6">
        <w:rPr>
          <w:lang w:val="de-DE"/>
        </w:rPr>
        <w:t xml:space="preserve">Die gestressten Werte werden begrenzt - jede Grenze hat einen Grund: Die </w:t>
      </w:r>
      <w:r w:rsidRPr="003E30B6">
        <w:rPr>
          <w:b/>
          <w:lang w:val="de-DE"/>
        </w:rPr>
        <w:t>PD-Untergrenze von 0,03 %</w:t>
      </w:r>
      <w:r w:rsidRPr="003E30B6">
        <w:rPr>
          <w:lang w:val="de-DE"/>
        </w:rPr>
        <w:t xml:space="preserve"> ist der regulatorische Basel-Floor (CRR Art. 160/163 - keine Bank darf einem lebenden Portfolio eine geringere Ausfallwahrscheinlichkeit zuweisen). Die </w:t>
      </w:r>
      <w:r w:rsidRPr="003E30B6">
        <w:rPr>
          <w:b/>
          <w:lang w:val="de-DE"/>
        </w:rPr>
        <w:t>PD-Obergrenze von 50 %</w:t>
      </w:r>
      <w:r w:rsidRPr="003E30B6">
        <w:rPr>
          <w:lang w:val="de-DE"/>
        </w:rPr>
        <w:t xml:space="preserve"> dient der numerischen Stabilität: jenseits davon wäre ein Portfolio faktisch im Ausfallstatus und die IRB-Formel nicht mehr die richtige Linse. Die </w:t>
      </w:r>
      <w:r w:rsidRPr="003E30B6">
        <w:rPr>
          <w:b/>
          <w:lang w:val="de-DE"/>
        </w:rPr>
        <w:t>LGD-Untergrenze von 5 %</w:t>
      </w:r>
      <w:r w:rsidRPr="003E30B6">
        <w:rPr>
          <w:lang w:val="de-DE"/>
        </w:rPr>
        <w:t xml:space="preserve"> verhindert unplausibel verlustfreie Ausfälle selbst bei bester Besicherung; die </w:t>
      </w:r>
      <w:r w:rsidRPr="003E30B6">
        <w:rPr>
          <w:b/>
          <w:lang w:val="de-DE"/>
        </w:rPr>
        <w:t>Obergrenze 100 %</w:t>
      </w:r>
      <w:r w:rsidRPr="003E30B6">
        <w:rPr>
          <w:lang w:val="de-DE"/>
        </w:rPr>
        <w:t xml:space="preserve"> ist definitorisch (mehr als das Exposure kann nicht verloren gehen).</w:t>
      </w:r>
    </w:p>
    <w:p w14:paraId="5B400794" w14:textId="77777777" w:rsidR="00236E73" w:rsidRDefault="00000000">
      <w:pPr>
        <w:spacing w:before="120" w:after="40"/>
        <w:jc w:val="center"/>
      </w:pPr>
      <w:r>
        <w:rPr>
          <w:noProof/>
        </w:rPr>
        <w:drawing>
          <wp:inline distT="0" distB="0" distL="0" distR="0" wp14:anchorId="65E26A5D" wp14:editId="3A175837">
            <wp:extent cx="5220000" cy="27342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beta.png"/>
                    <pic:cNvPicPr/>
                  </pic:nvPicPr>
                  <pic:blipFill>
                    <a:blip r:embed="rId9"/>
                    <a:stretch>
                      <a:fillRect/>
                    </a:stretch>
                  </pic:blipFill>
                  <pic:spPr>
                    <a:xfrm>
                      <a:off x="0" y="0"/>
                      <a:ext cx="5220000" cy="2734286"/>
                    </a:xfrm>
                    <a:prstGeom prst="rect">
                      <a:avLst/>
                    </a:prstGeom>
                  </pic:spPr>
                </pic:pic>
              </a:graphicData>
            </a:graphic>
          </wp:inline>
        </w:drawing>
      </w:r>
    </w:p>
    <w:p w14:paraId="426F8F75" w14:textId="77777777" w:rsidR="00236E73" w:rsidRPr="003E30B6" w:rsidRDefault="00000000">
      <w:pPr>
        <w:spacing w:after="240"/>
        <w:jc w:val="center"/>
        <w:rPr>
          <w:lang w:val="de-DE"/>
        </w:rPr>
      </w:pPr>
      <w:r w:rsidRPr="003E30B6">
        <w:rPr>
          <w:i/>
          <w:color w:val="6E6E6E"/>
          <w:sz w:val="17"/>
          <w:lang w:val="de-DE"/>
        </w:rPr>
        <w:t>Abb. 2: Sensitivitätsmatrix. Jede Zelle ist eine dokumentierte Annahme - rot = Risiko steigt mit dem Schock, blau = sinkt, weiß = kein Effekt. Auffällig: Hypotheken sind zinsgetrieben, Banken profitieren leicht von Zinsanstiegen (Zinsüberschuss), Staaten reagieren nicht über das Kreditbuch (separater Sovereign-Kanal).</w:t>
      </w:r>
    </w:p>
    <w:p w14:paraId="4CDF5B69" w14:textId="77777777" w:rsidR="00236E73" w:rsidRDefault="00000000">
      <w:pPr>
        <w:pStyle w:val="Heading2"/>
      </w:pPr>
      <w:r>
        <w:t>Ökonomische Logik je Kreditklasse</w:t>
      </w:r>
    </w:p>
    <w:tbl>
      <w:tblPr>
        <w:tblStyle w:val="TableGrid"/>
        <w:tblW w:w="0" w:type="auto"/>
        <w:jc w:val="center"/>
        <w:tblLook w:val="04A0" w:firstRow="1" w:lastRow="0" w:firstColumn="1" w:lastColumn="0" w:noHBand="0" w:noVBand="1"/>
      </w:tblPr>
      <w:tblGrid>
        <w:gridCol w:w="1350"/>
        <w:gridCol w:w="859"/>
        <w:gridCol w:w="847"/>
        <w:gridCol w:w="981"/>
        <w:gridCol w:w="847"/>
        <w:gridCol w:w="4611"/>
      </w:tblGrid>
      <w:tr w:rsidR="00236E73" w14:paraId="1790EC45" w14:textId="77777777">
        <w:trPr>
          <w:jc w:val="center"/>
        </w:trPr>
        <w:tc>
          <w:tcPr>
            <w:tcW w:w="1318" w:type="dxa"/>
            <w:shd w:val="clear" w:color="auto" w:fill="D9E4EC"/>
          </w:tcPr>
          <w:p w14:paraId="2FC2B82B" w14:textId="77777777" w:rsidR="00236E73" w:rsidRDefault="00000000">
            <w:r>
              <w:rPr>
                <w:b/>
                <w:sz w:val="17"/>
              </w:rPr>
              <w:t>Klasse</w:t>
            </w:r>
          </w:p>
        </w:tc>
        <w:tc>
          <w:tcPr>
            <w:tcW w:w="847" w:type="dxa"/>
            <w:shd w:val="clear" w:color="auto" w:fill="D9E4EC"/>
          </w:tcPr>
          <w:p w14:paraId="5C20081C" w14:textId="77777777" w:rsidR="00236E73" w:rsidRDefault="00000000">
            <w:r>
              <w:rPr>
                <w:b/>
                <w:sz w:val="17"/>
              </w:rPr>
              <w:t>β PD·Zins</w:t>
            </w:r>
          </w:p>
        </w:tc>
        <w:tc>
          <w:tcPr>
            <w:tcW w:w="847" w:type="dxa"/>
            <w:shd w:val="clear" w:color="auto" w:fill="D9E4EC"/>
          </w:tcPr>
          <w:p w14:paraId="53E406BE" w14:textId="77777777" w:rsidR="00236E73" w:rsidRDefault="00000000">
            <w:r>
              <w:rPr>
                <w:b/>
                <w:sz w:val="17"/>
              </w:rPr>
              <w:t>β PD·Öl</w:t>
            </w:r>
          </w:p>
        </w:tc>
        <w:tc>
          <w:tcPr>
            <w:tcW w:w="941" w:type="dxa"/>
            <w:shd w:val="clear" w:color="auto" w:fill="D9E4EC"/>
          </w:tcPr>
          <w:p w14:paraId="6DE3886E" w14:textId="77777777" w:rsidR="00236E73" w:rsidRDefault="00000000">
            <w:r>
              <w:rPr>
                <w:b/>
                <w:sz w:val="17"/>
              </w:rPr>
              <w:t>γ LGD·Zins</w:t>
            </w:r>
          </w:p>
        </w:tc>
        <w:tc>
          <w:tcPr>
            <w:tcW w:w="847" w:type="dxa"/>
            <w:shd w:val="clear" w:color="auto" w:fill="D9E4EC"/>
          </w:tcPr>
          <w:p w14:paraId="4CF5C2E5" w14:textId="77777777" w:rsidR="00236E73" w:rsidRDefault="00000000">
            <w:r>
              <w:rPr>
                <w:b/>
                <w:sz w:val="17"/>
              </w:rPr>
              <w:t>γ LGD·Öl</w:t>
            </w:r>
          </w:p>
        </w:tc>
        <w:tc>
          <w:tcPr>
            <w:tcW w:w="4611" w:type="dxa"/>
            <w:shd w:val="clear" w:color="auto" w:fill="D9E4EC"/>
          </w:tcPr>
          <w:p w14:paraId="0B42AA6E" w14:textId="77777777" w:rsidR="00236E73" w:rsidRDefault="00000000">
            <w:r>
              <w:rPr>
                <w:b/>
                <w:sz w:val="17"/>
              </w:rPr>
              <w:t>Ökonomische Logik (Kurzform)</w:t>
            </w:r>
          </w:p>
        </w:tc>
      </w:tr>
      <w:tr w:rsidR="00236E73" w:rsidRPr="003E30B6" w14:paraId="73684019" w14:textId="77777777">
        <w:trPr>
          <w:jc w:val="center"/>
        </w:trPr>
        <w:tc>
          <w:tcPr>
            <w:tcW w:w="1318" w:type="dxa"/>
          </w:tcPr>
          <w:p w14:paraId="2DC4D049" w14:textId="77777777" w:rsidR="00236E73" w:rsidRDefault="00000000">
            <w:r>
              <w:rPr>
                <w:sz w:val="17"/>
              </w:rPr>
              <w:t>corporate</w:t>
            </w:r>
          </w:p>
        </w:tc>
        <w:tc>
          <w:tcPr>
            <w:tcW w:w="847" w:type="dxa"/>
          </w:tcPr>
          <w:p w14:paraId="7277435A" w14:textId="77777777" w:rsidR="00236E73" w:rsidRDefault="00000000">
            <w:r>
              <w:rPr>
                <w:sz w:val="17"/>
              </w:rPr>
              <w:t>+0,20</w:t>
            </w:r>
          </w:p>
        </w:tc>
        <w:tc>
          <w:tcPr>
            <w:tcW w:w="847" w:type="dxa"/>
          </w:tcPr>
          <w:p w14:paraId="645FD4CB" w14:textId="77777777" w:rsidR="00236E73" w:rsidRDefault="00000000">
            <w:r>
              <w:rPr>
                <w:sz w:val="17"/>
              </w:rPr>
              <w:t>+0,30</w:t>
            </w:r>
          </w:p>
        </w:tc>
        <w:tc>
          <w:tcPr>
            <w:tcW w:w="941" w:type="dxa"/>
          </w:tcPr>
          <w:p w14:paraId="4B736EC0" w14:textId="77777777" w:rsidR="00236E73" w:rsidRDefault="00000000">
            <w:r>
              <w:rPr>
                <w:sz w:val="17"/>
              </w:rPr>
              <w:t>+1,00</w:t>
            </w:r>
          </w:p>
        </w:tc>
        <w:tc>
          <w:tcPr>
            <w:tcW w:w="847" w:type="dxa"/>
          </w:tcPr>
          <w:p w14:paraId="266C9105" w14:textId="77777777" w:rsidR="00236E73" w:rsidRDefault="00000000">
            <w:r>
              <w:rPr>
                <w:sz w:val="17"/>
              </w:rPr>
              <w:t>+0,50</w:t>
            </w:r>
          </w:p>
        </w:tc>
        <w:tc>
          <w:tcPr>
            <w:tcW w:w="4611" w:type="dxa"/>
          </w:tcPr>
          <w:p w14:paraId="2E043B6B" w14:textId="77777777" w:rsidR="00236E73" w:rsidRPr="003E30B6" w:rsidRDefault="00000000">
            <w:pPr>
              <w:rPr>
                <w:lang w:val="de-DE"/>
              </w:rPr>
            </w:pPr>
            <w:r w:rsidRPr="003E30B6">
              <w:rPr>
                <w:sz w:val="17"/>
                <w:lang w:val="de-DE"/>
              </w:rPr>
              <w:t>Energie verteuert Produktion, Zinsen die Refinanzierung; LGD steigt mit fallenden Sicherheitenwerten.</w:t>
            </w:r>
          </w:p>
        </w:tc>
      </w:tr>
      <w:tr w:rsidR="00236E73" w:rsidRPr="003E30B6" w14:paraId="39E1541E" w14:textId="77777777">
        <w:trPr>
          <w:jc w:val="center"/>
        </w:trPr>
        <w:tc>
          <w:tcPr>
            <w:tcW w:w="1318" w:type="dxa"/>
          </w:tcPr>
          <w:p w14:paraId="0170032F" w14:textId="77777777" w:rsidR="00236E73" w:rsidRDefault="00000000">
            <w:r>
              <w:rPr>
                <w:sz w:val="17"/>
              </w:rPr>
              <w:t>sme_corporate</w:t>
            </w:r>
          </w:p>
        </w:tc>
        <w:tc>
          <w:tcPr>
            <w:tcW w:w="847" w:type="dxa"/>
          </w:tcPr>
          <w:p w14:paraId="4136DE8B" w14:textId="77777777" w:rsidR="00236E73" w:rsidRDefault="00000000">
            <w:r>
              <w:rPr>
                <w:sz w:val="17"/>
              </w:rPr>
              <w:t>+0,40</w:t>
            </w:r>
          </w:p>
        </w:tc>
        <w:tc>
          <w:tcPr>
            <w:tcW w:w="847" w:type="dxa"/>
          </w:tcPr>
          <w:p w14:paraId="71044460" w14:textId="77777777" w:rsidR="00236E73" w:rsidRDefault="00000000">
            <w:r>
              <w:rPr>
                <w:sz w:val="17"/>
              </w:rPr>
              <w:t>+0,60</w:t>
            </w:r>
          </w:p>
        </w:tc>
        <w:tc>
          <w:tcPr>
            <w:tcW w:w="941" w:type="dxa"/>
          </w:tcPr>
          <w:p w14:paraId="4BBFFFED" w14:textId="77777777" w:rsidR="00236E73" w:rsidRDefault="00000000">
            <w:r>
              <w:rPr>
                <w:sz w:val="17"/>
              </w:rPr>
              <w:t>+1,10</w:t>
            </w:r>
          </w:p>
        </w:tc>
        <w:tc>
          <w:tcPr>
            <w:tcW w:w="847" w:type="dxa"/>
          </w:tcPr>
          <w:p w14:paraId="1FC9F40D" w14:textId="77777777" w:rsidR="00236E73" w:rsidRDefault="00000000">
            <w:r>
              <w:rPr>
                <w:sz w:val="17"/>
              </w:rPr>
              <w:t>+0,45</w:t>
            </w:r>
          </w:p>
        </w:tc>
        <w:tc>
          <w:tcPr>
            <w:tcW w:w="4611" w:type="dxa"/>
          </w:tcPr>
          <w:p w14:paraId="21A45F1B" w14:textId="77777777" w:rsidR="00236E73" w:rsidRPr="003E30B6" w:rsidRDefault="00000000">
            <w:pPr>
              <w:rPr>
                <w:lang w:val="de-DE"/>
              </w:rPr>
            </w:pPr>
            <w:r w:rsidRPr="003E30B6">
              <w:rPr>
                <w:sz w:val="17"/>
                <w:lang w:val="de-DE"/>
              </w:rPr>
              <w:t>Wie Corporate, aber ≈2× stärker - KMU haben dünnere Puffer und weniger Preissetzungsmacht (ECB WP 2897).</w:t>
            </w:r>
          </w:p>
        </w:tc>
      </w:tr>
      <w:tr w:rsidR="00236E73" w:rsidRPr="003E30B6" w14:paraId="4190483D" w14:textId="77777777">
        <w:trPr>
          <w:jc w:val="center"/>
        </w:trPr>
        <w:tc>
          <w:tcPr>
            <w:tcW w:w="1318" w:type="dxa"/>
          </w:tcPr>
          <w:p w14:paraId="1464DD6A" w14:textId="77777777" w:rsidR="00236E73" w:rsidRDefault="00000000">
            <w:r>
              <w:rPr>
                <w:sz w:val="17"/>
              </w:rPr>
              <w:t>mortgage</w:t>
            </w:r>
          </w:p>
        </w:tc>
        <w:tc>
          <w:tcPr>
            <w:tcW w:w="847" w:type="dxa"/>
          </w:tcPr>
          <w:p w14:paraId="7C8EEF2A" w14:textId="77777777" w:rsidR="00236E73" w:rsidRDefault="00000000">
            <w:r>
              <w:rPr>
                <w:sz w:val="17"/>
              </w:rPr>
              <w:t>+0,30</w:t>
            </w:r>
          </w:p>
        </w:tc>
        <w:tc>
          <w:tcPr>
            <w:tcW w:w="847" w:type="dxa"/>
          </w:tcPr>
          <w:p w14:paraId="127A1F4A" w14:textId="77777777" w:rsidR="00236E73" w:rsidRDefault="00000000">
            <w:r>
              <w:rPr>
                <w:sz w:val="17"/>
              </w:rPr>
              <w:t>+0,05</w:t>
            </w:r>
          </w:p>
        </w:tc>
        <w:tc>
          <w:tcPr>
            <w:tcW w:w="941" w:type="dxa"/>
          </w:tcPr>
          <w:p w14:paraId="720F0543" w14:textId="77777777" w:rsidR="00236E73" w:rsidRDefault="00000000">
            <w:r>
              <w:rPr>
                <w:sz w:val="17"/>
              </w:rPr>
              <w:t>+1,50</w:t>
            </w:r>
          </w:p>
        </w:tc>
        <w:tc>
          <w:tcPr>
            <w:tcW w:w="847" w:type="dxa"/>
          </w:tcPr>
          <w:p w14:paraId="4549E210" w14:textId="77777777" w:rsidR="00236E73" w:rsidRDefault="00000000">
            <w:r>
              <w:rPr>
                <w:sz w:val="17"/>
              </w:rPr>
              <w:t>+0,10</w:t>
            </w:r>
          </w:p>
        </w:tc>
        <w:tc>
          <w:tcPr>
            <w:tcW w:w="4611" w:type="dxa"/>
          </w:tcPr>
          <w:p w14:paraId="3E724A11" w14:textId="77777777" w:rsidR="00236E73" w:rsidRPr="003E30B6" w:rsidRDefault="00000000">
            <w:pPr>
              <w:rPr>
                <w:lang w:val="de-DE"/>
              </w:rPr>
            </w:pPr>
            <w:r w:rsidRPr="003E30B6">
              <w:rPr>
                <w:sz w:val="17"/>
                <w:lang w:val="de-DE"/>
              </w:rPr>
              <w:t>Zins dominiert: Raten steigen (Floating/Anschluss), Hauspreise fallen → höchste LGD-Zins-Sensitivität.</w:t>
            </w:r>
          </w:p>
        </w:tc>
      </w:tr>
      <w:tr w:rsidR="00236E73" w:rsidRPr="003E30B6" w14:paraId="39C11299" w14:textId="77777777">
        <w:trPr>
          <w:jc w:val="center"/>
        </w:trPr>
        <w:tc>
          <w:tcPr>
            <w:tcW w:w="1318" w:type="dxa"/>
          </w:tcPr>
          <w:p w14:paraId="573032BC" w14:textId="77777777" w:rsidR="00236E73" w:rsidRDefault="00000000">
            <w:r>
              <w:rPr>
                <w:sz w:val="17"/>
              </w:rPr>
              <w:t>qrre</w:t>
            </w:r>
          </w:p>
        </w:tc>
        <w:tc>
          <w:tcPr>
            <w:tcW w:w="847" w:type="dxa"/>
          </w:tcPr>
          <w:p w14:paraId="6F1749AF" w14:textId="77777777" w:rsidR="00236E73" w:rsidRDefault="00000000">
            <w:r>
              <w:rPr>
                <w:sz w:val="17"/>
              </w:rPr>
              <w:t>+0,15</w:t>
            </w:r>
          </w:p>
        </w:tc>
        <w:tc>
          <w:tcPr>
            <w:tcW w:w="847" w:type="dxa"/>
          </w:tcPr>
          <w:p w14:paraId="6B72B449" w14:textId="77777777" w:rsidR="00236E73" w:rsidRDefault="00000000">
            <w:r>
              <w:rPr>
                <w:sz w:val="17"/>
              </w:rPr>
              <w:t>+0,40</w:t>
            </w:r>
          </w:p>
        </w:tc>
        <w:tc>
          <w:tcPr>
            <w:tcW w:w="941" w:type="dxa"/>
          </w:tcPr>
          <w:p w14:paraId="2A7B3C26" w14:textId="77777777" w:rsidR="00236E73" w:rsidRDefault="00000000">
            <w:r>
              <w:rPr>
                <w:sz w:val="17"/>
              </w:rPr>
              <w:t>+0,50</w:t>
            </w:r>
          </w:p>
        </w:tc>
        <w:tc>
          <w:tcPr>
            <w:tcW w:w="847" w:type="dxa"/>
          </w:tcPr>
          <w:p w14:paraId="54BF395F" w14:textId="77777777" w:rsidR="00236E73" w:rsidRDefault="00000000">
            <w:r>
              <w:rPr>
                <w:sz w:val="17"/>
              </w:rPr>
              <w:t>+0,30</w:t>
            </w:r>
          </w:p>
        </w:tc>
        <w:tc>
          <w:tcPr>
            <w:tcW w:w="4611" w:type="dxa"/>
          </w:tcPr>
          <w:p w14:paraId="4708DADC" w14:textId="77777777" w:rsidR="00236E73" w:rsidRPr="003E30B6" w:rsidRDefault="00000000">
            <w:pPr>
              <w:rPr>
                <w:lang w:val="de-DE"/>
              </w:rPr>
            </w:pPr>
            <w:r w:rsidRPr="003E30B6">
              <w:rPr>
                <w:sz w:val="17"/>
                <w:lang w:val="de-DE"/>
              </w:rPr>
              <w:t>Kreditkarten/Revolving: hängt am Haushaltsbudget → energie-/inflationssensitiv, kaum zins-sensitiv.</w:t>
            </w:r>
          </w:p>
        </w:tc>
      </w:tr>
      <w:tr w:rsidR="00236E73" w:rsidRPr="003E30B6" w14:paraId="518E682D" w14:textId="77777777">
        <w:trPr>
          <w:jc w:val="center"/>
        </w:trPr>
        <w:tc>
          <w:tcPr>
            <w:tcW w:w="1318" w:type="dxa"/>
          </w:tcPr>
          <w:p w14:paraId="3EF347E8" w14:textId="77777777" w:rsidR="00236E73" w:rsidRDefault="00000000">
            <w:r>
              <w:rPr>
                <w:sz w:val="17"/>
              </w:rPr>
              <w:t>other_retail</w:t>
            </w:r>
          </w:p>
        </w:tc>
        <w:tc>
          <w:tcPr>
            <w:tcW w:w="847" w:type="dxa"/>
          </w:tcPr>
          <w:p w14:paraId="161A5E55" w14:textId="77777777" w:rsidR="00236E73" w:rsidRDefault="00000000">
            <w:r>
              <w:rPr>
                <w:sz w:val="17"/>
              </w:rPr>
              <w:t>+0,25</w:t>
            </w:r>
          </w:p>
        </w:tc>
        <w:tc>
          <w:tcPr>
            <w:tcW w:w="847" w:type="dxa"/>
          </w:tcPr>
          <w:p w14:paraId="0CA1AE8F" w14:textId="77777777" w:rsidR="00236E73" w:rsidRDefault="00000000">
            <w:r>
              <w:rPr>
                <w:sz w:val="17"/>
              </w:rPr>
              <w:t>+0,30</w:t>
            </w:r>
          </w:p>
        </w:tc>
        <w:tc>
          <w:tcPr>
            <w:tcW w:w="941" w:type="dxa"/>
          </w:tcPr>
          <w:p w14:paraId="31B268F6" w14:textId="77777777" w:rsidR="00236E73" w:rsidRDefault="00000000">
            <w:r>
              <w:rPr>
                <w:sz w:val="17"/>
              </w:rPr>
              <w:t>+0,80</w:t>
            </w:r>
          </w:p>
        </w:tc>
        <w:tc>
          <w:tcPr>
            <w:tcW w:w="847" w:type="dxa"/>
          </w:tcPr>
          <w:p w14:paraId="24716402" w14:textId="77777777" w:rsidR="00236E73" w:rsidRDefault="00000000">
            <w:r>
              <w:rPr>
                <w:sz w:val="17"/>
              </w:rPr>
              <w:t>+0,25</w:t>
            </w:r>
          </w:p>
        </w:tc>
        <w:tc>
          <w:tcPr>
            <w:tcW w:w="4611" w:type="dxa"/>
          </w:tcPr>
          <w:p w14:paraId="2D1674DF" w14:textId="77777777" w:rsidR="00236E73" w:rsidRPr="003E30B6" w:rsidRDefault="00000000">
            <w:pPr>
              <w:rPr>
                <w:lang w:val="de-DE"/>
              </w:rPr>
            </w:pPr>
            <w:r w:rsidRPr="003E30B6">
              <w:rPr>
                <w:sz w:val="17"/>
                <w:lang w:val="de-DE"/>
              </w:rPr>
              <w:t>Konsum-/Autokredite: Mischprofil zwischen Mortgage und QRRE.</w:t>
            </w:r>
          </w:p>
        </w:tc>
      </w:tr>
      <w:tr w:rsidR="00236E73" w:rsidRPr="003E30B6" w14:paraId="306CF8FB" w14:textId="77777777">
        <w:trPr>
          <w:jc w:val="center"/>
        </w:trPr>
        <w:tc>
          <w:tcPr>
            <w:tcW w:w="1318" w:type="dxa"/>
          </w:tcPr>
          <w:p w14:paraId="5F3F6608" w14:textId="77777777" w:rsidR="00236E73" w:rsidRDefault="00000000">
            <w:r>
              <w:rPr>
                <w:sz w:val="17"/>
              </w:rPr>
              <w:t>bank</w:t>
            </w:r>
          </w:p>
        </w:tc>
        <w:tc>
          <w:tcPr>
            <w:tcW w:w="847" w:type="dxa"/>
          </w:tcPr>
          <w:p w14:paraId="1E3A1906" w14:textId="77777777" w:rsidR="00236E73" w:rsidRDefault="00000000">
            <w:r>
              <w:rPr>
                <w:sz w:val="17"/>
              </w:rPr>
              <w:t>-0,05</w:t>
            </w:r>
          </w:p>
        </w:tc>
        <w:tc>
          <w:tcPr>
            <w:tcW w:w="847" w:type="dxa"/>
          </w:tcPr>
          <w:p w14:paraId="35DEC609" w14:textId="77777777" w:rsidR="00236E73" w:rsidRDefault="00000000">
            <w:r>
              <w:rPr>
                <w:sz w:val="17"/>
              </w:rPr>
              <w:t>+0,05</w:t>
            </w:r>
          </w:p>
        </w:tc>
        <w:tc>
          <w:tcPr>
            <w:tcW w:w="941" w:type="dxa"/>
          </w:tcPr>
          <w:p w14:paraId="3E600C5B" w14:textId="77777777" w:rsidR="00236E73" w:rsidRDefault="00000000">
            <w:r>
              <w:rPr>
                <w:sz w:val="17"/>
              </w:rPr>
              <w:t>+0,50</w:t>
            </w:r>
          </w:p>
        </w:tc>
        <w:tc>
          <w:tcPr>
            <w:tcW w:w="847" w:type="dxa"/>
          </w:tcPr>
          <w:p w14:paraId="05C6C4AC" w14:textId="77777777" w:rsidR="00236E73" w:rsidRDefault="00000000">
            <w:r>
              <w:rPr>
                <w:sz w:val="17"/>
              </w:rPr>
              <w:t>+0,10</w:t>
            </w:r>
          </w:p>
        </w:tc>
        <w:tc>
          <w:tcPr>
            <w:tcW w:w="4611" w:type="dxa"/>
          </w:tcPr>
          <w:p w14:paraId="3573A425" w14:textId="77777777" w:rsidR="00236E73" w:rsidRPr="003E30B6" w:rsidRDefault="00000000">
            <w:pPr>
              <w:rPr>
                <w:lang w:val="de-DE"/>
              </w:rPr>
            </w:pPr>
            <w:r w:rsidRPr="003E30B6">
              <w:rPr>
                <w:sz w:val="17"/>
                <w:lang w:val="de-DE"/>
              </w:rPr>
              <w:t xml:space="preserve">Leicht </w:t>
            </w:r>
            <w:r w:rsidRPr="003E30B6">
              <w:rPr>
                <w:b/>
                <w:sz w:val="17"/>
                <w:lang w:val="de-DE"/>
              </w:rPr>
              <w:t>negatives</w:t>
            </w:r>
            <w:r w:rsidRPr="003E30B6">
              <w:rPr>
                <w:sz w:val="17"/>
                <w:lang w:val="de-DE"/>
              </w:rPr>
              <w:t xml:space="preserve"> Zins-</w:t>
            </w:r>
            <w:r>
              <w:rPr>
                <w:sz w:val="17"/>
              </w:rPr>
              <w:t>β</w:t>
            </w:r>
            <w:r w:rsidRPr="003E30B6">
              <w:rPr>
                <w:sz w:val="17"/>
                <w:lang w:val="de-DE"/>
              </w:rPr>
              <w:t>: steigende Zinsen stützen den Zinsüberschuss der Gegenpartei-Banken (NIM-Effekt).</w:t>
            </w:r>
          </w:p>
        </w:tc>
      </w:tr>
      <w:tr w:rsidR="00236E73" w:rsidRPr="003E30B6" w14:paraId="7394E45C" w14:textId="77777777">
        <w:trPr>
          <w:jc w:val="center"/>
        </w:trPr>
        <w:tc>
          <w:tcPr>
            <w:tcW w:w="1318" w:type="dxa"/>
          </w:tcPr>
          <w:p w14:paraId="5F989158" w14:textId="77777777" w:rsidR="00236E73" w:rsidRDefault="00000000">
            <w:r>
              <w:rPr>
                <w:sz w:val="17"/>
              </w:rPr>
              <w:t>sovereign</w:t>
            </w:r>
          </w:p>
        </w:tc>
        <w:tc>
          <w:tcPr>
            <w:tcW w:w="847" w:type="dxa"/>
          </w:tcPr>
          <w:p w14:paraId="7B0CC6D7" w14:textId="77777777" w:rsidR="00236E73" w:rsidRDefault="00000000">
            <w:r>
              <w:rPr>
                <w:sz w:val="17"/>
              </w:rPr>
              <w:t>+0,00</w:t>
            </w:r>
          </w:p>
        </w:tc>
        <w:tc>
          <w:tcPr>
            <w:tcW w:w="847" w:type="dxa"/>
          </w:tcPr>
          <w:p w14:paraId="34351932" w14:textId="77777777" w:rsidR="00236E73" w:rsidRDefault="00000000">
            <w:r>
              <w:rPr>
                <w:sz w:val="17"/>
              </w:rPr>
              <w:t>+0,00</w:t>
            </w:r>
          </w:p>
        </w:tc>
        <w:tc>
          <w:tcPr>
            <w:tcW w:w="941" w:type="dxa"/>
          </w:tcPr>
          <w:p w14:paraId="74146D00" w14:textId="77777777" w:rsidR="00236E73" w:rsidRDefault="00000000">
            <w:r>
              <w:rPr>
                <w:sz w:val="17"/>
              </w:rPr>
              <w:t>+0,00</w:t>
            </w:r>
          </w:p>
        </w:tc>
        <w:tc>
          <w:tcPr>
            <w:tcW w:w="847" w:type="dxa"/>
          </w:tcPr>
          <w:p w14:paraId="4EA69109" w14:textId="77777777" w:rsidR="00236E73" w:rsidRDefault="00000000">
            <w:r>
              <w:rPr>
                <w:sz w:val="17"/>
              </w:rPr>
              <w:t>+0,00</w:t>
            </w:r>
          </w:p>
        </w:tc>
        <w:tc>
          <w:tcPr>
            <w:tcW w:w="4611" w:type="dxa"/>
          </w:tcPr>
          <w:p w14:paraId="6716DFCF" w14:textId="77777777" w:rsidR="00236E73" w:rsidRPr="003E30B6" w:rsidRDefault="00000000">
            <w:pPr>
              <w:rPr>
                <w:lang w:val="de-DE"/>
              </w:rPr>
            </w:pPr>
            <w:r w:rsidRPr="003E30B6">
              <w:rPr>
                <w:sz w:val="17"/>
                <w:lang w:val="de-DE"/>
              </w:rPr>
              <w:t>Im Kreditbuch bewusst inert - der Zins wirkt auf Staaten über den Marktwert-Kanal (Abschnitt 4), nicht über die PD.</w:t>
            </w:r>
          </w:p>
        </w:tc>
      </w:tr>
    </w:tbl>
    <w:p w14:paraId="3209874C" w14:textId="77777777" w:rsidR="00236E73" w:rsidRPr="003E30B6" w:rsidRDefault="00236E73">
      <w:pPr>
        <w:spacing w:after="80"/>
        <w:rPr>
          <w:lang w:val="de-DE"/>
        </w:rPr>
      </w:pPr>
    </w:p>
    <w:p w14:paraId="32983B69" w14:textId="77777777" w:rsidR="00236E73" w:rsidRPr="003E30B6" w:rsidRDefault="00000000">
      <w:pPr>
        <w:rPr>
          <w:lang w:val="de-DE"/>
        </w:rPr>
      </w:pPr>
      <w:r w:rsidRPr="003E30B6">
        <w:rPr>
          <w:i/>
          <w:sz w:val="19"/>
          <w:lang w:val="de-DE"/>
        </w:rPr>
        <w:lastRenderedPageBreak/>
        <w:t xml:space="preserve">Quellen der Kalibrierung: EBA (2024) *2025 EU-wide Stress Test - Methodological Note* §2.4.2 (sektorale Sensitivitäten sind der aufsichtlich vorgesehene Ansatz); ECB WP 2897 (Unternehmens-PD auf Angebots-/Zinsschocks, KMU-Verstärkung ≈ 2–3×), ECB WP 3207 (Sektor-Heterogenität der Unternehmens-Ausfälle im Stress), ECB WP 3112 (Hypotheken-Defaults und Zins), ECB Financial Stability Review Mai 2024 (Haushalte); die relative Rangfolge der Klassen ist gegen EBA Results 2025, Fig. 22 (projizierte Verlustquoten je Portfolio) quervalidiert. Die </w:t>
      </w:r>
      <w:r>
        <w:rPr>
          <w:i/>
          <w:sz w:val="19"/>
        </w:rPr>
        <w:t>β</w:t>
      </w:r>
      <w:r w:rsidRPr="003E30B6">
        <w:rPr>
          <w:i/>
          <w:sz w:val="19"/>
          <w:lang w:val="de-DE"/>
        </w:rPr>
        <w:t xml:space="preserve"> sind als belegte, per Regler übersteuerbare Defaults ausgewiesen - Konfidenzklasse [estimate]; ihre Wirkung auf das Endergebnis quantifiziert der ±50-%-Robustheitstest in Abschnitt 7.</w:t>
      </w:r>
    </w:p>
    <w:p w14:paraId="152C0BF4" w14:textId="77777777" w:rsidR="00236E73" w:rsidRPr="003E30B6" w:rsidRDefault="00000000">
      <w:pPr>
        <w:pStyle w:val="Heading2"/>
        <w:rPr>
          <w:lang w:val="de-DE"/>
        </w:rPr>
      </w:pPr>
      <w:r w:rsidRPr="003E30B6">
        <w:rPr>
          <w:lang w:val="de-DE"/>
        </w:rPr>
        <w:t>Durchgerechnetes Beispiel: ein Schock läuft durch das Modell</w:t>
      </w:r>
    </w:p>
    <w:p w14:paraId="55D35D31" w14:textId="77777777" w:rsidR="00236E73" w:rsidRDefault="00000000">
      <w:r w:rsidRPr="003E30B6">
        <w:rPr>
          <w:lang w:val="de-DE"/>
        </w:rPr>
        <w:t xml:space="preserve">Angenommen wird ein Corporate-Segment mit PD = 2,50 % und LGD = 35,00 %; als Szenario treten ein Zinsanstieg von +2,0 Prozentpunkten und ein Brent-log-Return von +0,30 (entspricht e^0,30 − 1 ≈ +35 % Ölpreis, vgl. die Log-Konvention aus Abschnitt 2) gleichzeitig ein. </w:t>
      </w:r>
      <w:r>
        <w:t>Dann rechnet das Modell in drei Schritten:</w:t>
      </w:r>
    </w:p>
    <w:p w14:paraId="28AAFA91" w14:textId="77777777" w:rsidR="00236E73" w:rsidRPr="003E30B6" w:rsidRDefault="00000000">
      <w:pPr>
        <w:pStyle w:val="ListBullet"/>
        <w:rPr>
          <w:lang w:val="de-DE"/>
        </w:rPr>
      </w:pPr>
      <w:r w:rsidRPr="003E30B6">
        <w:rPr>
          <w:b/>
          <w:lang w:val="de-DE"/>
        </w:rPr>
        <w:t>Schritt 1 - PD-Transmission:</w:t>
      </w:r>
      <w:r w:rsidRPr="003E30B6">
        <w:rPr>
          <w:lang w:val="de-DE"/>
        </w:rPr>
        <w:t xml:space="preserve"> </w:t>
      </w:r>
      <w:r>
        <w:t>Δ</w:t>
      </w:r>
      <w:r w:rsidRPr="003E30B6">
        <w:rPr>
          <w:lang w:val="de-DE"/>
        </w:rPr>
        <w:t xml:space="preserve">PD = 0,20 · 2,0 + 0,30 · 0,30 = </w:t>
      </w:r>
      <w:r w:rsidRPr="003E30B6">
        <w:rPr>
          <w:b/>
          <w:lang w:val="de-DE"/>
        </w:rPr>
        <w:t>+0,49 pp</w:t>
      </w:r>
      <w:r w:rsidRPr="003E30B6">
        <w:rPr>
          <w:lang w:val="de-DE"/>
        </w:rPr>
        <w:t xml:space="preserve"> → gestresste PD </w:t>
      </w:r>
      <w:r w:rsidRPr="003E30B6">
        <w:rPr>
          <w:b/>
          <w:lang w:val="de-DE"/>
        </w:rPr>
        <w:t>2,99 %</w:t>
      </w:r>
      <w:r w:rsidRPr="003E30B6">
        <w:rPr>
          <w:lang w:val="de-DE"/>
        </w:rPr>
        <w:t>.</w:t>
      </w:r>
    </w:p>
    <w:p w14:paraId="425B5761" w14:textId="77777777" w:rsidR="00236E73" w:rsidRPr="003E30B6" w:rsidRDefault="00000000">
      <w:pPr>
        <w:pStyle w:val="ListBullet"/>
        <w:rPr>
          <w:lang w:val="de-DE"/>
        </w:rPr>
      </w:pPr>
      <w:r w:rsidRPr="003E30B6">
        <w:rPr>
          <w:b/>
          <w:lang w:val="de-DE"/>
        </w:rPr>
        <w:t>Schritt 2 - LGD-Transmission:</w:t>
      </w:r>
      <w:r w:rsidRPr="003E30B6">
        <w:rPr>
          <w:lang w:val="de-DE"/>
        </w:rPr>
        <w:t xml:space="preserve"> </w:t>
      </w:r>
      <w:r>
        <w:t>Δ</w:t>
      </w:r>
      <w:r w:rsidRPr="003E30B6">
        <w:rPr>
          <w:lang w:val="de-DE"/>
        </w:rPr>
        <w:t xml:space="preserve">LGD = 1,00 · 2,0 + 0,50 · 0,30 = </w:t>
      </w:r>
      <w:r w:rsidRPr="003E30B6">
        <w:rPr>
          <w:b/>
          <w:lang w:val="de-DE"/>
        </w:rPr>
        <w:t>+2,15 pp</w:t>
      </w:r>
      <w:r w:rsidRPr="003E30B6">
        <w:rPr>
          <w:lang w:val="de-DE"/>
        </w:rPr>
        <w:t xml:space="preserve"> → gestresste LGD </w:t>
      </w:r>
      <w:r w:rsidRPr="003E30B6">
        <w:rPr>
          <w:b/>
          <w:lang w:val="de-DE"/>
        </w:rPr>
        <w:t>37,15 %</w:t>
      </w:r>
      <w:r w:rsidRPr="003E30B6">
        <w:rPr>
          <w:lang w:val="de-DE"/>
        </w:rPr>
        <w:t>.</w:t>
      </w:r>
    </w:p>
    <w:p w14:paraId="453401C0" w14:textId="77777777" w:rsidR="00236E73" w:rsidRPr="003E30B6" w:rsidRDefault="00000000">
      <w:pPr>
        <w:pStyle w:val="ListBullet"/>
        <w:rPr>
          <w:lang w:val="de-DE"/>
        </w:rPr>
      </w:pPr>
      <w:r w:rsidRPr="003E30B6">
        <w:rPr>
          <w:b/>
          <w:lang w:val="de-DE"/>
        </w:rPr>
        <w:t>Schritt 3 - Kapitalwirkung (IRB-Formel):</w:t>
      </w:r>
      <w:r w:rsidRPr="003E30B6">
        <w:rPr>
          <w:lang w:val="de-DE"/>
        </w:rPr>
        <w:t xml:space="preserve"> der erwartete Verlust steigt von 0,875 % auf 1,111 % des Exposures (relativ </w:t>
      </w:r>
      <w:r w:rsidRPr="003E30B6">
        <w:rPr>
          <w:b/>
          <w:lang w:val="de-DE"/>
        </w:rPr>
        <w:t>+27 %</w:t>
      </w:r>
      <w:r w:rsidRPr="003E30B6">
        <w:rPr>
          <w:lang w:val="de-DE"/>
        </w:rPr>
        <w:t xml:space="preserve">), die RWA-Dichte von 95,0 % auf 105,9 % - ein Anstieg um </w:t>
      </w:r>
      <w:r w:rsidRPr="003E30B6">
        <w:rPr>
          <w:b/>
          <w:lang w:val="de-DE"/>
        </w:rPr>
        <w:t>+10,9 pp</w:t>
      </w:r>
      <w:r w:rsidRPr="003E30B6">
        <w:rPr>
          <w:lang w:val="de-DE"/>
        </w:rPr>
        <w:t xml:space="preserve"> absolut (relativ +11,5 %).</w:t>
      </w:r>
    </w:p>
    <w:p w14:paraId="7733F099" w14:textId="77777777" w:rsidR="00236E73" w:rsidRPr="003E30B6" w:rsidRDefault="00000000">
      <w:pPr>
        <w:rPr>
          <w:lang w:val="de-DE"/>
        </w:rPr>
      </w:pPr>
      <w:r w:rsidRPr="003E30B6">
        <w:rPr>
          <w:i/>
          <w:sz w:val="19"/>
          <w:lang w:val="de-DE"/>
        </w:rPr>
        <w:t xml:space="preserve">Auf Portfolioebene wiederholt sich diese Rechnung für jede Bank und jede Klasse mit den echten Pillar-3-Parametern; die Summe der </w:t>
      </w:r>
      <w:r>
        <w:rPr>
          <w:i/>
          <w:sz w:val="19"/>
        </w:rPr>
        <w:t>Δ</w:t>
      </w:r>
      <w:r w:rsidRPr="003E30B6">
        <w:rPr>
          <w:i/>
          <w:sz w:val="19"/>
          <w:lang w:val="de-DE"/>
        </w:rPr>
        <w:t xml:space="preserve">RWA- und </w:t>
      </w:r>
      <w:r>
        <w:rPr>
          <w:i/>
          <w:sz w:val="19"/>
        </w:rPr>
        <w:t>Δ</w:t>
      </w:r>
      <w:r w:rsidRPr="003E30B6">
        <w:rPr>
          <w:i/>
          <w:sz w:val="19"/>
          <w:lang w:val="de-DE"/>
        </w:rPr>
        <w:t>EL-Beiträge speist die CET1-Bridge (Abschnitt 4). Die Beispielwerte sind live aus der Modell-Engine gerechnet, nicht handgepflegt.</w:t>
      </w:r>
    </w:p>
    <w:p w14:paraId="1EA21339" w14:textId="77777777" w:rsidR="00236E73" w:rsidRPr="003E30B6" w:rsidRDefault="00000000">
      <w:pPr>
        <w:pStyle w:val="Heading1"/>
        <w:rPr>
          <w:lang w:val="de-DE"/>
        </w:rPr>
      </w:pPr>
      <w:r w:rsidRPr="003E30B6">
        <w:rPr>
          <w:lang w:val="de-DE"/>
        </w:rPr>
        <w:t>4. Kapitalrechnung und CET1-Überleitung</w:t>
      </w:r>
    </w:p>
    <w:p w14:paraId="4AC82C13" w14:textId="77777777" w:rsidR="00236E73" w:rsidRPr="003E30B6" w:rsidRDefault="00000000">
      <w:pPr>
        <w:rPr>
          <w:lang w:val="de-DE"/>
        </w:rPr>
      </w:pPr>
      <w:r w:rsidRPr="003E30B6">
        <w:rPr>
          <w:lang w:val="de-DE"/>
        </w:rPr>
        <w:t xml:space="preserve">Die gestressten PD/LGD laufen durch die </w:t>
      </w:r>
      <w:r w:rsidRPr="003E30B6">
        <w:rPr>
          <w:b/>
          <w:lang w:val="de-DE"/>
        </w:rPr>
        <w:t>regulatorische Basel-III-IRB-Kapitalformel</w:t>
      </w:r>
      <w:r w:rsidRPr="003E30B6">
        <w:rPr>
          <w:lang w:val="de-DE"/>
        </w:rPr>
        <w:t xml:space="preserve"> (Vasicek/ASRF; BCBS 2017, §272–284) - bewusst der aufsichtliche Standard, keine Eigenkonstruktion:</w:t>
      </w:r>
    </w:p>
    <w:p w14:paraId="7C4FC1D8" w14:textId="77777777" w:rsidR="00236E73" w:rsidRPr="003E30B6" w:rsidRDefault="00000000">
      <w:pPr>
        <w:rPr>
          <w:lang w:val="de-DE"/>
        </w:rPr>
      </w:pPr>
      <w:r w:rsidRPr="003E30B6">
        <w:rPr>
          <w:color w:val="034B6F"/>
          <w:sz w:val="20"/>
          <w:lang w:val="de-DE"/>
        </w:rPr>
        <w:t>Öl-/Zinsschock → PD_stress, LGD_stress → Basel-IRB-K-Formel → RWA → CET1</w:t>
      </w:r>
    </w:p>
    <w:p w14:paraId="1ACC7FB8" w14:textId="77777777" w:rsidR="00236E73" w:rsidRPr="003E30B6" w:rsidRDefault="00000000">
      <w:pPr>
        <w:rPr>
          <w:lang w:val="de-DE"/>
        </w:rPr>
      </w:pPr>
      <w:r w:rsidRPr="003E30B6">
        <w:rPr>
          <w:color w:val="034B6F"/>
          <w:sz w:val="20"/>
          <w:lang w:val="de-DE"/>
        </w:rPr>
        <w:t>K = [ LGD · N( (N⁻¹(PD) + √</w:t>
      </w:r>
      <w:r>
        <w:rPr>
          <w:color w:val="034B6F"/>
          <w:sz w:val="20"/>
        </w:rPr>
        <w:t>ρ</w:t>
      </w:r>
      <w:r w:rsidRPr="003E30B6">
        <w:rPr>
          <w:color w:val="034B6F"/>
          <w:sz w:val="20"/>
          <w:lang w:val="de-DE"/>
        </w:rPr>
        <w:t xml:space="preserve"> · N⁻¹(0,999)) / √(1−</w:t>
      </w:r>
      <w:r>
        <w:rPr>
          <w:color w:val="034B6F"/>
          <w:sz w:val="20"/>
        </w:rPr>
        <w:t>ρ</w:t>
      </w:r>
      <w:r w:rsidRPr="003E30B6">
        <w:rPr>
          <w:color w:val="034B6F"/>
          <w:sz w:val="20"/>
          <w:lang w:val="de-DE"/>
        </w:rPr>
        <w:t>) ) − PD · LGD ] · MA      →      RWA = K · 12,5 · EAD</w:t>
      </w:r>
    </w:p>
    <w:p w14:paraId="324C8040" w14:textId="77777777" w:rsidR="00236E73" w:rsidRDefault="00000000">
      <w:r>
        <w:rPr>
          <w:color w:val="034B6F"/>
          <w:sz w:val="20"/>
        </w:rPr>
        <w:t>CET1-Quote_stress = ( CET1 − ΔEL_Kredit + ΔMtM_Sov ) / ( RWA_total + ΔRWA_Kredit )</w:t>
      </w:r>
    </w:p>
    <w:p w14:paraId="3BE0D8E3" w14:textId="77777777" w:rsidR="00236E73" w:rsidRPr="003E30B6" w:rsidRDefault="00000000">
      <w:pPr>
        <w:rPr>
          <w:lang w:val="de-DE"/>
        </w:rPr>
      </w:pPr>
      <w:r w:rsidRPr="003E30B6">
        <w:rPr>
          <w:lang w:val="de-DE"/>
        </w:rPr>
        <w:t xml:space="preserve">Dabei ist </w:t>
      </w:r>
      <w:r>
        <w:t>ρ</w:t>
      </w:r>
      <w:r w:rsidRPr="003E30B6">
        <w:rPr>
          <w:lang w:val="de-DE"/>
        </w:rPr>
        <w:t xml:space="preserve"> der regulatorische IRB-Klassenparameter nach CRR Art. 153/154, MA das Laufzeit-Adjustment und N die Standardnormalverteilung; </w:t>
      </w:r>
      <w:r>
        <w:t>Δ</w:t>
      </w:r>
      <w:r w:rsidRPr="003E30B6">
        <w:rPr>
          <w:lang w:val="de-DE"/>
        </w:rPr>
        <w:t>MtM_Sov ist bei Zinsanstieg negativ (Kurswertverlust) und umfasst nur den CET1-wirksamen FVOCI/FVTPL-Anteil. Das Kreditbuch wirkt auf Zähler (−</w:t>
      </w:r>
      <w:r>
        <w:t>Δ</w:t>
      </w:r>
      <w:r w:rsidRPr="003E30B6">
        <w:rPr>
          <w:lang w:val="de-DE"/>
        </w:rPr>
        <w:t>EL) und Nenner (+</w:t>
      </w:r>
      <w:r>
        <w:t>Δ</w:t>
      </w:r>
      <w:r w:rsidRPr="003E30B6">
        <w:rPr>
          <w:lang w:val="de-DE"/>
        </w:rPr>
        <w:t>RWA), der Sovereign-Kanal nur auf den Zähler. Die theoretische Fundierung des ASRF-Rahmens liefern Vasicek (1991, 2002) und Gordy (2003).</w:t>
      </w:r>
    </w:p>
    <w:p w14:paraId="3BED5ACD" w14:textId="77777777" w:rsidR="00236E73" w:rsidRPr="003E30B6" w:rsidRDefault="00000000">
      <w:pPr>
        <w:pStyle w:val="Heading2"/>
        <w:rPr>
          <w:lang w:val="de-DE"/>
        </w:rPr>
      </w:pPr>
      <w:r w:rsidRPr="003E30B6">
        <w:rPr>
          <w:lang w:val="de-DE"/>
        </w:rPr>
        <w:t>Die wichtigsten Formeln</w:t>
      </w:r>
    </w:p>
    <w:p w14:paraId="1BC13840" w14:textId="77777777" w:rsidR="00236E73" w:rsidRPr="003E30B6" w:rsidRDefault="00000000">
      <w:pPr>
        <w:rPr>
          <w:lang w:val="de-DE"/>
        </w:rPr>
      </w:pPr>
      <w:r w:rsidRPr="003E30B6">
        <w:rPr>
          <w:lang w:val="de-DE"/>
        </w:rPr>
        <w:t xml:space="preserve">Für die kritische Evaluation sind vier Formeln zentral. Sie bilden die komplette Wirkungskette ab. Zuerst werden die makroökonomischen Schocks in Risikoparameter übersetzt, danach werden diese Parameter in regulatorische Kapitalanforderungen und schließlich in die CET1-Quote überführt. Wichtig: Die Formeln trennen strikt zwischen gemeldeten Größen (PD, LGD, EAD, CET1, RWA, IFRS-9-Split), regulatorisch vorgegebenen Parametern (z. B. </w:t>
      </w:r>
      <w:r>
        <w:t>ρ</w:t>
      </w:r>
      <w:r w:rsidRPr="003E30B6">
        <w:rPr>
          <w:lang w:val="de-DE"/>
        </w:rPr>
        <w:t xml:space="preserve">, 99,9 %-Quantil, RWA-Faktor 12,5) und Modellkonventionen (z. B. lineare </w:t>
      </w:r>
      <w:r>
        <w:t>β</w:t>
      </w:r>
      <w:r w:rsidRPr="003E30B6">
        <w:rPr>
          <w:lang w:val="de-DE"/>
        </w:rPr>
        <w:t>/</w:t>
      </w:r>
      <w:r>
        <w:t>γ</w:t>
      </w:r>
      <w:r w:rsidRPr="003E30B6">
        <w:rPr>
          <w:lang w:val="de-DE"/>
        </w:rPr>
        <w:t>-Transmission, konstante EAD unter Stress).</w:t>
      </w:r>
    </w:p>
    <w:p w14:paraId="5E97B78E" w14:textId="77777777" w:rsidR="00236E73" w:rsidRPr="003E30B6" w:rsidRDefault="00000000">
      <w:pPr>
        <w:rPr>
          <w:lang w:val="de-DE"/>
        </w:rPr>
      </w:pPr>
      <w:r w:rsidRPr="003E30B6">
        <w:rPr>
          <w:b/>
          <w:lang w:val="de-DE"/>
        </w:rPr>
        <w:t>1. Stress-Transmission:</w:t>
      </w:r>
      <w:r w:rsidRPr="003E30B6">
        <w:rPr>
          <w:lang w:val="de-DE"/>
        </w:rPr>
        <w:t xml:space="preserve"> PD_stress = clip(PD_0 + </w:t>
      </w:r>
      <w:r>
        <w:t>β</w:t>
      </w:r>
      <w:r w:rsidRPr="003E30B6">
        <w:rPr>
          <w:lang w:val="de-DE"/>
        </w:rPr>
        <w:t xml:space="preserve">_Zins · </w:t>
      </w:r>
      <w:r>
        <w:t>Δ</w:t>
      </w:r>
      <w:r w:rsidRPr="003E30B6">
        <w:rPr>
          <w:lang w:val="de-DE"/>
        </w:rPr>
        <w:t xml:space="preserve">r_10y + </w:t>
      </w:r>
      <w:r>
        <w:t>β</w:t>
      </w:r>
      <w:r w:rsidRPr="003E30B6">
        <w:rPr>
          <w:lang w:val="de-DE"/>
        </w:rPr>
        <w:t xml:space="preserve">_Öl · </w:t>
      </w:r>
      <w:r>
        <w:t>Δ</w:t>
      </w:r>
      <w:r w:rsidRPr="003E30B6">
        <w:rPr>
          <w:lang w:val="de-DE"/>
        </w:rPr>
        <w:t xml:space="preserve">Brent_log); LGD_stress = clip(LGD_0 + </w:t>
      </w:r>
      <w:r>
        <w:t>γ</w:t>
      </w:r>
      <w:r w:rsidRPr="003E30B6">
        <w:rPr>
          <w:lang w:val="de-DE"/>
        </w:rPr>
        <w:t xml:space="preserve">_Zins · </w:t>
      </w:r>
      <w:r>
        <w:t>Δ</w:t>
      </w:r>
      <w:r w:rsidRPr="003E30B6">
        <w:rPr>
          <w:lang w:val="de-DE"/>
        </w:rPr>
        <w:t xml:space="preserve">r_10y + </w:t>
      </w:r>
      <w:r>
        <w:t>γ</w:t>
      </w:r>
      <w:r w:rsidRPr="003E30B6">
        <w:rPr>
          <w:lang w:val="de-DE"/>
        </w:rPr>
        <w:t xml:space="preserve">_Öl · </w:t>
      </w:r>
      <w:r>
        <w:t>Δ</w:t>
      </w:r>
      <w:r w:rsidRPr="003E30B6">
        <w:rPr>
          <w:lang w:val="de-DE"/>
        </w:rPr>
        <w:t xml:space="preserve">Brent_log). Diese Gleichungen sind die eigentliche ökonomische Modellannahme: sie legen fest, wie stark eine Kreditklasse auf Öl- und </w:t>
      </w:r>
      <w:r w:rsidRPr="003E30B6">
        <w:rPr>
          <w:lang w:val="de-DE"/>
        </w:rPr>
        <w:lastRenderedPageBreak/>
        <w:t>Zinsschocks reagiert. Die Grenzen verhindern unplausible oder numerisch instabile Werte (PD-Floor 0,03 %, PD-Cap 50 %, LGD 5–100 %).</w:t>
      </w:r>
    </w:p>
    <w:p w14:paraId="7D69A749" w14:textId="77777777" w:rsidR="00236E73" w:rsidRPr="003E30B6" w:rsidRDefault="00000000">
      <w:pPr>
        <w:rPr>
          <w:lang w:val="de-DE"/>
        </w:rPr>
      </w:pPr>
      <w:r w:rsidRPr="003E30B6">
        <w:rPr>
          <w:b/>
          <w:lang w:val="de-DE"/>
        </w:rPr>
        <w:t>2. Erwarteter Verlust:</w:t>
      </w:r>
      <w:r w:rsidRPr="003E30B6">
        <w:rPr>
          <w:lang w:val="de-DE"/>
        </w:rPr>
        <w:t xml:space="preserve"> EL = PD · LGD · EAD; entsprechend </w:t>
      </w:r>
      <w:r>
        <w:t>Δ</w:t>
      </w:r>
      <w:r w:rsidRPr="003E30B6">
        <w:rPr>
          <w:lang w:val="de-DE"/>
        </w:rPr>
        <w:t>EL = EL_stress − EL_0. Der erwartete Verlust ist der direkte Zähler-Effekt der Kreditbuch-Bridge: zusätzlicher erwarteter Verlust senkt das harte Kernkapital. Diese Behandlung ist bewusst einfach und konservativ; sie ersetzt keine vollständige IFRS-9-Lifetime-EL-Simulation, sondern bildet den Einjahres-Stress als Risikovorsorge-Proxy ab.</w:t>
      </w:r>
    </w:p>
    <w:p w14:paraId="5943A084" w14:textId="77777777" w:rsidR="00236E73" w:rsidRPr="003E30B6" w:rsidRDefault="00000000">
      <w:pPr>
        <w:rPr>
          <w:lang w:val="de-DE"/>
        </w:rPr>
      </w:pPr>
      <w:r w:rsidRPr="003E30B6">
        <w:rPr>
          <w:b/>
          <w:lang w:val="de-DE"/>
        </w:rPr>
        <w:t>3. Unerwarteter Verlust / RWA:</w:t>
      </w:r>
      <w:r w:rsidRPr="003E30B6">
        <w:rPr>
          <w:lang w:val="de-DE"/>
        </w:rPr>
        <w:t xml:space="preserve"> K ist die IRB-Kapitalanforderung pro Exposure-Einheit. Der Term mit N und N⁻¹ transformiert die unbedingte PD in eine 99,9-%-Stress-PD des asymptotischen Ein-Faktor-Portfolios; LGD multipliziert diese Stress-PD und der erwartete Verlust wird abgezogen. Aus K folgt RWA = K · 12,5 · EAD, weil 8 % Mindestkapitalquote dem Multiplikator 1 / 0,08 = 12,5 entsprechen.</w:t>
      </w:r>
    </w:p>
    <w:p w14:paraId="1271D1AE" w14:textId="77777777" w:rsidR="00236E73" w:rsidRPr="003E30B6" w:rsidRDefault="00000000">
      <w:pPr>
        <w:rPr>
          <w:lang w:val="de-DE"/>
        </w:rPr>
      </w:pPr>
      <w:r w:rsidRPr="003E30B6">
        <w:rPr>
          <w:b/>
          <w:lang w:val="de-DE"/>
        </w:rPr>
        <w:t>4. CET1-Überleitung:</w:t>
      </w:r>
      <w:r w:rsidRPr="003E30B6">
        <w:rPr>
          <w:lang w:val="de-DE"/>
        </w:rPr>
        <w:t xml:space="preserve"> CET1_stress = (CET1_0 − </w:t>
      </w:r>
      <w:r>
        <w:t>Δ</w:t>
      </w:r>
      <w:r w:rsidRPr="003E30B6">
        <w:rPr>
          <w:lang w:val="de-DE"/>
        </w:rPr>
        <w:t xml:space="preserve">EL_Kredit + </w:t>
      </w:r>
      <w:r>
        <w:t>Δ</w:t>
      </w:r>
      <w:r w:rsidRPr="003E30B6">
        <w:rPr>
          <w:lang w:val="de-DE"/>
        </w:rPr>
        <w:t xml:space="preserve">MtM_Sovereign) / (RWA_0 + </w:t>
      </w:r>
      <w:r>
        <w:t>Δ</w:t>
      </w:r>
      <w:r w:rsidRPr="003E30B6">
        <w:rPr>
          <w:lang w:val="de-DE"/>
        </w:rPr>
        <w:t>RWA_Kredit). Damit ist klar, welcher Kanal wo wirkt: Kreditrisiko senkt den Zähler und erhöht den Nenner; Sovereign-MtM wirkt nur auf den Zähler und nur für Positionen, deren Bewertung nach IFRS 9 tatsächlich CET1-wirksam ist.</w:t>
      </w:r>
    </w:p>
    <w:p w14:paraId="3385BF00" w14:textId="77777777" w:rsidR="00236E73" w:rsidRPr="003E30B6" w:rsidRDefault="00000000">
      <w:pPr>
        <w:rPr>
          <w:lang w:val="de-DE"/>
        </w:rPr>
      </w:pPr>
      <w:r w:rsidRPr="003E30B6">
        <w:rPr>
          <w:b/>
          <w:lang w:val="de-DE"/>
        </w:rPr>
        <w:t>Laufzeit-Adjustment:</w:t>
      </w:r>
      <w:r w:rsidRPr="003E30B6">
        <w:rPr>
          <w:lang w:val="de-DE"/>
        </w:rPr>
        <w:t xml:space="preserve"> b(PD) = (0,11852 − 0,05478 · ln PD)² und MA = (1 + (M − 2,5) · b) / (1 − 1,5 · b). MA gilt für corporate, sme_corporate, bank und sovereign; für die Retail-Klassen (mortgage, qrre, other_retail) ist MA = 1 (CRR-Systematik). </w:t>
      </w:r>
      <w:r w:rsidRPr="003E30B6">
        <w:rPr>
          <w:b/>
          <w:lang w:val="de-DE"/>
        </w:rPr>
        <w:t>Zwei stille Konventionen, hier explizit ausgewiesen [assumption]:</w:t>
      </w:r>
      <w:r w:rsidRPr="003E30B6">
        <w:rPr>
          <w:lang w:val="de-DE"/>
        </w:rPr>
        <w:t xml:space="preserve"> Die effektive Restlaufzeit ist einheitlich </w:t>
      </w:r>
      <w:r w:rsidRPr="003E30B6">
        <w:rPr>
          <w:b/>
          <w:lang w:val="de-DE"/>
        </w:rPr>
        <w:t>M = 2,5 Jahre</w:t>
      </w:r>
      <w:r w:rsidRPr="003E30B6">
        <w:rPr>
          <w:lang w:val="de-DE"/>
        </w:rPr>
        <w:t xml:space="preserve"> gesetzt (Basel-Default; Pillar 3 legt keine Restlaufzeit je Klasse offen - konstant über alle Jahrgänge und damit zeitvergleichs-neutral), und die KMU-Größenanpassung nutzt einen repräsentativen Jahresumsatz </w:t>
      </w:r>
      <w:r w:rsidRPr="003E30B6">
        <w:rPr>
          <w:b/>
          <w:lang w:val="de-DE"/>
        </w:rPr>
        <w:t>S = 20 Mio. €</w:t>
      </w:r>
      <w:r w:rsidRPr="003E30B6">
        <w:rPr>
          <w:lang w:val="de-DE"/>
        </w:rPr>
        <w:t xml:space="preserve"> für das aggregierte SME-Buch.</w:t>
      </w:r>
    </w:p>
    <w:p w14:paraId="2CFD4515" w14:textId="77777777" w:rsidR="00236E73" w:rsidRPr="003E30B6" w:rsidRDefault="00000000">
      <w:pPr>
        <w:rPr>
          <w:lang w:val="de-DE"/>
        </w:rPr>
      </w:pPr>
      <w:r w:rsidRPr="003E30B6">
        <w:rPr>
          <w:b/>
          <w:lang w:val="de-DE"/>
        </w:rPr>
        <w:t>Kanal-Zerlegung:</w:t>
      </w:r>
      <w:r w:rsidRPr="003E30B6">
        <w:rPr>
          <w:lang w:val="de-DE"/>
        </w:rPr>
        <w:t xml:space="preserve"> Die Stress-Wirkung wird sequentiell zerlegt - Stufe 1 stresst nur die PD (PD-Kanal), Stufe 2 zusätzlich die LGD (LGD-Kanal); beide Teilbeträge addieren sich exakt zu </w:t>
      </w:r>
      <w:r>
        <w:t>Δ</w:t>
      </w:r>
      <w:r w:rsidRPr="003E30B6">
        <w:rPr>
          <w:lang w:val="de-DE"/>
        </w:rPr>
        <w:t xml:space="preserve">RWA bzw. </w:t>
      </w:r>
      <w:r>
        <w:t>Δ</w:t>
      </w:r>
      <w:r w:rsidRPr="003E30B6">
        <w:rPr>
          <w:lang w:val="de-DE"/>
        </w:rPr>
        <w:t xml:space="preserve">EL. </w:t>
      </w:r>
      <w:r>
        <w:rPr>
          <w:b/>
        </w:rPr>
        <w:t>Δ</w:t>
      </w:r>
      <w:r w:rsidRPr="003E30B6">
        <w:rPr>
          <w:b/>
          <w:lang w:val="de-DE"/>
        </w:rPr>
        <w:t>EL als Zähler-Proxy:</w:t>
      </w:r>
      <w:r w:rsidRPr="003E30B6">
        <w:rPr>
          <w:lang w:val="de-DE"/>
        </w:rPr>
        <w:t xml:space="preserve"> </w:t>
      </w:r>
      <w:r>
        <w:t>Δ</w:t>
      </w:r>
      <w:r w:rsidRPr="003E30B6">
        <w:rPr>
          <w:lang w:val="de-DE"/>
        </w:rPr>
        <w:t xml:space="preserve">EL = </w:t>
      </w:r>
      <w:r>
        <w:t>Δ</w:t>
      </w:r>
      <w:r w:rsidRPr="003E30B6">
        <w:rPr>
          <w:lang w:val="de-DE"/>
        </w:rPr>
        <w:t>(PD · LGD · EAD) wird 1:1 vom CET1-Zähler abgezogen - als Proxy der stressbedingten Risikovorsorge. Die regulatorische EL-Shortfall-Mechanik (CRR Art. 36, 62) wird nicht separat modelliert - eine bewusste Vereinfachung auf der konservativen Seite.</w:t>
      </w:r>
    </w:p>
    <w:p w14:paraId="0B50078E" w14:textId="77777777" w:rsidR="00236E73" w:rsidRPr="003E30B6" w:rsidRDefault="00000000">
      <w:pPr>
        <w:rPr>
          <w:lang w:val="de-DE"/>
        </w:rPr>
      </w:pPr>
      <w:r w:rsidRPr="003E30B6">
        <w:rPr>
          <w:b/>
          <w:lang w:val="de-DE"/>
        </w:rPr>
        <w:t xml:space="preserve">Asset-Korrelation </w:t>
      </w:r>
      <w:r>
        <w:rPr>
          <w:b/>
        </w:rPr>
        <w:t>ρ</w:t>
      </w:r>
      <w:r w:rsidRPr="003E30B6">
        <w:rPr>
          <w:b/>
          <w:lang w:val="de-DE"/>
        </w:rPr>
        <w:t xml:space="preserve"> je Klasse</w:t>
      </w:r>
      <w:r w:rsidRPr="003E30B6">
        <w:rPr>
          <w:lang w:val="de-DE"/>
        </w:rPr>
        <w:t xml:space="preserve"> - regulatorisch fixiert (CRR Art. 153/154), keine Modellannahme:</w:t>
      </w:r>
    </w:p>
    <w:tbl>
      <w:tblPr>
        <w:tblStyle w:val="TableGrid"/>
        <w:tblW w:w="0" w:type="auto"/>
        <w:jc w:val="center"/>
        <w:tblLook w:val="04A0" w:firstRow="1" w:lastRow="0" w:firstColumn="1" w:lastColumn="0" w:noHBand="0" w:noVBand="1"/>
      </w:tblPr>
      <w:tblGrid>
        <w:gridCol w:w="2259"/>
        <w:gridCol w:w="4894"/>
        <w:gridCol w:w="2259"/>
      </w:tblGrid>
      <w:tr w:rsidR="00236E73" w14:paraId="098DEBC2" w14:textId="77777777">
        <w:trPr>
          <w:jc w:val="center"/>
        </w:trPr>
        <w:tc>
          <w:tcPr>
            <w:tcW w:w="2259" w:type="dxa"/>
            <w:shd w:val="clear" w:color="auto" w:fill="D9E4EC"/>
          </w:tcPr>
          <w:p w14:paraId="183E8CA8" w14:textId="77777777" w:rsidR="00236E73" w:rsidRDefault="00000000">
            <w:r>
              <w:rPr>
                <w:b/>
                <w:sz w:val="17"/>
              </w:rPr>
              <w:t>Klasse</w:t>
            </w:r>
          </w:p>
        </w:tc>
        <w:tc>
          <w:tcPr>
            <w:tcW w:w="4894" w:type="dxa"/>
            <w:shd w:val="clear" w:color="auto" w:fill="D9E4EC"/>
          </w:tcPr>
          <w:p w14:paraId="32A6DA1B" w14:textId="77777777" w:rsidR="00236E73" w:rsidRDefault="00000000">
            <w:r>
              <w:rPr>
                <w:b/>
                <w:sz w:val="17"/>
              </w:rPr>
              <w:t>ρ-Festlegung (wie implementiert)</w:t>
            </w:r>
          </w:p>
        </w:tc>
        <w:tc>
          <w:tcPr>
            <w:tcW w:w="2259" w:type="dxa"/>
            <w:shd w:val="clear" w:color="auto" w:fill="D9E4EC"/>
          </w:tcPr>
          <w:p w14:paraId="460A05D1" w14:textId="77777777" w:rsidR="00236E73" w:rsidRDefault="00000000">
            <w:r>
              <w:rPr>
                <w:b/>
                <w:sz w:val="17"/>
              </w:rPr>
              <w:t>Spanne / Wert</w:t>
            </w:r>
          </w:p>
        </w:tc>
      </w:tr>
      <w:tr w:rsidR="00236E73" w14:paraId="07D38DF5" w14:textId="77777777">
        <w:trPr>
          <w:jc w:val="center"/>
        </w:trPr>
        <w:tc>
          <w:tcPr>
            <w:tcW w:w="2259" w:type="dxa"/>
          </w:tcPr>
          <w:p w14:paraId="249A3A3C" w14:textId="77777777" w:rsidR="00236E73" w:rsidRDefault="00000000">
            <w:r>
              <w:rPr>
                <w:sz w:val="17"/>
              </w:rPr>
              <w:t>corporate, bank, sovereign</w:t>
            </w:r>
          </w:p>
        </w:tc>
        <w:tc>
          <w:tcPr>
            <w:tcW w:w="4894" w:type="dxa"/>
          </w:tcPr>
          <w:p w14:paraId="4BB8D195" w14:textId="77777777" w:rsidR="00236E73" w:rsidRDefault="00000000">
            <w:r>
              <w:rPr>
                <w:sz w:val="17"/>
              </w:rPr>
              <w:t>ρ = 0,12·R + 0,24·(1−R) mit R = (1−e^(−50·PD)) / (1−e^(−50))</w:t>
            </w:r>
          </w:p>
        </w:tc>
        <w:tc>
          <w:tcPr>
            <w:tcW w:w="2259" w:type="dxa"/>
          </w:tcPr>
          <w:p w14:paraId="0C4D2D67" w14:textId="77777777" w:rsidR="00236E73" w:rsidRDefault="00000000">
            <w:r>
              <w:rPr>
                <w:sz w:val="17"/>
              </w:rPr>
              <w:t>0,24 → 0,12 (fallend in PD)</w:t>
            </w:r>
          </w:p>
        </w:tc>
      </w:tr>
      <w:tr w:rsidR="00236E73" w14:paraId="3F605795" w14:textId="77777777">
        <w:trPr>
          <w:jc w:val="center"/>
        </w:trPr>
        <w:tc>
          <w:tcPr>
            <w:tcW w:w="2259" w:type="dxa"/>
          </w:tcPr>
          <w:p w14:paraId="59F992B2" w14:textId="77777777" w:rsidR="00236E73" w:rsidRDefault="00000000">
            <w:r>
              <w:rPr>
                <w:sz w:val="17"/>
              </w:rPr>
              <w:t>sme_corporate</w:t>
            </w:r>
          </w:p>
        </w:tc>
        <w:tc>
          <w:tcPr>
            <w:tcW w:w="4894" w:type="dxa"/>
          </w:tcPr>
          <w:p w14:paraId="567D9453" w14:textId="77777777" w:rsidR="00236E73" w:rsidRDefault="00000000">
            <w:r w:rsidRPr="003E30B6">
              <w:rPr>
                <w:sz w:val="17"/>
                <w:lang w:val="de-DE"/>
              </w:rPr>
              <w:t xml:space="preserve">wie corporate, abzüglich Größenanpassung 0,04 · (1−(S−5)/45) bei S = 20 Mio. </w:t>
            </w:r>
            <w:r>
              <w:rPr>
                <w:sz w:val="17"/>
              </w:rPr>
              <w:t>€</w:t>
            </w:r>
          </w:p>
        </w:tc>
        <w:tc>
          <w:tcPr>
            <w:tcW w:w="2259" w:type="dxa"/>
          </w:tcPr>
          <w:p w14:paraId="2AB00FF1" w14:textId="77777777" w:rsidR="00236E73" w:rsidRDefault="00000000">
            <w:r>
              <w:rPr>
                <w:sz w:val="17"/>
              </w:rPr>
              <w:t>Abschlag 0,027</w:t>
            </w:r>
          </w:p>
        </w:tc>
      </w:tr>
      <w:tr w:rsidR="00236E73" w14:paraId="07ABFC8A" w14:textId="77777777">
        <w:trPr>
          <w:jc w:val="center"/>
        </w:trPr>
        <w:tc>
          <w:tcPr>
            <w:tcW w:w="2259" w:type="dxa"/>
          </w:tcPr>
          <w:p w14:paraId="6E0CD075" w14:textId="77777777" w:rsidR="00236E73" w:rsidRDefault="00000000">
            <w:r>
              <w:rPr>
                <w:sz w:val="17"/>
              </w:rPr>
              <w:t>mortgage</w:t>
            </w:r>
          </w:p>
        </w:tc>
        <w:tc>
          <w:tcPr>
            <w:tcW w:w="4894" w:type="dxa"/>
          </w:tcPr>
          <w:p w14:paraId="7CA616D4" w14:textId="77777777" w:rsidR="00236E73" w:rsidRDefault="00000000">
            <w:r>
              <w:rPr>
                <w:sz w:val="17"/>
              </w:rPr>
              <w:t>konstant</w:t>
            </w:r>
          </w:p>
        </w:tc>
        <w:tc>
          <w:tcPr>
            <w:tcW w:w="2259" w:type="dxa"/>
          </w:tcPr>
          <w:p w14:paraId="0AC6CCD0" w14:textId="77777777" w:rsidR="00236E73" w:rsidRDefault="00000000">
            <w:r>
              <w:rPr>
                <w:sz w:val="17"/>
              </w:rPr>
              <w:t>0,15</w:t>
            </w:r>
          </w:p>
        </w:tc>
      </w:tr>
      <w:tr w:rsidR="00236E73" w14:paraId="7090FB2F" w14:textId="77777777">
        <w:trPr>
          <w:jc w:val="center"/>
        </w:trPr>
        <w:tc>
          <w:tcPr>
            <w:tcW w:w="2259" w:type="dxa"/>
          </w:tcPr>
          <w:p w14:paraId="6C03FDB7" w14:textId="77777777" w:rsidR="00236E73" w:rsidRDefault="00000000">
            <w:r>
              <w:rPr>
                <w:sz w:val="17"/>
              </w:rPr>
              <w:t>qrre</w:t>
            </w:r>
          </w:p>
        </w:tc>
        <w:tc>
          <w:tcPr>
            <w:tcW w:w="4894" w:type="dxa"/>
          </w:tcPr>
          <w:p w14:paraId="70294F89" w14:textId="77777777" w:rsidR="00236E73" w:rsidRDefault="00000000">
            <w:r>
              <w:rPr>
                <w:sz w:val="17"/>
              </w:rPr>
              <w:t>konstant</w:t>
            </w:r>
          </w:p>
        </w:tc>
        <w:tc>
          <w:tcPr>
            <w:tcW w:w="2259" w:type="dxa"/>
          </w:tcPr>
          <w:p w14:paraId="7BDD36EC" w14:textId="77777777" w:rsidR="00236E73" w:rsidRDefault="00000000">
            <w:r>
              <w:rPr>
                <w:sz w:val="17"/>
              </w:rPr>
              <w:t>0,04</w:t>
            </w:r>
          </w:p>
        </w:tc>
      </w:tr>
      <w:tr w:rsidR="00236E73" w14:paraId="0159DE0B" w14:textId="77777777">
        <w:trPr>
          <w:jc w:val="center"/>
        </w:trPr>
        <w:tc>
          <w:tcPr>
            <w:tcW w:w="2259" w:type="dxa"/>
          </w:tcPr>
          <w:p w14:paraId="0501393B" w14:textId="77777777" w:rsidR="00236E73" w:rsidRDefault="00000000">
            <w:r>
              <w:rPr>
                <w:sz w:val="17"/>
              </w:rPr>
              <w:t>other_retail</w:t>
            </w:r>
          </w:p>
        </w:tc>
        <w:tc>
          <w:tcPr>
            <w:tcW w:w="4894" w:type="dxa"/>
          </w:tcPr>
          <w:p w14:paraId="1AFD495A" w14:textId="77777777" w:rsidR="00236E73" w:rsidRPr="003E30B6" w:rsidRDefault="00000000">
            <w:pPr>
              <w:rPr>
                <w:lang w:val="de-DE"/>
              </w:rPr>
            </w:pPr>
            <w:r>
              <w:rPr>
                <w:sz w:val="17"/>
              </w:rPr>
              <w:t>ρ</w:t>
            </w:r>
            <w:r w:rsidRPr="003E30B6">
              <w:rPr>
                <w:sz w:val="17"/>
                <w:lang w:val="de-DE"/>
              </w:rPr>
              <w:t xml:space="preserve"> = 0,03·R₃₅ + 0,16·(1−R₃₅) mit R₃₅ analog (Faktor 35)</w:t>
            </w:r>
          </w:p>
        </w:tc>
        <w:tc>
          <w:tcPr>
            <w:tcW w:w="2259" w:type="dxa"/>
          </w:tcPr>
          <w:p w14:paraId="01F3CF07" w14:textId="77777777" w:rsidR="00236E73" w:rsidRDefault="00000000">
            <w:r>
              <w:rPr>
                <w:sz w:val="17"/>
              </w:rPr>
              <w:t>0,16 → 0,03 (fallend in PD)</w:t>
            </w:r>
          </w:p>
        </w:tc>
      </w:tr>
    </w:tbl>
    <w:p w14:paraId="6FA7FCB3" w14:textId="77777777" w:rsidR="00236E73" w:rsidRDefault="00236E73">
      <w:pPr>
        <w:spacing w:after="80"/>
      </w:pPr>
    </w:p>
    <w:p w14:paraId="1A96526A" w14:textId="77777777" w:rsidR="00236E73" w:rsidRDefault="00000000">
      <w:pPr>
        <w:pStyle w:val="Heading2"/>
      </w:pPr>
      <w:r>
        <w:t>Der Sovereign-Kanal konkret</w:t>
      </w:r>
    </w:p>
    <w:p w14:paraId="13E468D4" w14:textId="77777777" w:rsidR="00236E73" w:rsidRDefault="00000000">
      <w:r w:rsidRPr="003E30B6">
        <w:rPr>
          <w:lang w:val="de-DE"/>
        </w:rPr>
        <w:t xml:space="preserve">Parallel zum Kreditbuch werden die Staatsanleihebestände bewertet: </w:t>
      </w:r>
      <w:r>
        <w:rPr>
          <w:b/>
        </w:rPr>
        <w:t>Δ</w:t>
      </w:r>
      <w:r w:rsidRPr="003E30B6">
        <w:rPr>
          <w:b/>
          <w:lang w:val="de-DE"/>
        </w:rPr>
        <w:t xml:space="preserve">MtM = −D_bucket · </w:t>
      </w:r>
      <w:r>
        <w:rPr>
          <w:b/>
        </w:rPr>
        <w:t>Δ</w:t>
      </w:r>
      <w:r w:rsidRPr="003E30B6">
        <w:rPr>
          <w:b/>
          <w:lang w:val="de-DE"/>
        </w:rPr>
        <w:t>r · Exposure_bucket</w:t>
      </w:r>
      <w:r w:rsidRPr="003E30B6">
        <w:rPr>
          <w:lang w:val="de-DE"/>
        </w:rPr>
        <w:t xml:space="preserve">, summiert über die EBA-Laufzeit-Buckets je Bank. Die Modified Duration je Bucket ist eine Konvention über den Bucket-Mittelpunkt - 0,125 / 0,625 / 1,5 / 2,5 / 4,0 / 7,5 Jahre für die geschlossenen Buckets; der offene &gt;10Y-Bucket konservativ mit </w:t>
      </w:r>
      <w:r w:rsidRPr="003E30B6">
        <w:rPr>
          <w:b/>
          <w:lang w:val="de-DE"/>
        </w:rPr>
        <w:t>15 Jahren</w:t>
      </w:r>
      <w:r w:rsidRPr="003E30B6">
        <w:rPr>
          <w:lang w:val="de-DE"/>
        </w:rPr>
        <w:t xml:space="preserve"> (angelehnt an das Basel-/EBA-Zeitband 10–15 J.; Slotting-Logik analog BCBS 368). CET1-wirksam ist nur der HfT/FVTPL/FVOCI-Anteil - dieser IFRS-9-Split ist </w:t>
      </w:r>
      <w:r w:rsidRPr="003E30B6">
        <w:rPr>
          <w:b/>
          <w:lang w:val="de-DE"/>
        </w:rPr>
        <w:t>je Bank aus der EBA Transparency gemeldet</w:t>
      </w:r>
      <w:r w:rsidRPr="003E30B6">
        <w:rPr>
          <w:lang w:val="de-DE"/>
        </w:rPr>
        <w:t xml:space="preserve">, </w:t>
      </w:r>
      <w:r w:rsidRPr="003E30B6">
        <w:rPr>
          <w:lang w:val="de-DE"/>
        </w:rPr>
        <w:lastRenderedPageBreak/>
        <w:t xml:space="preserve">keine Pauschal-Annahme; duration-gewichtet sind über die zehn Banken ≈ 51 % des Brutto-MtM CET1-wirksam. Konvexität ist vernachlässigt (linearer Duration-Ansatz - überzeichnet den Verlust bei großen Zinsanstiegen leicht, wirkt also konservativ). Der Kanal nutzt den EBA-Perimeter aller zehn Banken und ist unabhängig davon, ob eine Bank Staaten im IRB-Kreditbuch führt (Beispiel Santander: Standardansatz im Kreditbuch, vollständig im Sovereign-Kanal). Durationslogik nach Tuckman/Serrat (2012); die begleitenden Marktbuch-Analysen des Cockpits - Staaten-Banken-Verflechtung (Doom Loop) und latente Bewertungsverluste - stützen sich auf Brunnermeier et al. </w:t>
      </w:r>
      <w:r>
        <w:t>(2016), Acharya/Drechsler/Schnabl (2014) und Jiang et al. (2023).</w:t>
      </w:r>
    </w:p>
    <w:p w14:paraId="3C9648F5" w14:textId="77777777" w:rsidR="00236E73" w:rsidRDefault="00000000">
      <w:pPr>
        <w:spacing w:before="120" w:after="40"/>
        <w:jc w:val="center"/>
      </w:pPr>
      <w:r>
        <w:rPr>
          <w:noProof/>
        </w:rPr>
        <w:drawing>
          <wp:inline distT="0" distB="0" distL="0" distR="0" wp14:anchorId="2CA00375" wp14:editId="11B1724E">
            <wp:extent cx="5688000" cy="22316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bridge.png"/>
                    <pic:cNvPicPr/>
                  </pic:nvPicPr>
                  <pic:blipFill>
                    <a:blip r:embed="rId10"/>
                    <a:stretch>
                      <a:fillRect/>
                    </a:stretch>
                  </pic:blipFill>
                  <pic:spPr>
                    <a:xfrm>
                      <a:off x="0" y="0"/>
                      <a:ext cx="5688000" cy="2231682"/>
                    </a:xfrm>
                    <a:prstGeom prst="rect">
                      <a:avLst/>
                    </a:prstGeom>
                  </pic:spPr>
                </pic:pic>
              </a:graphicData>
            </a:graphic>
          </wp:inline>
        </w:drawing>
      </w:r>
    </w:p>
    <w:p w14:paraId="6C79C4D4" w14:textId="77777777" w:rsidR="00236E73" w:rsidRPr="003E30B6" w:rsidRDefault="00000000">
      <w:pPr>
        <w:spacing w:after="240"/>
        <w:jc w:val="center"/>
        <w:rPr>
          <w:lang w:val="de-DE"/>
        </w:rPr>
      </w:pPr>
      <w:r w:rsidRPr="003E30B6">
        <w:rPr>
          <w:i/>
          <w:color w:val="6E6E6E"/>
          <w:sz w:val="17"/>
          <w:lang w:val="de-DE"/>
        </w:rPr>
        <w:t>Abb. 3: CET1-Überleitung. Das Kreditbuch erhöht den Nenner (</w:t>
      </w:r>
      <w:r>
        <w:rPr>
          <w:i/>
          <w:color w:val="6E6E6E"/>
          <w:sz w:val="17"/>
        </w:rPr>
        <w:t>Δ</w:t>
      </w:r>
      <w:r w:rsidRPr="003E30B6">
        <w:rPr>
          <w:i/>
          <w:color w:val="6E6E6E"/>
          <w:sz w:val="17"/>
          <w:lang w:val="de-DE"/>
        </w:rPr>
        <w:t>RWA) und senkt über erwartete Verluste den Zähler (</w:t>
      </w:r>
      <w:r>
        <w:rPr>
          <w:i/>
          <w:color w:val="6E6E6E"/>
          <w:sz w:val="17"/>
        </w:rPr>
        <w:t>Δ</w:t>
      </w:r>
      <w:r w:rsidRPr="003E30B6">
        <w:rPr>
          <w:i/>
          <w:color w:val="6E6E6E"/>
          <w:sz w:val="17"/>
          <w:lang w:val="de-DE"/>
        </w:rPr>
        <w:t>EL); der Sovereign-Kanal senkt den Zähler zusätzlich (</w:t>
      </w:r>
      <w:r>
        <w:rPr>
          <w:i/>
          <w:color w:val="6E6E6E"/>
          <w:sz w:val="17"/>
        </w:rPr>
        <w:t>Δ</w:t>
      </w:r>
      <w:r w:rsidRPr="003E30B6">
        <w:rPr>
          <w:i/>
          <w:color w:val="6E6E6E"/>
          <w:sz w:val="17"/>
          <w:lang w:val="de-DE"/>
        </w:rPr>
        <w:t>MtM). Entlastende Gewinn-Effekte werden bewusst nicht angesetzt - die Quote unter Stress ist eine konservative Untergrenze.</w:t>
      </w:r>
    </w:p>
    <w:p w14:paraId="1680F374" w14:textId="77777777" w:rsidR="00236E73" w:rsidRPr="003E30B6" w:rsidRDefault="00000000">
      <w:pPr>
        <w:pStyle w:val="Heading1"/>
        <w:rPr>
          <w:lang w:val="de-DE"/>
        </w:rPr>
      </w:pPr>
      <w:r w:rsidRPr="003E30B6">
        <w:rPr>
          <w:lang w:val="de-DE"/>
        </w:rPr>
        <w:t>5. Datenbasis und Qualitätsprüfung</w:t>
      </w:r>
    </w:p>
    <w:p w14:paraId="6C08551F" w14:textId="77777777" w:rsidR="00236E73" w:rsidRPr="003E30B6" w:rsidRDefault="00000000">
      <w:pPr>
        <w:pStyle w:val="Heading2"/>
        <w:rPr>
          <w:lang w:val="de-DE"/>
        </w:rPr>
      </w:pPr>
      <w:r w:rsidRPr="003E30B6">
        <w:rPr>
          <w:lang w:val="de-DE"/>
        </w:rPr>
        <w:t>Das Banken-Universum</w:t>
      </w:r>
    </w:p>
    <w:p w14:paraId="16B67801" w14:textId="77777777" w:rsidR="00236E73" w:rsidRDefault="00000000">
      <w:r w:rsidRPr="003E30B6">
        <w:rPr>
          <w:lang w:val="de-DE"/>
        </w:rPr>
        <w:t xml:space="preserve">Die zehn größten EU-Banken nach IRB-EAD - zusammen </w:t>
      </w:r>
      <w:r w:rsidRPr="003E30B6">
        <w:rPr>
          <w:b/>
          <w:lang w:val="de-DE"/>
        </w:rPr>
        <w:t>≈ 8,28 Bio. € IRB-EAD ≈ 56 %</w:t>
      </w:r>
      <w:r w:rsidRPr="003E30B6">
        <w:rPr>
          <w:lang w:val="de-DE"/>
        </w:rPr>
        <w:t xml:space="preserve"> des gesamten IRB-EAD im EBA-Transparency-Datensatz (Auswahllogik: Annahme A-08). </w:t>
      </w:r>
      <w:r>
        <w:t>CET1-Quoten aus dem EBA-Kapitalpanel, Stichtag 31.12.2024:</w:t>
      </w:r>
    </w:p>
    <w:tbl>
      <w:tblPr>
        <w:tblStyle w:val="TableGrid"/>
        <w:tblW w:w="0" w:type="auto"/>
        <w:jc w:val="center"/>
        <w:tblLook w:val="04A0" w:firstRow="1" w:lastRow="0" w:firstColumn="1" w:lastColumn="0" w:noHBand="0" w:noVBand="1"/>
      </w:tblPr>
      <w:tblGrid>
        <w:gridCol w:w="406"/>
        <w:gridCol w:w="2541"/>
        <w:gridCol w:w="659"/>
        <w:gridCol w:w="1600"/>
        <w:gridCol w:w="1412"/>
        <w:gridCol w:w="2823"/>
      </w:tblGrid>
      <w:tr w:rsidR="00236E73" w14:paraId="44CE0F42" w14:textId="77777777">
        <w:trPr>
          <w:jc w:val="center"/>
        </w:trPr>
        <w:tc>
          <w:tcPr>
            <w:tcW w:w="376" w:type="dxa"/>
            <w:shd w:val="clear" w:color="auto" w:fill="D9E4EC"/>
          </w:tcPr>
          <w:p w14:paraId="71268E02" w14:textId="77777777" w:rsidR="00236E73" w:rsidRDefault="00000000">
            <w:r>
              <w:rPr>
                <w:b/>
                <w:sz w:val="17"/>
              </w:rPr>
              <w:t>#</w:t>
            </w:r>
          </w:p>
        </w:tc>
        <w:tc>
          <w:tcPr>
            <w:tcW w:w="2541" w:type="dxa"/>
            <w:shd w:val="clear" w:color="auto" w:fill="D9E4EC"/>
          </w:tcPr>
          <w:p w14:paraId="6F22E626" w14:textId="77777777" w:rsidR="00236E73" w:rsidRDefault="00000000">
            <w:r>
              <w:rPr>
                <w:b/>
                <w:sz w:val="17"/>
              </w:rPr>
              <w:t>Bank</w:t>
            </w:r>
          </w:p>
        </w:tc>
        <w:tc>
          <w:tcPr>
            <w:tcW w:w="659" w:type="dxa"/>
            <w:shd w:val="clear" w:color="auto" w:fill="D9E4EC"/>
          </w:tcPr>
          <w:p w14:paraId="28E430B9" w14:textId="77777777" w:rsidR="00236E73" w:rsidRDefault="00000000">
            <w:r>
              <w:rPr>
                <w:b/>
                <w:sz w:val="17"/>
              </w:rPr>
              <w:t>Land</w:t>
            </w:r>
          </w:p>
        </w:tc>
        <w:tc>
          <w:tcPr>
            <w:tcW w:w="1600" w:type="dxa"/>
            <w:shd w:val="clear" w:color="auto" w:fill="D9E4EC"/>
          </w:tcPr>
          <w:p w14:paraId="552DF8DB" w14:textId="77777777" w:rsidR="00236E73" w:rsidRDefault="00000000">
            <w:r>
              <w:rPr>
                <w:b/>
                <w:sz w:val="17"/>
              </w:rPr>
              <w:t>IRB-EAD (Mrd €)</w:t>
            </w:r>
          </w:p>
        </w:tc>
        <w:tc>
          <w:tcPr>
            <w:tcW w:w="1412" w:type="dxa"/>
            <w:shd w:val="clear" w:color="auto" w:fill="D9E4EC"/>
          </w:tcPr>
          <w:p w14:paraId="5FB0C69E" w14:textId="77777777" w:rsidR="00236E73" w:rsidRDefault="00000000">
            <w:r>
              <w:rPr>
                <w:b/>
                <w:sz w:val="17"/>
              </w:rPr>
              <w:t>CET1 31.12.24</w:t>
            </w:r>
          </w:p>
        </w:tc>
        <w:tc>
          <w:tcPr>
            <w:tcW w:w="2823" w:type="dxa"/>
            <w:shd w:val="clear" w:color="auto" w:fill="D9E4EC"/>
          </w:tcPr>
          <w:p w14:paraId="1BC08C2B" w14:textId="77777777" w:rsidR="00236E73" w:rsidRDefault="00000000">
            <w:r>
              <w:rPr>
                <w:b/>
                <w:sz w:val="17"/>
              </w:rPr>
              <w:t>Backtest-Zellen</w:t>
            </w:r>
          </w:p>
        </w:tc>
      </w:tr>
      <w:tr w:rsidR="00236E73" w14:paraId="093FA5ED" w14:textId="77777777">
        <w:trPr>
          <w:jc w:val="center"/>
        </w:trPr>
        <w:tc>
          <w:tcPr>
            <w:tcW w:w="376" w:type="dxa"/>
          </w:tcPr>
          <w:p w14:paraId="302C3550" w14:textId="77777777" w:rsidR="00236E73" w:rsidRDefault="00000000">
            <w:r>
              <w:rPr>
                <w:sz w:val="17"/>
              </w:rPr>
              <w:t>1</w:t>
            </w:r>
          </w:p>
        </w:tc>
        <w:tc>
          <w:tcPr>
            <w:tcW w:w="2541" w:type="dxa"/>
          </w:tcPr>
          <w:p w14:paraId="2B060BD7" w14:textId="77777777" w:rsidR="00236E73" w:rsidRDefault="00000000">
            <w:r>
              <w:rPr>
                <w:sz w:val="17"/>
              </w:rPr>
              <w:t>Groupe Crédit Agricole ¹</w:t>
            </w:r>
          </w:p>
        </w:tc>
        <w:tc>
          <w:tcPr>
            <w:tcW w:w="659" w:type="dxa"/>
          </w:tcPr>
          <w:p w14:paraId="2200FF6A" w14:textId="77777777" w:rsidR="00236E73" w:rsidRDefault="00000000">
            <w:r>
              <w:rPr>
                <w:sz w:val="17"/>
              </w:rPr>
              <w:t>FR</w:t>
            </w:r>
          </w:p>
        </w:tc>
        <w:tc>
          <w:tcPr>
            <w:tcW w:w="1600" w:type="dxa"/>
          </w:tcPr>
          <w:p w14:paraId="1B5343DA" w14:textId="77777777" w:rsidR="00236E73" w:rsidRDefault="00000000">
            <w:r>
              <w:rPr>
                <w:sz w:val="17"/>
              </w:rPr>
              <w:t>1.646</w:t>
            </w:r>
          </w:p>
        </w:tc>
        <w:tc>
          <w:tcPr>
            <w:tcW w:w="1412" w:type="dxa"/>
          </w:tcPr>
          <w:p w14:paraId="645EBA77" w14:textId="77777777" w:rsidR="00236E73" w:rsidRDefault="00000000">
            <w:r>
              <w:rPr>
                <w:sz w:val="17"/>
              </w:rPr>
              <w:t>17,2 %</w:t>
            </w:r>
          </w:p>
        </w:tc>
        <w:tc>
          <w:tcPr>
            <w:tcW w:w="2823" w:type="dxa"/>
          </w:tcPr>
          <w:p w14:paraId="212450E2" w14:textId="77777777" w:rsidR="00236E73" w:rsidRDefault="00000000">
            <w:r>
              <w:rPr>
                <w:sz w:val="17"/>
              </w:rPr>
              <w:t>27 (+1)*</w:t>
            </w:r>
          </w:p>
        </w:tc>
      </w:tr>
      <w:tr w:rsidR="00236E73" w14:paraId="5DCAC66A" w14:textId="77777777">
        <w:trPr>
          <w:jc w:val="center"/>
        </w:trPr>
        <w:tc>
          <w:tcPr>
            <w:tcW w:w="376" w:type="dxa"/>
          </w:tcPr>
          <w:p w14:paraId="69CD34EF" w14:textId="77777777" w:rsidR="00236E73" w:rsidRDefault="00000000">
            <w:r>
              <w:rPr>
                <w:sz w:val="17"/>
              </w:rPr>
              <w:t>2</w:t>
            </w:r>
          </w:p>
        </w:tc>
        <w:tc>
          <w:tcPr>
            <w:tcW w:w="2541" w:type="dxa"/>
          </w:tcPr>
          <w:p w14:paraId="0074ABBD" w14:textId="77777777" w:rsidR="00236E73" w:rsidRDefault="00000000">
            <w:r>
              <w:rPr>
                <w:sz w:val="17"/>
              </w:rPr>
              <w:t>BNP Paribas</w:t>
            </w:r>
          </w:p>
        </w:tc>
        <w:tc>
          <w:tcPr>
            <w:tcW w:w="659" w:type="dxa"/>
          </w:tcPr>
          <w:p w14:paraId="16ED2F41" w14:textId="77777777" w:rsidR="00236E73" w:rsidRDefault="00000000">
            <w:r>
              <w:rPr>
                <w:sz w:val="17"/>
              </w:rPr>
              <w:t>FR</w:t>
            </w:r>
          </w:p>
        </w:tc>
        <w:tc>
          <w:tcPr>
            <w:tcW w:w="1600" w:type="dxa"/>
          </w:tcPr>
          <w:p w14:paraId="243A8FEE" w14:textId="77777777" w:rsidR="00236E73" w:rsidRDefault="00000000">
            <w:r>
              <w:rPr>
                <w:sz w:val="17"/>
              </w:rPr>
              <w:t>1.301</w:t>
            </w:r>
          </w:p>
        </w:tc>
        <w:tc>
          <w:tcPr>
            <w:tcW w:w="1412" w:type="dxa"/>
          </w:tcPr>
          <w:p w14:paraId="75B06F18" w14:textId="77777777" w:rsidR="00236E73" w:rsidRDefault="00000000">
            <w:r>
              <w:rPr>
                <w:sz w:val="17"/>
              </w:rPr>
              <w:t>12,9 %</w:t>
            </w:r>
          </w:p>
        </w:tc>
        <w:tc>
          <w:tcPr>
            <w:tcW w:w="2823" w:type="dxa"/>
          </w:tcPr>
          <w:p w14:paraId="0CA2D4CF" w14:textId="77777777" w:rsidR="00236E73" w:rsidRDefault="00000000">
            <w:r>
              <w:rPr>
                <w:sz w:val="17"/>
              </w:rPr>
              <w:t>28</w:t>
            </w:r>
          </w:p>
        </w:tc>
      </w:tr>
      <w:tr w:rsidR="00236E73" w14:paraId="4540DA9A" w14:textId="77777777">
        <w:trPr>
          <w:jc w:val="center"/>
        </w:trPr>
        <w:tc>
          <w:tcPr>
            <w:tcW w:w="376" w:type="dxa"/>
          </w:tcPr>
          <w:p w14:paraId="472AB9B5" w14:textId="77777777" w:rsidR="00236E73" w:rsidRDefault="00000000">
            <w:r>
              <w:rPr>
                <w:sz w:val="17"/>
              </w:rPr>
              <w:t>3</w:t>
            </w:r>
          </w:p>
        </w:tc>
        <w:tc>
          <w:tcPr>
            <w:tcW w:w="2541" w:type="dxa"/>
          </w:tcPr>
          <w:p w14:paraId="4D232F7E" w14:textId="77777777" w:rsidR="00236E73" w:rsidRDefault="00000000">
            <w:r>
              <w:rPr>
                <w:sz w:val="17"/>
              </w:rPr>
              <w:t>ING Groep</w:t>
            </w:r>
          </w:p>
        </w:tc>
        <w:tc>
          <w:tcPr>
            <w:tcW w:w="659" w:type="dxa"/>
          </w:tcPr>
          <w:p w14:paraId="59E1CD56" w14:textId="77777777" w:rsidR="00236E73" w:rsidRDefault="00000000">
            <w:r>
              <w:rPr>
                <w:sz w:val="17"/>
              </w:rPr>
              <w:t>NL</w:t>
            </w:r>
          </w:p>
        </w:tc>
        <w:tc>
          <w:tcPr>
            <w:tcW w:w="1600" w:type="dxa"/>
          </w:tcPr>
          <w:p w14:paraId="468F50E8" w14:textId="77777777" w:rsidR="00236E73" w:rsidRDefault="00000000">
            <w:r>
              <w:rPr>
                <w:sz w:val="17"/>
              </w:rPr>
              <w:t>928</w:t>
            </w:r>
          </w:p>
        </w:tc>
        <w:tc>
          <w:tcPr>
            <w:tcW w:w="1412" w:type="dxa"/>
          </w:tcPr>
          <w:p w14:paraId="031FA702" w14:textId="77777777" w:rsidR="00236E73" w:rsidRDefault="00000000">
            <w:r>
              <w:rPr>
                <w:sz w:val="17"/>
              </w:rPr>
              <w:t>13,6 %</w:t>
            </w:r>
          </w:p>
        </w:tc>
        <w:tc>
          <w:tcPr>
            <w:tcW w:w="2823" w:type="dxa"/>
          </w:tcPr>
          <w:p w14:paraId="70569938" w14:textId="77777777" w:rsidR="00236E73" w:rsidRDefault="00000000">
            <w:r>
              <w:rPr>
                <w:sz w:val="17"/>
              </w:rPr>
              <w:t>24 ²</w:t>
            </w:r>
          </w:p>
        </w:tc>
      </w:tr>
      <w:tr w:rsidR="00236E73" w14:paraId="43F41039" w14:textId="77777777">
        <w:trPr>
          <w:jc w:val="center"/>
        </w:trPr>
        <w:tc>
          <w:tcPr>
            <w:tcW w:w="376" w:type="dxa"/>
          </w:tcPr>
          <w:p w14:paraId="640F2E05" w14:textId="77777777" w:rsidR="00236E73" w:rsidRDefault="00000000">
            <w:r>
              <w:rPr>
                <w:sz w:val="17"/>
              </w:rPr>
              <w:t>4</w:t>
            </w:r>
          </w:p>
        </w:tc>
        <w:tc>
          <w:tcPr>
            <w:tcW w:w="2541" w:type="dxa"/>
          </w:tcPr>
          <w:p w14:paraId="35655B1F" w14:textId="77777777" w:rsidR="00236E73" w:rsidRDefault="00000000">
            <w:r>
              <w:rPr>
                <w:sz w:val="17"/>
              </w:rPr>
              <w:t>Société Générale</w:t>
            </w:r>
          </w:p>
        </w:tc>
        <w:tc>
          <w:tcPr>
            <w:tcW w:w="659" w:type="dxa"/>
          </w:tcPr>
          <w:p w14:paraId="0C657DEB" w14:textId="77777777" w:rsidR="00236E73" w:rsidRDefault="00000000">
            <w:r>
              <w:rPr>
                <w:sz w:val="17"/>
              </w:rPr>
              <w:t>FR</w:t>
            </w:r>
          </w:p>
        </w:tc>
        <w:tc>
          <w:tcPr>
            <w:tcW w:w="1600" w:type="dxa"/>
          </w:tcPr>
          <w:p w14:paraId="2C9C690E" w14:textId="77777777" w:rsidR="00236E73" w:rsidRDefault="00000000">
            <w:r>
              <w:rPr>
                <w:sz w:val="17"/>
              </w:rPr>
              <w:t>791</w:t>
            </w:r>
          </w:p>
        </w:tc>
        <w:tc>
          <w:tcPr>
            <w:tcW w:w="1412" w:type="dxa"/>
          </w:tcPr>
          <w:p w14:paraId="0776F8E9" w14:textId="77777777" w:rsidR="00236E73" w:rsidRDefault="00000000">
            <w:r>
              <w:rPr>
                <w:sz w:val="17"/>
              </w:rPr>
              <w:t>13,3 %</w:t>
            </w:r>
          </w:p>
        </w:tc>
        <w:tc>
          <w:tcPr>
            <w:tcW w:w="2823" w:type="dxa"/>
          </w:tcPr>
          <w:p w14:paraId="7A37A64F" w14:textId="77777777" w:rsidR="00236E73" w:rsidRDefault="00000000">
            <w:r>
              <w:rPr>
                <w:sz w:val="17"/>
              </w:rPr>
              <w:t>27 (+1)*</w:t>
            </w:r>
          </w:p>
        </w:tc>
      </w:tr>
      <w:tr w:rsidR="00236E73" w14:paraId="450BAE9B" w14:textId="77777777">
        <w:trPr>
          <w:jc w:val="center"/>
        </w:trPr>
        <w:tc>
          <w:tcPr>
            <w:tcW w:w="376" w:type="dxa"/>
          </w:tcPr>
          <w:p w14:paraId="051F275D" w14:textId="77777777" w:rsidR="00236E73" w:rsidRDefault="00000000">
            <w:r>
              <w:rPr>
                <w:sz w:val="17"/>
              </w:rPr>
              <w:t>5</w:t>
            </w:r>
          </w:p>
        </w:tc>
        <w:tc>
          <w:tcPr>
            <w:tcW w:w="2541" w:type="dxa"/>
          </w:tcPr>
          <w:p w14:paraId="1735C74C" w14:textId="77777777" w:rsidR="00236E73" w:rsidRDefault="00000000">
            <w:r>
              <w:rPr>
                <w:sz w:val="17"/>
              </w:rPr>
              <w:t>Groupe BPCE</w:t>
            </w:r>
          </w:p>
        </w:tc>
        <w:tc>
          <w:tcPr>
            <w:tcW w:w="659" w:type="dxa"/>
          </w:tcPr>
          <w:p w14:paraId="052B5E0B" w14:textId="77777777" w:rsidR="00236E73" w:rsidRDefault="00000000">
            <w:r>
              <w:rPr>
                <w:sz w:val="17"/>
              </w:rPr>
              <w:t>FR</w:t>
            </w:r>
          </w:p>
        </w:tc>
        <w:tc>
          <w:tcPr>
            <w:tcW w:w="1600" w:type="dxa"/>
          </w:tcPr>
          <w:p w14:paraId="6BC37EA5" w14:textId="77777777" w:rsidR="00236E73" w:rsidRDefault="00000000">
            <w:r>
              <w:rPr>
                <w:sz w:val="17"/>
              </w:rPr>
              <w:t>777</w:t>
            </w:r>
          </w:p>
        </w:tc>
        <w:tc>
          <w:tcPr>
            <w:tcW w:w="1412" w:type="dxa"/>
          </w:tcPr>
          <w:p w14:paraId="45DE780D" w14:textId="77777777" w:rsidR="00236E73" w:rsidRDefault="00000000">
            <w:r>
              <w:rPr>
                <w:sz w:val="17"/>
              </w:rPr>
              <w:t>16,2 %</w:t>
            </w:r>
          </w:p>
        </w:tc>
        <w:tc>
          <w:tcPr>
            <w:tcW w:w="2823" w:type="dxa"/>
          </w:tcPr>
          <w:p w14:paraId="02B06B29" w14:textId="77777777" w:rsidR="00236E73" w:rsidRDefault="00000000">
            <w:r>
              <w:rPr>
                <w:sz w:val="17"/>
              </w:rPr>
              <w:t>28</w:t>
            </w:r>
          </w:p>
        </w:tc>
      </w:tr>
      <w:tr w:rsidR="00236E73" w14:paraId="04AB2EE3" w14:textId="77777777">
        <w:trPr>
          <w:jc w:val="center"/>
        </w:trPr>
        <w:tc>
          <w:tcPr>
            <w:tcW w:w="376" w:type="dxa"/>
          </w:tcPr>
          <w:p w14:paraId="6C363851" w14:textId="77777777" w:rsidR="00236E73" w:rsidRDefault="00000000">
            <w:r>
              <w:rPr>
                <w:sz w:val="17"/>
              </w:rPr>
              <w:t>6</w:t>
            </w:r>
          </w:p>
        </w:tc>
        <w:tc>
          <w:tcPr>
            <w:tcW w:w="2541" w:type="dxa"/>
          </w:tcPr>
          <w:p w14:paraId="771B5B42" w14:textId="77777777" w:rsidR="00236E73" w:rsidRDefault="00000000">
            <w:r>
              <w:rPr>
                <w:sz w:val="17"/>
              </w:rPr>
              <w:t>Deutsche Bank</w:t>
            </w:r>
          </w:p>
        </w:tc>
        <w:tc>
          <w:tcPr>
            <w:tcW w:w="659" w:type="dxa"/>
          </w:tcPr>
          <w:p w14:paraId="6F88D91A" w14:textId="77777777" w:rsidR="00236E73" w:rsidRDefault="00000000">
            <w:r>
              <w:rPr>
                <w:sz w:val="17"/>
              </w:rPr>
              <w:t>DE</w:t>
            </w:r>
          </w:p>
        </w:tc>
        <w:tc>
          <w:tcPr>
            <w:tcW w:w="1600" w:type="dxa"/>
          </w:tcPr>
          <w:p w14:paraId="6FFDAA76" w14:textId="77777777" w:rsidR="00236E73" w:rsidRDefault="00000000">
            <w:r>
              <w:rPr>
                <w:sz w:val="17"/>
              </w:rPr>
              <w:t>739</w:t>
            </w:r>
          </w:p>
        </w:tc>
        <w:tc>
          <w:tcPr>
            <w:tcW w:w="1412" w:type="dxa"/>
          </w:tcPr>
          <w:p w14:paraId="71815FFC" w14:textId="77777777" w:rsidR="00236E73" w:rsidRDefault="00000000">
            <w:r>
              <w:rPr>
                <w:sz w:val="17"/>
              </w:rPr>
              <w:t>13,8 %</w:t>
            </w:r>
          </w:p>
        </w:tc>
        <w:tc>
          <w:tcPr>
            <w:tcW w:w="2823" w:type="dxa"/>
          </w:tcPr>
          <w:p w14:paraId="0B4C2EC7" w14:textId="77777777" w:rsidR="00236E73" w:rsidRDefault="00000000">
            <w:r>
              <w:rPr>
                <w:sz w:val="17"/>
              </w:rPr>
              <w:t>28</w:t>
            </w:r>
          </w:p>
        </w:tc>
      </w:tr>
      <w:tr w:rsidR="00236E73" w14:paraId="02AC1AD6" w14:textId="77777777">
        <w:trPr>
          <w:jc w:val="center"/>
        </w:trPr>
        <w:tc>
          <w:tcPr>
            <w:tcW w:w="376" w:type="dxa"/>
          </w:tcPr>
          <w:p w14:paraId="36325C7C" w14:textId="77777777" w:rsidR="00236E73" w:rsidRDefault="00000000">
            <w:r>
              <w:rPr>
                <w:sz w:val="17"/>
              </w:rPr>
              <w:t>7</w:t>
            </w:r>
          </w:p>
        </w:tc>
        <w:tc>
          <w:tcPr>
            <w:tcW w:w="2541" w:type="dxa"/>
          </w:tcPr>
          <w:p w14:paraId="4512C65B" w14:textId="77777777" w:rsidR="00236E73" w:rsidRDefault="00000000">
            <w:r>
              <w:rPr>
                <w:sz w:val="17"/>
              </w:rPr>
              <w:t>Crédit Mutuel</w:t>
            </w:r>
          </w:p>
        </w:tc>
        <w:tc>
          <w:tcPr>
            <w:tcW w:w="659" w:type="dxa"/>
          </w:tcPr>
          <w:p w14:paraId="7C506B92" w14:textId="77777777" w:rsidR="00236E73" w:rsidRDefault="00000000">
            <w:r>
              <w:rPr>
                <w:sz w:val="17"/>
              </w:rPr>
              <w:t>FR</w:t>
            </w:r>
          </w:p>
        </w:tc>
        <w:tc>
          <w:tcPr>
            <w:tcW w:w="1600" w:type="dxa"/>
          </w:tcPr>
          <w:p w14:paraId="343BAA10" w14:textId="77777777" w:rsidR="00236E73" w:rsidRDefault="00000000">
            <w:r>
              <w:rPr>
                <w:sz w:val="17"/>
              </w:rPr>
              <w:t>627</w:t>
            </w:r>
          </w:p>
        </w:tc>
        <w:tc>
          <w:tcPr>
            <w:tcW w:w="1412" w:type="dxa"/>
          </w:tcPr>
          <w:p w14:paraId="6FF8028C" w14:textId="77777777" w:rsidR="00236E73" w:rsidRDefault="00000000">
            <w:r>
              <w:rPr>
                <w:sz w:val="17"/>
              </w:rPr>
              <w:t>19,4 %</w:t>
            </w:r>
          </w:p>
        </w:tc>
        <w:tc>
          <w:tcPr>
            <w:tcW w:w="2823" w:type="dxa"/>
          </w:tcPr>
          <w:p w14:paraId="1886B3CA" w14:textId="77777777" w:rsidR="00236E73" w:rsidRDefault="00000000">
            <w:r>
              <w:rPr>
                <w:sz w:val="17"/>
              </w:rPr>
              <w:t>19 ³</w:t>
            </w:r>
          </w:p>
        </w:tc>
      </w:tr>
      <w:tr w:rsidR="00236E73" w14:paraId="50EE810D" w14:textId="77777777">
        <w:trPr>
          <w:jc w:val="center"/>
        </w:trPr>
        <w:tc>
          <w:tcPr>
            <w:tcW w:w="376" w:type="dxa"/>
          </w:tcPr>
          <w:p w14:paraId="1F8E3E0A" w14:textId="77777777" w:rsidR="00236E73" w:rsidRDefault="00000000">
            <w:r>
              <w:rPr>
                <w:sz w:val="17"/>
              </w:rPr>
              <w:t>8</w:t>
            </w:r>
          </w:p>
        </w:tc>
        <w:tc>
          <w:tcPr>
            <w:tcW w:w="2541" w:type="dxa"/>
          </w:tcPr>
          <w:p w14:paraId="2EEEC540" w14:textId="77777777" w:rsidR="00236E73" w:rsidRDefault="00000000">
            <w:r>
              <w:rPr>
                <w:sz w:val="17"/>
              </w:rPr>
              <w:t>Banco Santander</w:t>
            </w:r>
          </w:p>
        </w:tc>
        <w:tc>
          <w:tcPr>
            <w:tcW w:w="659" w:type="dxa"/>
          </w:tcPr>
          <w:p w14:paraId="1911FAE6" w14:textId="77777777" w:rsidR="00236E73" w:rsidRDefault="00000000">
            <w:r>
              <w:rPr>
                <w:sz w:val="17"/>
              </w:rPr>
              <w:t>ES</w:t>
            </w:r>
          </w:p>
        </w:tc>
        <w:tc>
          <w:tcPr>
            <w:tcW w:w="1600" w:type="dxa"/>
          </w:tcPr>
          <w:p w14:paraId="61D30A71" w14:textId="77777777" w:rsidR="00236E73" w:rsidRDefault="00000000">
            <w:r>
              <w:rPr>
                <w:sz w:val="17"/>
              </w:rPr>
              <w:t>595</w:t>
            </w:r>
          </w:p>
        </w:tc>
        <w:tc>
          <w:tcPr>
            <w:tcW w:w="1412" w:type="dxa"/>
          </w:tcPr>
          <w:p w14:paraId="7844766D" w14:textId="77777777" w:rsidR="00236E73" w:rsidRDefault="00000000">
            <w:r>
              <w:rPr>
                <w:sz w:val="17"/>
              </w:rPr>
              <w:t>12,8 %</w:t>
            </w:r>
          </w:p>
        </w:tc>
        <w:tc>
          <w:tcPr>
            <w:tcW w:w="2823" w:type="dxa"/>
          </w:tcPr>
          <w:p w14:paraId="75802A95" w14:textId="77777777" w:rsidR="00236E73" w:rsidRDefault="00000000">
            <w:r>
              <w:rPr>
                <w:sz w:val="17"/>
              </w:rPr>
              <w:t>24</w:t>
            </w:r>
          </w:p>
        </w:tc>
      </w:tr>
      <w:tr w:rsidR="00236E73" w14:paraId="47CF0DD8" w14:textId="77777777">
        <w:trPr>
          <w:jc w:val="center"/>
        </w:trPr>
        <w:tc>
          <w:tcPr>
            <w:tcW w:w="376" w:type="dxa"/>
          </w:tcPr>
          <w:p w14:paraId="68D9B15A" w14:textId="77777777" w:rsidR="00236E73" w:rsidRDefault="00000000">
            <w:r>
              <w:rPr>
                <w:sz w:val="17"/>
              </w:rPr>
              <w:t>9</w:t>
            </w:r>
          </w:p>
        </w:tc>
        <w:tc>
          <w:tcPr>
            <w:tcW w:w="2541" w:type="dxa"/>
          </w:tcPr>
          <w:p w14:paraId="0275BD8A" w14:textId="77777777" w:rsidR="00236E73" w:rsidRDefault="00000000">
            <w:r>
              <w:rPr>
                <w:sz w:val="17"/>
              </w:rPr>
              <w:t>Coöperatieve Rabobank</w:t>
            </w:r>
          </w:p>
        </w:tc>
        <w:tc>
          <w:tcPr>
            <w:tcW w:w="659" w:type="dxa"/>
          </w:tcPr>
          <w:p w14:paraId="79F50390" w14:textId="77777777" w:rsidR="00236E73" w:rsidRDefault="00000000">
            <w:r>
              <w:rPr>
                <w:sz w:val="17"/>
              </w:rPr>
              <w:t>NL</w:t>
            </w:r>
          </w:p>
        </w:tc>
        <w:tc>
          <w:tcPr>
            <w:tcW w:w="1600" w:type="dxa"/>
          </w:tcPr>
          <w:p w14:paraId="4796A081" w14:textId="77777777" w:rsidR="00236E73" w:rsidRDefault="00000000">
            <w:r>
              <w:rPr>
                <w:sz w:val="17"/>
              </w:rPr>
              <w:t>469</w:t>
            </w:r>
          </w:p>
        </w:tc>
        <w:tc>
          <w:tcPr>
            <w:tcW w:w="1412" w:type="dxa"/>
          </w:tcPr>
          <w:p w14:paraId="789842B6" w14:textId="77777777" w:rsidR="00236E73" w:rsidRDefault="00000000">
            <w:r>
              <w:rPr>
                <w:sz w:val="17"/>
              </w:rPr>
              <w:t>16,9 %</w:t>
            </w:r>
          </w:p>
        </w:tc>
        <w:tc>
          <w:tcPr>
            <w:tcW w:w="2823" w:type="dxa"/>
          </w:tcPr>
          <w:p w14:paraId="044435C2" w14:textId="77777777" w:rsidR="00236E73" w:rsidRDefault="00000000">
            <w:r>
              <w:rPr>
                <w:sz w:val="17"/>
              </w:rPr>
              <w:t>24</w:t>
            </w:r>
          </w:p>
        </w:tc>
      </w:tr>
      <w:tr w:rsidR="00236E73" w14:paraId="2F5407B8" w14:textId="77777777">
        <w:trPr>
          <w:jc w:val="center"/>
        </w:trPr>
        <w:tc>
          <w:tcPr>
            <w:tcW w:w="376" w:type="dxa"/>
          </w:tcPr>
          <w:p w14:paraId="6D530469" w14:textId="77777777" w:rsidR="00236E73" w:rsidRDefault="00000000">
            <w:r>
              <w:rPr>
                <w:sz w:val="17"/>
              </w:rPr>
              <w:t>10</w:t>
            </w:r>
          </w:p>
        </w:tc>
        <w:tc>
          <w:tcPr>
            <w:tcW w:w="2541" w:type="dxa"/>
          </w:tcPr>
          <w:p w14:paraId="24DD3465" w14:textId="77777777" w:rsidR="00236E73" w:rsidRDefault="00000000">
            <w:r>
              <w:rPr>
                <w:sz w:val="17"/>
              </w:rPr>
              <w:t>UniCredit</w:t>
            </w:r>
          </w:p>
        </w:tc>
        <w:tc>
          <w:tcPr>
            <w:tcW w:w="659" w:type="dxa"/>
          </w:tcPr>
          <w:p w14:paraId="552FD118" w14:textId="77777777" w:rsidR="00236E73" w:rsidRDefault="00000000">
            <w:r>
              <w:rPr>
                <w:sz w:val="17"/>
              </w:rPr>
              <w:t>IT</w:t>
            </w:r>
          </w:p>
        </w:tc>
        <w:tc>
          <w:tcPr>
            <w:tcW w:w="1600" w:type="dxa"/>
          </w:tcPr>
          <w:p w14:paraId="26756DB9" w14:textId="77777777" w:rsidR="00236E73" w:rsidRDefault="00000000">
            <w:r>
              <w:rPr>
                <w:sz w:val="17"/>
              </w:rPr>
              <w:t>409</w:t>
            </w:r>
          </w:p>
        </w:tc>
        <w:tc>
          <w:tcPr>
            <w:tcW w:w="1412" w:type="dxa"/>
          </w:tcPr>
          <w:p w14:paraId="01FF0A2F" w14:textId="77777777" w:rsidR="00236E73" w:rsidRDefault="00000000">
            <w:r>
              <w:rPr>
                <w:sz w:val="17"/>
              </w:rPr>
              <w:t>16,0 %</w:t>
            </w:r>
          </w:p>
        </w:tc>
        <w:tc>
          <w:tcPr>
            <w:tcW w:w="2823" w:type="dxa"/>
          </w:tcPr>
          <w:p w14:paraId="3036547D" w14:textId="77777777" w:rsidR="00236E73" w:rsidRDefault="00000000">
            <w:r>
              <w:rPr>
                <w:sz w:val="17"/>
              </w:rPr>
              <w:t>24</w:t>
            </w:r>
          </w:p>
        </w:tc>
      </w:tr>
    </w:tbl>
    <w:p w14:paraId="45B8F330" w14:textId="77777777" w:rsidR="00236E73" w:rsidRDefault="00236E73">
      <w:pPr>
        <w:spacing w:after="80"/>
      </w:pPr>
    </w:p>
    <w:p w14:paraId="63564E01" w14:textId="77777777" w:rsidR="00236E73" w:rsidRPr="003E30B6" w:rsidRDefault="00000000">
      <w:pPr>
        <w:rPr>
          <w:lang w:val="de-DE"/>
        </w:rPr>
      </w:pPr>
      <w:r w:rsidRPr="003E30B6">
        <w:rPr>
          <w:i/>
          <w:sz w:val="17"/>
          <w:lang w:val="de-DE"/>
        </w:rPr>
        <w:t xml:space="preserve">¹ Live-Universum auf Gruppenebene (LEI FR969500TJ5KRTCJQWXH); die Backtest-Reihe läuft auf der börsennotierten </w:t>
      </w:r>
      <w:r w:rsidRPr="003E30B6">
        <w:rPr>
          <w:b/>
          <w:i/>
          <w:sz w:val="17"/>
          <w:lang w:val="de-DE"/>
        </w:rPr>
        <w:t>Crédit Agricole S.A.</w:t>
      </w:r>
      <w:r w:rsidRPr="003E30B6">
        <w:rPr>
          <w:i/>
          <w:sz w:val="17"/>
          <w:lang w:val="de-DE"/>
        </w:rPr>
        <w:t xml:space="preserve"> (LEI F0HUI1NY1AZMJMD8LP67, CET1 18,8 %) - der Ebene des EBA-Transparency-Kapitalpanels. * (+1) = eine zusätzliche quellenbelegte, aber modell-ausgeschlossene Audit-Zeile (`include_in_backtest = 0`, siehe unten). ² inkl. der ING-spezifischen Zusatzklasse mortgage_sme; kein QRRE-/Sovereign-A-IRB im Meldeumfang. ³ dünnster Meldeumfang (5 Klassen); enthält die einzige offene Zelle (corporate 2021). Summe genutzter Backtest-Zeilen: </w:t>
      </w:r>
      <w:r w:rsidRPr="003E30B6">
        <w:rPr>
          <w:b/>
          <w:i/>
          <w:sz w:val="17"/>
          <w:lang w:val="de-DE"/>
        </w:rPr>
        <w:t>253</w:t>
      </w:r>
      <w:r w:rsidRPr="003E30B6">
        <w:rPr>
          <w:i/>
          <w:sz w:val="17"/>
          <w:lang w:val="de-DE"/>
        </w:rPr>
        <w:t>.</w:t>
      </w:r>
    </w:p>
    <w:p w14:paraId="00FB66D7" w14:textId="77777777" w:rsidR="00236E73" w:rsidRPr="003E30B6" w:rsidRDefault="00000000">
      <w:pPr>
        <w:pStyle w:val="Heading2"/>
        <w:rPr>
          <w:lang w:val="de-DE"/>
        </w:rPr>
      </w:pPr>
      <w:r w:rsidRPr="003E30B6">
        <w:rPr>
          <w:lang w:val="de-DE"/>
        </w:rPr>
        <w:lastRenderedPageBreak/>
        <w:t>Live-Snapshot (Cockpit)</w:t>
      </w:r>
    </w:p>
    <w:p w14:paraId="47A4FDDA" w14:textId="77777777" w:rsidR="00236E73" w:rsidRPr="003E30B6" w:rsidRDefault="00000000">
      <w:pPr>
        <w:rPr>
          <w:lang w:val="de-DE"/>
        </w:rPr>
      </w:pPr>
      <w:r w:rsidRPr="003E30B6">
        <w:rPr>
          <w:b/>
          <w:lang w:val="de-DE"/>
        </w:rPr>
        <w:t>70 Parameter-Zeilen</w:t>
      </w:r>
      <w:r w:rsidRPr="003E30B6">
        <w:rPr>
          <w:lang w:val="de-DE"/>
        </w:rPr>
        <w:t xml:space="preserve"> = 10 Banken × 7 IRB-Klassen zum einheitlichen Stichtag </w:t>
      </w:r>
      <w:r w:rsidRPr="003E30B6">
        <w:rPr>
          <w:b/>
          <w:lang w:val="de-DE"/>
        </w:rPr>
        <w:t>31.12.2024</w:t>
      </w:r>
      <w:r w:rsidRPr="003E30B6">
        <w:rPr>
          <w:lang w:val="de-DE"/>
        </w:rPr>
        <w:t>; 69 der 70 Zeilen tragen PD/LGD-Werte direkt aus dem EU-CR6-Sub-total des jeweiligen Pillar-3-Reports mit Seiten- und URL-Beleg (Konfidenzklasse [published]). Die 70. Zeile - Santander-Sovereign - ist ein dokumentierter Platzhalter ohne IRB-Parameter, weil Santander Staaten regulatorisch im Standardansatz führt (im Sovereign-MtM-Kanal, Abschnitt 4, ist Santander dennoch vollständig enthalten).</w:t>
      </w:r>
    </w:p>
    <w:p w14:paraId="1FAB736F" w14:textId="77777777" w:rsidR="00236E73" w:rsidRPr="003E30B6" w:rsidRDefault="00000000">
      <w:pPr>
        <w:pStyle w:val="Heading2"/>
        <w:rPr>
          <w:lang w:val="de-DE"/>
        </w:rPr>
      </w:pPr>
      <w:r w:rsidRPr="003E30B6">
        <w:rPr>
          <w:lang w:val="de-DE"/>
        </w:rPr>
        <w:t>Historische Backtest-Reihe</w:t>
      </w:r>
    </w:p>
    <w:p w14:paraId="0F782319" w14:textId="77777777" w:rsidR="00236E73" w:rsidRPr="003E30B6" w:rsidRDefault="00000000">
      <w:pPr>
        <w:rPr>
          <w:lang w:val="de-DE"/>
        </w:rPr>
      </w:pPr>
      <w:r w:rsidRPr="003E30B6">
        <w:rPr>
          <w:lang w:val="de-DE"/>
        </w:rPr>
        <w:t xml:space="preserve">Für die Validierung existiert eine eigene Roh-Reihe: </w:t>
      </w:r>
      <w:r w:rsidRPr="003E30B6">
        <w:rPr>
          <w:b/>
          <w:lang w:val="de-DE"/>
        </w:rPr>
        <w:t>10 Banken × FY2021–FY2024, 255 quellenbelegte Datenpunkte</w:t>
      </w:r>
      <w:r w:rsidRPr="003E30B6">
        <w:rPr>
          <w:lang w:val="de-DE"/>
        </w:rPr>
        <w:t xml:space="preserve"> (PD, LGD und EAD je Klasse aus derselben Report-Vintage). Das entspricht </w:t>
      </w:r>
      <w:r w:rsidRPr="003E30B6">
        <w:rPr>
          <w:b/>
          <w:lang w:val="de-DE"/>
        </w:rPr>
        <w:t>99,6 % Abdeckung relativ zum bank-eigenen Meldeumfang</w:t>
      </w:r>
      <w:r w:rsidRPr="003E30B6">
        <w:rPr>
          <w:lang w:val="de-DE"/>
        </w:rPr>
        <w:t xml:space="preserve"> (255 von 256 gemeldeten Zellen) - Klassen, die eine Bank gar nicht im A-IRB führt, zählen nicht als Lücke. Davon sind </w:t>
      </w:r>
      <w:r w:rsidRPr="003E30B6">
        <w:rPr>
          <w:b/>
          <w:lang w:val="de-DE"/>
        </w:rPr>
        <w:t>253 Zeilen modellfähig</w:t>
      </w:r>
      <w:r w:rsidRPr="003E30B6">
        <w:rPr>
          <w:lang w:val="de-DE"/>
        </w:rPr>
        <w:t>; zwei quellenbelegte Sonderfälle bleiben für Audit und Abdeckung sichtbar, werden aber wegen Quellen-/Perimeterproblemen nicht in die Modellrechnung eingespeist (`include_in_backtest = 0`). Die einzige verbleibende Quellgrenze ist Credit Mutuel Corporate 2021: kein Wert wird aus RWA oder Nachbarjahren abgeleitet.</w:t>
      </w:r>
    </w:p>
    <w:p w14:paraId="0EE72B49" w14:textId="77777777" w:rsidR="00236E73" w:rsidRDefault="00000000">
      <w:pPr>
        <w:pStyle w:val="Heading2"/>
      </w:pPr>
      <w:r>
        <w:t>Vier Integritäts-Sicherungen je Datenpunkt</w:t>
      </w:r>
    </w:p>
    <w:p w14:paraId="557441A5" w14:textId="77777777" w:rsidR="00236E73" w:rsidRPr="003E30B6" w:rsidRDefault="00000000">
      <w:pPr>
        <w:pStyle w:val="ListBullet"/>
        <w:rPr>
          <w:lang w:val="de-DE"/>
        </w:rPr>
      </w:pPr>
      <w:r w:rsidRPr="003E30B6">
        <w:rPr>
          <w:b/>
          <w:lang w:val="de-DE"/>
        </w:rPr>
        <w:t>Kalibrier-Anker:</w:t>
      </w:r>
      <w:r w:rsidRPr="003E30B6">
        <w:rPr>
          <w:lang w:val="de-DE"/>
        </w:rPr>
        <w:t xml:space="preserve"> Jeder Extraktions-Parser muss zunächst alle hand-verifizierten 2024-Werte exakt reproduzieren, bevor Vorjahre gelesen werden.</w:t>
      </w:r>
    </w:p>
    <w:p w14:paraId="680744A2" w14:textId="77777777" w:rsidR="00236E73" w:rsidRPr="003E30B6" w:rsidRDefault="00000000">
      <w:pPr>
        <w:pStyle w:val="ListBullet"/>
        <w:rPr>
          <w:lang w:val="de-DE"/>
        </w:rPr>
      </w:pPr>
      <w:r w:rsidRPr="003E30B6">
        <w:rPr>
          <w:b/>
          <w:lang w:val="de-DE"/>
        </w:rPr>
        <w:t>Dichte-Cross-Check:</w:t>
      </w:r>
      <w:r w:rsidRPr="003E30B6">
        <w:rPr>
          <w:lang w:val="de-DE"/>
        </w:rPr>
        <w:t xml:space="preserve"> RWA ÷ EAD jeder Zeile muss die im Report ausgewiesene RWA-Dichte treffen.</w:t>
      </w:r>
    </w:p>
    <w:p w14:paraId="79E0F80E" w14:textId="77777777" w:rsidR="00236E73" w:rsidRPr="003E30B6" w:rsidRDefault="00000000">
      <w:pPr>
        <w:pStyle w:val="ListBullet"/>
        <w:rPr>
          <w:lang w:val="de-DE"/>
        </w:rPr>
      </w:pPr>
      <w:r w:rsidRPr="003E30B6">
        <w:rPr>
          <w:b/>
          <w:lang w:val="de-DE"/>
        </w:rPr>
        <w:t>EAD-Kontinuität:</w:t>
      </w:r>
      <w:r w:rsidRPr="003E30B6">
        <w:rPr>
          <w:lang w:val="de-DE"/>
        </w:rPr>
        <w:t xml:space="preserve"> Sprünge der Exposure-Reihe über die Jahre werden gegen den Report geprüft (echte Effekte wie IRB→SA-Umstellung werden dokumentiert, Ausreißer verworfen).</w:t>
      </w:r>
    </w:p>
    <w:p w14:paraId="46991EEE" w14:textId="77777777" w:rsidR="00236E73" w:rsidRPr="003E30B6" w:rsidRDefault="00000000">
      <w:pPr>
        <w:pStyle w:val="ListBullet"/>
        <w:rPr>
          <w:lang w:val="de-DE"/>
        </w:rPr>
      </w:pPr>
      <w:r w:rsidRPr="003E30B6">
        <w:rPr>
          <w:b/>
          <w:lang w:val="de-DE"/>
        </w:rPr>
        <w:t>Adversariale Quellprüfung:</w:t>
      </w:r>
      <w:r w:rsidRPr="003E30B6">
        <w:rPr>
          <w:lang w:val="de-DE"/>
        </w:rPr>
        <w:t xml:space="preserve"> Ein unabhängiger Prüfdurchlauf je Bank gegen die Quell-PDFs (protokolliert in tools/pillar3_backfill/VERIFICATION_REPORT.json).</w:t>
      </w:r>
    </w:p>
    <w:p w14:paraId="7B447563" w14:textId="77777777" w:rsidR="00236E73" w:rsidRPr="003E30B6" w:rsidRDefault="00000000">
      <w:pPr>
        <w:pStyle w:val="Heading1"/>
        <w:rPr>
          <w:lang w:val="de-DE"/>
        </w:rPr>
      </w:pPr>
      <w:r w:rsidRPr="003E30B6">
        <w:rPr>
          <w:lang w:val="de-DE"/>
        </w:rPr>
        <w:t>6. Annahmenübersicht (A-01 bis A-10)</w:t>
      </w:r>
    </w:p>
    <w:p w14:paraId="0C584A82" w14:textId="77777777" w:rsidR="00236E73" w:rsidRPr="003E30B6" w:rsidRDefault="00000000">
      <w:pPr>
        <w:rPr>
          <w:lang w:val="de-DE"/>
        </w:rPr>
      </w:pPr>
      <w:r w:rsidRPr="003E30B6">
        <w:rPr>
          <w:lang w:val="de-DE"/>
        </w:rPr>
        <w:t xml:space="preserve">Jede Annahme trägt eine Konfidenzklasse: </w:t>
      </w:r>
      <w:r w:rsidRPr="003E30B6">
        <w:rPr>
          <w:b/>
          <w:lang w:val="de-DE"/>
        </w:rPr>
        <w:t>[published]</w:t>
      </w:r>
      <w:r w:rsidRPr="003E30B6">
        <w:rPr>
          <w:lang w:val="de-DE"/>
        </w:rPr>
        <w:t xml:space="preserve"> = veröffentlichte Messung; </w:t>
      </w:r>
      <w:r w:rsidRPr="003E30B6">
        <w:rPr>
          <w:b/>
          <w:lang w:val="de-DE"/>
        </w:rPr>
        <w:t>[estimate]</w:t>
      </w:r>
      <w:r w:rsidRPr="003E30B6">
        <w:rPr>
          <w:lang w:val="de-DE"/>
        </w:rPr>
        <w:t xml:space="preserve"> = belegte Schätzung; </w:t>
      </w:r>
      <w:r w:rsidRPr="003E30B6">
        <w:rPr>
          <w:b/>
          <w:lang w:val="de-DE"/>
        </w:rPr>
        <w:t>[approximation]</w:t>
      </w:r>
      <w:r w:rsidRPr="003E30B6">
        <w:rPr>
          <w:lang w:val="de-DE"/>
        </w:rPr>
        <w:t xml:space="preserve"> = strukturelle Vereinfachung; </w:t>
      </w:r>
      <w:r w:rsidRPr="003E30B6">
        <w:rPr>
          <w:b/>
          <w:lang w:val="de-DE"/>
        </w:rPr>
        <w:t>[assumption]</w:t>
      </w:r>
      <w:r w:rsidRPr="003E30B6">
        <w:rPr>
          <w:lang w:val="de-DE"/>
        </w:rPr>
        <w:t xml:space="preserve"> = gesetzte Konvention. Die Tabelle gibt den Überblick; darunter wird jede Annahme einzeln begründet - inklusive der verworfenen Alternative und der Wirkung einer Fehlspezifikation.</w:t>
      </w:r>
    </w:p>
    <w:p w14:paraId="322F144D" w14:textId="77777777" w:rsidR="00236E73" w:rsidRPr="003E30B6" w:rsidRDefault="00000000">
      <w:pPr>
        <w:rPr>
          <w:lang w:val="de-DE"/>
        </w:rPr>
      </w:pPr>
      <w:r w:rsidRPr="003E30B6">
        <w:rPr>
          <w:lang w:val="de-DE"/>
        </w:rPr>
        <w:t>Leselogik: Eine Annahme ist hier nicht automatisch eine frei gesetzte Zahl. Viele Einträge sind bewusst als [published] klassifiziert, weil sie direkt aus Offenlegungen oder der CRR stammen. Kritisch sind vor allem die [estimate]- und [approximation]-Elemente: sie bestimmen, wie das Modell von beobachtbaren Marktschocks auf nicht direkt beobachtbare Stress-PD/LGD und Marktwertverluste schließt. Genau diese Punkte werden deshalb im Cockpit sichtbar gemacht, im Backtest sensitiviert und in Abschnitt 8 als Scope-Grenzen eingeordnet.</w:t>
      </w:r>
    </w:p>
    <w:tbl>
      <w:tblPr>
        <w:tblStyle w:val="TableGrid"/>
        <w:tblW w:w="0" w:type="auto"/>
        <w:jc w:val="center"/>
        <w:tblLook w:val="04A0" w:firstRow="1" w:lastRow="0" w:firstColumn="1" w:lastColumn="0" w:noHBand="0" w:noVBand="1"/>
      </w:tblPr>
      <w:tblGrid>
        <w:gridCol w:w="2259"/>
        <w:gridCol w:w="4988"/>
        <w:gridCol w:w="2165"/>
      </w:tblGrid>
      <w:tr w:rsidR="00236E73" w14:paraId="1721BF5E" w14:textId="77777777">
        <w:trPr>
          <w:jc w:val="center"/>
        </w:trPr>
        <w:tc>
          <w:tcPr>
            <w:tcW w:w="2259" w:type="dxa"/>
            <w:shd w:val="clear" w:color="auto" w:fill="D9E4EC"/>
          </w:tcPr>
          <w:p w14:paraId="532A94DB" w14:textId="77777777" w:rsidR="00236E73" w:rsidRDefault="00000000">
            <w:r>
              <w:rPr>
                <w:b/>
                <w:sz w:val="16"/>
              </w:rPr>
              <w:t>Prüffeld</w:t>
            </w:r>
          </w:p>
        </w:tc>
        <w:tc>
          <w:tcPr>
            <w:tcW w:w="4988" w:type="dxa"/>
            <w:shd w:val="clear" w:color="auto" w:fill="D9E4EC"/>
          </w:tcPr>
          <w:p w14:paraId="239D68F5" w14:textId="77777777" w:rsidR="00236E73" w:rsidRDefault="00000000">
            <w:r>
              <w:rPr>
                <w:b/>
                <w:sz w:val="16"/>
              </w:rPr>
              <w:t>Explizit dokumentierte Annahme / Festlegung</w:t>
            </w:r>
          </w:p>
        </w:tc>
        <w:tc>
          <w:tcPr>
            <w:tcW w:w="2165" w:type="dxa"/>
            <w:shd w:val="clear" w:color="auto" w:fill="D9E4EC"/>
          </w:tcPr>
          <w:p w14:paraId="68D038D9" w14:textId="77777777" w:rsidR="00236E73" w:rsidRDefault="00000000">
            <w:r>
              <w:rPr>
                <w:b/>
                <w:sz w:val="16"/>
              </w:rPr>
              <w:t>Wo im Dokument?</w:t>
            </w:r>
          </w:p>
        </w:tc>
      </w:tr>
      <w:tr w:rsidR="00236E73" w14:paraId="5FBB3BEC" w14:textId="77777777">
        <w:trPr>
          <w:jc w:val="center"/>
        </w:trPr>
        <w:tc>
          <w:tcPr>
            <w:tcW w:w="2259" w:type="dxa"/>
          </w:tcPr>
          <w:p w14:paraId="04B72729" w14:textId="77777777" w:rsidR="00236E73" w:rsidRDefault="00000000">
            <w:r>
              <w:rPr>
                <w:sz w:val="16"/>
              </w:rPr>
              <w:t>Faktorwahl und Einheiten</w:t>
            </w:r>
          </w:p>
        </w:tc>
        <w:tc>
          <w:tcPr>
            <w:tcW w:w="4988" w:type="dxa"/>
          </w:tcPr>
          <w:p w14:paraId="0165F13E" w14:textId="77777777" w:rsidR="00236E73" w:rsidRPr="003E30B6" w:rsidRDefault="00000000">
            <w:pPr>
              <w:rPr>
                <w:lang w:val="de-DE"/>
              </w:rPr>
            </w:pPr>
            <w:r w:rsidRPr="003E30B6">
              <w:rPr>
                <w:sz w:val="16"/>
                <w:lang w:val="de-DE"/>
              </w:rPr>
              <w:t>Brent als europäisch relevanter Energiepreis-Proxy; Log-Return ln(P_t/P_0); 10-Jahres-Zins in Prozentpunkten</w:t>
            </w:r>
          </w:p>
        </w:tc>
        <w:tc>
          <w:tcPr>
            <w:tcW w:w="2165" w:type="dxa"/>
          </w:tcPr>
          <w:p w14:paraId="3EE4847B" w14:textId="77777777" w:rsidR="00236E73" w:rsidRDefault="00000000">
            <w:r>
              <w:rPr>
                <w:sz w:val="16"/>
              </w:rPr>
              <w:t>Abschnitt 2 / A-10</w:t>
            </w:r>
          </w:p>
        </w:tc>
      </w:tr>
      <w:tr w:rsidR="00236E73" w14:paraId="44DFD62B" w14:textId="77777777">
        <w:trPr>
          <w:jc w:val="center"/>
        </w:trPr>
        <w:tc>
          <w:tcPr>
            <w:tcW w:w="2259" w:type="dxa"/>
          </w:tcPr>
          <w:p w14:paraId="2CF6BEDA" w14:textId="77777777" w:rsidR="00236E73" w:rsidRDefault="00000000">
            <w:r>
              <w:rPr>
                <w:sz w:val="16"/>
              </w:rPr>
              <w:t>Risikoparameter</w:t>
            </w:r>
          </w:p>
        </w:tc>
        <w:tc>
          <w:tcPr>
            <w:tcW w:w="4988" w:type="dxa"/>
          </w:tcPr>
          <w:p w14:paraId="11047D2D" w14:textId="77777777" w:rsidR="00236E73" w:rsidRDefault="00000000">
            <w:r>
              <w:rPr>
                <w:sz w:val="16"/>
              </w:rPr>
              <w:t>PD, LGD und EAD aus bankindividuellen Pillar-3-EU-CR6-Zeilen; Backtest no-look-ahead mit historischen Vintages</w:t>
            </w:r>
          </w:p>
        </w:tc>
        <w:tc>
          <w:tcPr>
            <w:tcW w:w="2165" w:type="dxa"/>
          </w:tcPr>
          <w:p w14:paraId="7442E1DD" w14:textId="77777777" w:rsidR="00236E73" w:rsidRDefault="00000000">
            <w:r>
              <w:rPr>
                <w:sz w:val="16"/>
              </w:rPr>
              <w:t>Abschnitt 5 / A-01 bis A-03</w:t>
            </w:r>
          </w:p>
        </w:tc>
      </w:tr>
      <w:tr w:rsidR="00236E73" w14:paraId="7BEA0F8C" w14:textId="77777777">
        <w:trPr>
          <w:jc w:val="center"/>
        </w:trPr>
        <w:tc>
          <w:tcPr>
            <w:tcW w:w="2259" w:type="dxa"/>
          </w:tcPr>
          <w:p w14:paraId="5A280543" w14:textId="77777777" w:rsidR="00236E73" w:rsidRDefault="00000000">
            <w:r>
              <w:rPr>
                <w:sz w:val="16"/>
              </w:rPr>
              <w:t>Stress-Transmission</w:t>
            </w:r>
          </w:p>
        </w:tc>
        <w:tc>
          <w:tcPr>
            <w:tcW w:w="4988" w:type="dxa"/>
          </w:tcPr>
          <w:p w14:paraId="4C5ECCC8" w14:textId="77777777" w:rsidR="00236E73" w:rsidRPr="003E30B6" w:rsidRDefault="00000000">
            <w:pPr>
              <w:rPr>
                <w:lang w:val="de-DE"/>
              </w:rPr>
            </w:pPr>
            <w:r>
              <w:rPr>
                <w:sz w:val="16"/>
              </w:rPr>
              <w:t>β</w:t>
            </w:r>
            <w:r w:rsidRPr="003E30B6">
              <w:rPr>
                <w:sz w:val="16"/>
                <w:lang w:val="de-DE"/>
              </w:rPr>
              <w:t>/</w:t>
            </w:r>
            <w:r>
              <w:rPr>
                <w:sz w:val="16"/>
              </w:rPr>
              <w:t>γ</w:t>
            </w:r>
            <w:r w:rsidRPr="003E30B6">
              <w:rPr>
                <w:sz w:val="16"/>
                <w:lang w:val="de-DE"/>
              </w:rPr>
              <w:t xml:space="preserve"> je Exposure-Klasse, lineare Basiskalibrierung, Floors/Caps und ±50-%-Robustheitstest</w:t>
            </w:r>
          </w:p>
        </w:tc>
        <w:tc>
          <w:tcPr>
            <w:tcW w:w="2165" w:type="dxa"/>
          </w:tcPr>
          <w:p w14:paraId="6BE2EEA5" w14:textId="77777777" w:rsidR="00236E73" w:rsidRDefault="00000000">
            <w:r>
              <w:rPr>
                <w:sz w:val="16"/>
              </w:rPr>
              <w:t>Abschnitt 3 / A-04 / Abschnitt 7</w:t>
            </w:r>
          </w:p>
        </w:tc>
      </w:tr>
      <w:tr w:rsidR="00236E73" w14:paraId="3DFCF448" w14:textId="77777777">
        <w:trPr>
          <w:jc w:val="center"/>
        </w:trPr>
        <w:tc>
          <w:tcPr>
            <w:tcW w:w="2259" w:type="dxa"/>
          </w:tcPr>
          <w:p w14:paraId="5D63655E" w14:textId="77777777" w:rsidR="00236E73" w:rsidRDefault="00000000">
            <w:r>
              <w:rPr>
                <w:sz w:val="16"/>
              </w:rPr>
              <w:t>Regulatorische Kapitalformel</w:t>
            </w:r>
          </w:p>
        </w:tc>
        <w:tc>
          <w:tcPr>
            <w:tcW w:w="4988" w:type="dxa"/>
          </w:tcPr>
          <w:p w14:paraId="4934BC90" w14:textId="77777777" w:rsidR="00236E73" w:rsidRDefault="00000000">
            <w:r w:rsidRPr="003E30B6">
              <w:rPr>
                <w:sz w:val="16"/>
                <w:lang w:val="de-DE"/>
              </w:rPr>
              <w:t xml:space="preserve">Basel-IRB-ASRF; </w:t>
            </w:r>
            <w:r>
              <w:rPr>
                <w:sz w:val="16"/>
              </w:rPr>
              <w:t>ρ</w:t>
            </w:r>
            <w:r w:rsidRPr="003E30B6">
              <w:rPr>
                <w:sz w:val="16"/>
                <w:lang w:val="de-DE"/>
              </w:rPr>
              <w:t xml:space="preserve">, 99,9 %-Quantil und Faktor 12,5 regulatorisch vorgegeben; M = 2,5 Jahre und S = 20 Mio. </w:t>
            </w:r>
            <w:r>
              <w:rPr>
                <w:sz w:val="16"/>
              </w:rPr>
              <w:t>€ explizite Konventionen</w:t>
            </w:r>
          </w:p>
        </w:tc>
        <w:tc>
          <w:tcPr>
            <w:tcW w:w="2165" w:type="dxa"/>
          </w:tcPr>
          <w:p w14:paraId="0732ABFE" w14:textId="77777777" w:rsidR="00236E73" w:rsidRDefault="00000000">
            <w:r>
              <w:rPr>
                <w:sz w:val="16"/>
              </w:rPr>
              <w:t>Abschnitt 4 / A-05</w:t>
            </w:r>
          </w:p>
        </w:tc>
      </w:tr>
      <w:tr w:rsidR="00236E73" w14:paraId="420989F1" w14:textId="77777777">
        <w:trPr>
          <w:jc w:val="center"/>
        </w:trPr>
        <w:tc>
          <w:tcPr>
            <w:tcW w:w="2259" w:type="dxa"/>
          </w:tcPr>
          <w:p w14:paraId="2C345329" w14:textId="77777777" w:rsidR="00236E73" w:rsidRDefault="00000000">
            <w:r>
              <w:rPr>
                <w:sz w:val="16"/>
              </w:rPr>
              <w:lastRenderedPageBreak/>
              <w:t>Sovereign-Kanal</w:t>
            </w:r>
          </w:p>
        </w:tc>
        <w:tc>
          <w:tcPr>
            <w:tcW w:w="4988" w:type="dxa"/>
          </w:tcPr>
          <w:p w14:paraId="6E672009" w14:textId="77777777" w:rsidR="00236E73" w:rsidRPr="003E30B6" w:rsidRDefault="00000000">
            <w:pPr>
              <w:rPr>
                <w:lang w:val="de-DE"/>
              </w:rPr>
            </w:pPr>
            <w:r w:rsidRPr="003E30B6">
              <w:rPr>
                <w:sz w:val="16"/>
                <w:lang w:val="de-DE"/>
              </w:rPr>
              <w:t xml:space="preserve">Duration-MtM auf </w:t>
            </w:r>
            <w:r>
              <w:rPr>
                <w:sz w:val="16"/>
              </w:rPr>
              <w:t>Δ</w:t>
            </w:r>
            <w:r w:rsidRPr="003E30B6">
              <w:rPr>
                <w:sz w:val="16"/>
                <w:lang w:val="de-DE"/>
              </w:rPr>
              <w:t>r, Bucket-Midpoints, &gt;10Y mit 15 Jahren, CET1-Wirkung nur nach bankindividuellem IFRS-9-Split</w:t>
            </w:r>
          </w:p>
        </w:tc>
        <w:tc>
          <w:tcPr>
            <w:tcW w:w="2165" w:type="dxa"/>
          </w:tcPr>
          <w:p w14:paraId="0544F8CD" w14:textId="77777777" w:rsidR="00236E73" w:rsidRDefault="00000000">
            <w:r>
              <w:rPr>
                <w:sz w:val="16"/>
              </w:rPr>
              <w:t>Abschnitt 4 / A-06</w:t>
            </w:r>
          </w:p>
        </w:tc>
      </w:tr>
      <w:tr w:rsidR="00236E73" w14:paraId="3053319C" w14:textId="77777777">
        <w:trPr>
          <w:jc w:val="center"/>
        </w:trPr>
        <w:tc>
          <w:tcPr>
            <w:tcW w:w="2259" w:type="dxa"/>
          </w:tcPr>
          <w:p w14:paraId="02FDC89B" w14:textId="77777777" w:rsidR="00236E73" w:rsidRDefault="00000000">
            <w:r>
              <w:rPr>
                <w:sz w:val="16"/>
              </w:rPr>
              <w:t>Bewusste Nicht-Modellierung</w:t>
            </w:r>
          </w:p>
        </w:tc>
        <w:tc>
          <w:tcPr>
            <w:tcW w:w="4988" w:type="dxa"/>
          </w:tcPr>
          <w:p w14:paraId="5D05A4EB" w14:textId="77777777" w:rsidR="00236E73" w:rsidRDefault="00000000">
            <w:r>
              <w:rPr>
                <w:sz w:val="16"/>
              </w:rPr>
              <w:t>u. a. Operational Risk, CVA, Spread-Risiko, IFRS-9-Lifetime-EL, Hedging, Ertrags-Gegeneffekte und bankindividuelle β</w:t>
            </w:r>
          </w:p>
        </w:tc>
        <w:tc>
          <w:tcPr>
            <w:tcW w:w="2165" w:type="dxa"/>
          </w:tcPr>
          <w:p w14:paraId="3C94B792" w14:textId="77777777" w:rsidR="00236E73" w:rsidRDefault="00000000">
            <w:r>
              <w:rPr>
                <w:sz w:val="16"/>
              </w:rPr>
              <w:t>Abschnitt 8</w:t>
            </w:r>
          </w:p>
        </w:tc>
      </w:tr>
    </w:tbl>
    <w:p w14:paraId="02A2F1C9" w14:textId="77777777" w:rsidR="00236E73" w:rsidRDefault="00236E73">
      <w:pPr>
        <w:spacing w:after="80"/>
      </w:pPr>
    </w:p>
    <w:tbl>
      <w:tblPr>
        <w:tblStyle w:val="TableGrid"/>
        <w:tblW w:w="0" w:type="auto"/>
        <w:jc w:val="center"/>
        <w:tblLook w:val="04A0" w:firstRow="1" w:lastRow="0" w:firstColumn="1" w:lastColumn="0" w:noHBand="0" w:noVBand="1"/>
      </w:tblPr>
      <w:tblGrid>
        <w:gridCol w:w="659"/>
        <w:gridCol w:w="1600"/>
        <w:gridCol w:w="3764"/>
        <w:gridCol w:w="1284"/>
        <w:gridCol w:w="2259"/>
      </w:tblGrid>
      <w:tr w:rsidR="00236E73" w14:paraId="395D2DCB" w14:textId="77777777">
        <w:trPr>
          <w:jc w:val="center"/>
        </w:trPr>
        <w:tc>
          <w:tcPr>
            <w:tcW w:w="659" w:type="dxa"/>
            <w:shd w:val="clear" w:color="auto" w:fill="D9E4EC"/>
          </w:tcPr>
          <w:p w14:paraId="402263C4" w14:textId="77777777" w:rsidR="00236E73" w:rsidRDefault="00000000">
            <w:r>
              <w:rPr>
                <w:b/>
                <w:sz w:val="17"/>
              </w:rPr>
              <w:t>ID</w:t>
            </w:r>
          </w:p>
        </w:tc>
        <w:tc>
          <w:tcPr>
            <w:tcW w:w="1600" w:type="dxa"/>
            <w:shd w:val="clear" w:color="auto" w:fill="D9E4EC"/>
          </w:tcPr>
          <w:p w14:paraId="025A3572" w14:textId="77777777" w:rsidR="00236E73" w:rsidRDefault="00000000">
            <w:r>
              <w:rPr>
                <w:b/>
                <w:sz w:val="17"/>
              </w:rPr>
              <w:t>Annahme</w:t>
            </w:r>
          </w:p>
        </w:tc>
        <w:tc>
          <w:tcPr>
            <w:tcW w:w="3764" w:type="dxa"/>
            <w:shd w:val="clear" w:color="auto" w:fill="D9E4EC"/>
          </w:tcPr>
          <w:p w14:paraId="59C0F55C" w14:textId="77777777" w:rsidR="00236E73" w:rsidRDefault="00000000">
            <w:r>
              <w:rPr>
                <w:b/>
                <w:sz w:val="17"/>
              </w:rPr>
              <w:t>Festlegung im Modell</w:t>
            </w:r>
          </w:p>
        </w:tc>
        <w:tc>
          <w:tcPr>
            <w:tcW w:w="1129" w:type="dxa"/>
            <w:shd w:val="clear" w:color="auto" w:fill="D9E4EC"/>
          </w:tcPr>
          <w:p w14:paraId="5A91A4F0" w14:textId="77777777" w:rsidR="00236E73" w:rsidRDefault="00000000">
            <w:r>
              <w:rPr>
                <w:b/>
                <w:sz w:val="17"/>
              </w:rPr>
              <w:t>Klasse</w:t>
            </w:r>
          </w:p>
        </w:tc>
        <w:tc>
          <w:tcPr>
            <w:tcW w:w="2259" w:type="dxa"/>
            <w:shd w:val="clear" w:color="auto" w:fill="D9E4EC"/>
          </w:tcPr>
          <w:p w14:paraId="207165DA" w14:textId="77777777" w:rsidR="00236E73" w:rsidRDefault="00000000">
            <w:r>
              <w:rPr>
                <w:b/>
                <w:sz w:val="17"/>
              </w:rPr>
              <w:t>Quelle/Beleg</w:t>
            </w:r>
          </w:p>
        </w:tc>
      </w:tr>
      <w:tr w:rsidR="00236E73" w14:paraId="5D970E22" w14:textId="77777777">
        <w:trPr>
          <w:jc w:val="center"/>
        </w:trPr>
        <w:tc>
          <w:tcPr>
            <w:tcW w:w="659" w:type="dxa"/>
          </w:tcPr>
          <w:p w14:paraId="46B2972B" w14:textId="77777777" w:rsidR="00236E73" w:rsidRDefault="00000000">
            <w:r>
              <w:rPr>
                <w:sz w:val="17"/>
              </w:rPr>
              <w:t>A-01</w:t>
            </w:r>
          </w:p>
        </w:tc>
        <w:tc>
          <w:tcPr>
            <w:tcW w:w="1600" w:type="dxa"/>
          </w:tcPr>
          <w:p w14:paraId="4C5E1EF8" w14:textId="77777777" w:rsidR="00236E73" w:rsidRDefault="00000000">
            <w:r>
              <w:rPr>
                <w:sz w:val="17"/>
              </w:rPr>
              <w:t>PD-Quelle</w:t>
            </w:r>
          </w:p>
        </w:tc>
        <w:tc>
          <w:tcPr>
            <w:tcW w:w="3764" w:type="dxa"/>
          </w:tcPr>
          <w:p w14:paraId="51D6DB79" w14:textId="77777777" w:rsidR="00236E73" w:rsidRPr="003E30B6" w:rsidRDefault="00000000">
            <w:pPr>
              <w:rPr>
                <w:lang w:val="de-DE"/>
              </w:rPr>
            </w:pPr>
            <w:r w:rsidRPr="003E30B6">
              <w:rPr>
                <w:sz w:val="17"/>
                <w:lang w:val="de-DE"/>
              </w:rPr>
              <w:t>Pillar-3 EU-CR6-Sub-totals je Bank×Klasse, Stichtag 31.12.2024</w:t>
            </w:r>
          </w:p>
        </w:tc>
        <w:tc>
          <w:tcPr>
            <w:tcW w:w="1129" w:type="dxa"/>
          </w:tcPr>
          <w:p w14:paraId="3AAE8075" w14:textId="77777777" w:rsidR="00236E73" w:rsidRDefault="00000000">
            <w:r>
              <w:rPr>
                <w:sz w:val="17"/>
              </w:rPr>
              <w:t>published</w:t>
            </w:r>
          </w:p>
        </w:tc>
        <w:tc>
          <w:tcPr>
            <w:tcW w:w="2259" w:type="dxa"/>
          </w:tcPr>
          <w:p w14:paraId="5382D7A1" w14:textId="77777777" w:rsidR="00236E73" w:rsidRDefault="00000000">
            <w:r>
              <w:rPr>
                <w:sz w:val="17"/>
              </w:rPr>
              <w:t>EBA-ITS/2020/04; CRR Art. 431–455</w:t>
            </w:r>
          </w:p>
        </w:tc>
      </w:tr>
      <w:tr w:rsidR="00236E73" w14:paraId="6DC72E7D" w14:textId="77777777">
        <w:trPr>
          <w:jc w:val="center"/>
        </w:trPr>
        <w:tc>
          <w:tcPr>
            <w:tcW w:w="659" w:type="dxa"/>
          </w:tcPr>
          <w:p w14:paraId="0706159B" w14:textId="77777777" w:rsidR="00236E73" w:rsidRDefault="00000000">
            <w:r>
              <w:rPr>
                <w:sz w:val="17"/>
              </w:rPr>
              <w:t>A-02</w:t>
            </w:r>
          </w:p>
        </w:tc>
        <w:tc>
          <w:tcPr>
            <w:tcW w:w="1600" w:type="dxa"/>
          </w:tcPr>
          <w:p w14:paraId="0F779A54" w14:textId="77777777" w:rsidR="00236E73" w:rsidRDefault="00000000">
            <w:r>
              <w:rPr>
                <w:sz w:val="17"/>
              </w:rPr>
              <w:t>LGD-Quelle</w:t>
            </w:r>
          </w:p>
        </w:tc>
        <w:tc>
          <w:tcPr>
            <w:tcW w:w="3764" w:type="dxa"/>
          </w:tcPr>
          <w:p w14:paraId="7A6832C6" w14:textId="77777777" w:rsidR="00236E73" w:rsidRPr="003E30B6" w:rsidRDefault="00000000">
            <w:pPr>
              <w:rPr>
                <w:lang w:val="de-DE"/>
              </w:rPr>
            </w:pPr>
            <w:r w:rsidRPr="003E30B6">
              <w:rPr>
                <w:sz w:val="17"/>
                <w:lang w:val="de-DE"/>
              </w:rPr>
              <w:t>identisch A-01 (EU-CR6-LGD)</w:t>
            </w:r>
          </w:p>
        </w:tc>
        <w:tc>
          <w:tcPr>
            <w:tcW w:w="1129" w:type="dxa"/>
          </w:tcPr>
          <w:p w14:paraId="0A70C0DB" w14:textId="77777777" w:rsidR="00236E73" w:rsidRDefault="00000000">
            <w:r>
              <w:rPr>
                <w:sz w:val="17"/>
              </w:rPr>
              <w:t>published</w:t>
            </w:r>
          </w:p>
        </w:tc>
        <w:tc>
          <w:tcPr>
            <w:tcW w:w="2259" w:type="dxa"/>
          </w:tcPr>
          <w:p w14:paraId="22A34CD4" w14:textId="77777777" w:rsidR="00236E73" w:rsidRDefault="00000000">
            <w:r>
              <w:rPr>
                <w:sz w:val="17"/>
              </w:rPr>
              <w:t>wie A-01</w:t>
            </w:r>
          </w:p>
        </w:tc>
      </w:tr>
      <w:tr w:rsidR="00236E73" w14:paraId="0E21B585" w14:textId="77777777">
        <w:trPr>
          <w:jc w:val="center"/>
        </w:trPr>
        <w:tc>
          <w:tcPr>
            <w:tcW w:w="659" w:type="dxa"/>
          </w:tcPr>
          <w:p w14:paraId="0D4F6A93" w14:textId="77777777" w:rsidR="00236E73" w:rsidRDefault="00000000">
            <w:r>
              <w:rPr>
                <w:sz w:val="17"/>
              </w:rPr>
              <w:t>A-02c</w:t>
            </w:r>
          </w:p>
        </w:tc>
        <w:tc>
          <w:tcPr>
            <w:tcW w:w="1600" w:type="dxa"/>
          </w:tcPr>
          <w:p w14:paraId="3AB831F0" w14:textId="77777777" w:rsidR="00236E73" w:rsidRDefault="00000000">
            <w:r>
              <w:rPr>
                <w:sz w:val="17"/>
              </w:rPr>
              <w:t>Backtest-Zeitreihe</w:t>
            </w:r>
          </w:p>
        </w:tc>
        <w:tc>
          <w:tcPr>
            <w:tcW w:w="3764" w:type="dxa"/>
          </w:tcPr>
          <w:p w14:paraId="4760A84B" w14:textId="77777777" w:rsidR="00236E73" w:rsidRPr="003E30B6" w:rsidRDefault="00000000">
            <w:pPr>
              <w:rPr>
                <w:lang w:val="de-DE"/>
              </w:rPr>
            </w:pPr>
            <w:r w:rsidRPr="003E30B6">
              <w:rPr>
                <w:sz w:val="17"/>
                <w:lang w:val="de-DE"/>
              </w:rPr>
              <w:t>eigene Pillar-3-Roh-Reihe, 10 Banken × FY2021–2024 (255 Quellenzeilen, 253 modellfähig), strikt no-look-ahead</w:t>
            </w:r>
          </w:p>
        </w:tc>
        <w:tc>
          <w:tcPr>
            <w:tcW w:w="1129" w:type="dxa"/>
          </w:tcPr>
          <w:p w14:paraId="6225127F" w14:textId="77777777" w:rsidR="00236E73" w:rsidRDefault="00000000">
            <w:r>
              <w:rPr>
                <w:sz w:val="17"/>
              </w:rPr>
              <w:t>published</w:t>
            </w:r>
          </w:p>
        </w:tc>
        <w:tc>
          <w:tcPr>
            <w:tcW w:w="2259" w:type="dxa"/>
          </w:tcPr>
          <w:p w14:paraId="43437664" w14:textId="77777777" w:rsidR="00236E73" w:rsidRDefault="00000000">
            <w:r>
              <w:rPr>
                <w:sz w:val="17"/>
              </w:rPr>
              <w:t>Bank-Pillar-3-Reports FY2021–2024</w:t>
            </w:r>
          </w:p>
        </w:tc>
      </w:tr>
      <w:tr w:rsidR="00236E73" w14:paraId="754D1339" w14:textId="77777777">
        <w:trPr>
          <w:jc w:val="center"/>
        </w:trPr>
        <w:tc>
          <w:tcPr>
            <w:tcW w:w="659" w:type="dxa"/>
          </w:tcPr>
          <w:p w14:paraId="3E3D64F7" w14:textId="77777777" w:rsidR="00236E73" w:rsidRDefault="00000000">
            <w:r>
              <w:rPr>
                <w:sz w:val="17"/>
              </w:rPr>
              <w:t>A-03</w:t>
            </w:r>
          </w:p>
        </w:tc>
        <w:tc>
          <w:tcPr>
            <w:tcW w:w="1600" w:type="dxa"/>
          </w:tcPr>
          <w:p w14:paraId="545733AB" w14:textId="77777777" w:rsidR="00236E73" w:rsidRDefault="00000000">
            <w:r>
              <w:rPr>
                <w:sz w:val="17"/>
              </w:rPr>
              <w:t>EAD</w:t>
            </w:r>
          </w:p>
        </w:tc>
        <w:tc>
          <w:tcPr>
            <w:tcW w:w="3764" w:type="dxa"/>
          </w:tcPr>
          <w:p w14:paraId="3065FC17" w14:textId="77777777" w:rsidR="00236E73" w:rsidRDefault="00000000">
            <w:r>
              <w:rPr>
                <w:sz w:val="17"/>
              </w:rPr>
              <w:t>EBA-Transparency Item 2520522 (post-CCF)</w:t>
            </w:r>
          </w:p>
        </w:tc>
        <w:tc>
          <w:tcPr>
            <w:tcW w:w="1129" w:type="dxa"/>
          </w:tcPr>
          <w:p w14:paraId="5384D772" w14:textId="77777777" w:rsidR="00236E73" w:rsidRDefault="00000000">
            <w:r>
              <w:rPr>
                <w:sz w:val="17"/>
              </w:rPr>
              <w:t>published</w:t>
            </w:r>
          </w:p>
        </w:tc>
        <w:tc>
          <w:tcPr>
            <w:tcW w:w="2259" w:type="dxa"/>
          </w:tcPr>
          <w:p w14:paraId="2A4A0921" w14:textId="77777777" w:rsidR="00236E73" w:rsidRDefault="00000000">
            <w:r>
              <w:rPr>
                <w:sz w:val="17"/>
              </w:rPr>
              <w:t>EBA Transparency 2025</w:t>
            </w:r>
          </w:p>
        </w:tc>
      </w:tr>
      <w:tr w:rsidR="00236E73" w14:paraId="5C03A0A1" w14:textId="77777777">
        <w:trPr>
          <w:jc w:val="center"/>
        </w:trPr>
        <w:tc>
          <w:tcPr>
            <w:tcW w:w="659" w:type="dxa"/>
          </w:tcPr>
          <w:p w14:paraId="28E7628D" w14:textId="77777777" w:rsidR="00236E73" w:rsidRDefault="00000000">
            <w:r>
              <w:rPr>
                <w:sz w:val="17"/>
              </w:rPr>
              <w:t>A-04</w:t>
            </w:r>
          </w:p>
        </w:tc>
        <w:tc>
          <w:tcPr>
            <w:tcW w:w="1600" w:type="dxa"/>
          </w:tcPr>
          <w:p w14:paraId="4FBC83FA" w14:textId="77777777" w:rsidR="00236E73" w:rsidRDefault="00000000">
            <w:r>
              <w:rPr>
                <w:sz w:val="17"/>
              </w:rPr>
              <w:t>Stress-Transmission</w:t>
            </w:r>
          </w:p>
        </w:tc>
        <w:tc>
          <w:tcPr>
            <w:tcW w:w="3764" w:type="dxa"/>
          </w:tcPr>
          <w:p w14:paraId="0E1FF5F9" w14:textId="77777777" w:rsidR="00236E73" w:rsidRPr="003E30B6" w:rsidRDefault="00000000">
            <w:pPr>
              <w:rPr>
                <w:lang w:val="de-DE"/>
              </w:rPr>
            </w:pPr>
            <w:r w:rsidRPr="003E30B6">
              <w:rPr>
                <w:sz w:val="17"/>
                <w:lang w:val="de-DE"/>
              </w:rPr>
              <w:t>2-Faktor-</w:t>
            </w:r>
            <w:r>
              <w:rPr>
                <w:sz w:val="17"/>
              </w:rPr>
              <w:t>β</w:t>
            </w:r>
            <w:r w:rsidRPr="003E30B6">
              <w:rPr>
                <w:sz w:val="17"/>
                <w:lang w:val="de-DE"/>
              </w:rPr>
              <w:t>/</w:t>
            </w:r>
            <w:r>
              <w:rPr>
                <w:sz w:val="17"/>
              </w:rPr>
              <w:t>γ</w:t>
            </w:r>
            <w:r w:rsidRPr="003E30B6">
              <w:rPr>
                <w:sz w:val="17"/>
                <w:lang w:val="de-DE"/>
              </w:rPr>
              <w:t xml:space="preserve"> je Klasse (Abschnitt 3); PD-Floor 3 bp, Cap 50 %; LGD-Floor 5 %</w:t>
            </w:r>
          </w:p>
        </w:tc>
        <w:tc>
          <w:tcPr>
            <w:tcW w:w="1129" w:type="dxa"/>
          </w:tcPr>
          <w:p w14:paraId="7B2C175D" w14:textId="77777777" w:rsidR="00236E73" w:rsidRDefault="00000000">
            <w:r>
              <w:rPr>
                <w:sz w:val="17"/>
              </w:rPr>
              <w:t>estimate</w:t>
            </w:r>
          </w:p>
        </w:tc>
        <w:tc>
          <w:tcPr>
            <w:tcW w:w="2259" w:type="dxa"/>
          </w:tcPr>
          <w:p w14:paraId="658936AE" w14:textId="77777777" w:rsidR="00236E73" w:rsidRDefault="00000000">
            <w:r>
              <w:rPr>
                <w:sz w:val="17"/>
              </w:rPr>
              <w:t>EBA 2025 §2.4.2; ECB WP 2897/3112; FSR 5/2024</w:t>
            </w:r>
          </w:p>
        </w:tc>
      </w:tr>
      <w:tr w:rsidR="00236E73" w14:paraId="1A3F5900" w14:textId="77777777">
        <w:trPr>
          <w:jc w:val="center"/>
        </w:trPr>
        <w:tc>
          <w:tcPr>
            <w:tcW w:w="659" w:type="dxa"/>
          </w:tcPr>
          <w:p w14:paraId="12361E27" w14:textId="77777777" w:rsidR="00236E73" w:rsidRDefault="00000000">
            <w:r>
              <w:rPr>
                <w:sz w:val="17"/>
              </w:rPr>
              <w:t>A-05</w:t>
            </w:r>
          </w:p>
        </w:tc>
        <w:tc>
          <w:tcPr>
            <w:tcW w:w="1600" w:type="dxa"/>
          </w:tcPr>
          <w:p w14:paraId="412F7398" w14:textId="77777777" w:rsidR="00236E73" w:rsidRDefault="00000000">
            <w:r>
              <w:rPr>
                <w:sz w:val="17"/>
              </w:rPr>
              <w:t>Kapitalformel</w:t>
            </w:r>
          </w:p>
        </w:tc>
        <w:tc>
          <w:tcPr>
            <w:tcW w:w="3764" w:type="dxa"/>
          </w:tcPr>
          <w:p w14:paraId="54725540" w14:textId="77777777" w:rsidR="00236E73" w:rsidRDefault="00000000">
            <w:r>
              <w:rPr>
                <w:sz w:val="17"/>
              </w:rPr>
              <w:t>Basel-III-IRB (Vasicek/ASRF), α = 99,9 %, regulatorische Klassenparameter, Laufzeit-Adjustment</w:t>
            </w:r>
          </w:p>
        </w:tc>
        <w:tc>
          <w:tcPr>
            <w:tcW w:w="1129" w:type="dxa"/>
          </w:tcPr>
          <w:p w14:paraId="413D5995" w14:textId="77777777" w:rsidR="00236E73" w:rsidRDefault="00000000">
            <w:r>
              <w:rPr>
                <w:sz w:val="17"/>
              </w:rPr>
              <w:t>published</w:t>
            </w:r>
          </w:p>
        </w:tc>
        <w:tc>
          <w:tcPr>
            <w:tcW w:w="2259" w:type="dxa"/>
          </w:tcPr>
          <w:p w14:paraId="69A28118" w14:textId="77777777" w:rsidR="00236E73" w:rsidRDefault="00000000">
            <w:r>
              <w:rPr>
                <w:sz w:val="17"/>
              </w:rPr>
              <w:t>BCBS 2017 §272–284; CRR Art. 153/154</w:t>
            </w:r>
          </w:p>
        </w:tc>
      </w:tr>
      <w:tr w:rsidR="00236E73" w14:paraId="0A2790AD" w14:textId="77777777">
        <w:trPr>
          <w:jc w:val="center"/>
        </w:trPr>
        <w:tc>
          <w:tcPr>
            <w:tcW w:w="659" w:type="dxa"/>
          </w:tcPr>
          <w:p w14:paraId="0B462254" w14:textId="77777777" w:rsidR="00236E73" w:rsidRDefault="00000000">
            <w:r>
              <w:rPr>
                <w:sz w:val="17"/>
              </w:rPr>
              <w:t>A-06</w:t>
            </w:r>
          </w:p>
        </w:tc>
        <w:tc>
          <w:tcPr>
            <w:tcW w:w="1600" w:type="dxa"/>
          </w:tcPr>
          <w:p w14:paraId="1C9FB561" w14:textId="77777777" w:rsidR="00236E73" w:rsidRDefault="00000000">
            <w:r>
              <w:rPr>
                <w:sz w:val="17"/>
              </w:rPr>
              <w:t>Sovereign-Kanal</w:t>
            </w:r>
          </w:p>
        </w:tc>
        <w:tc>
          <w:tcPr>
            <w:tcW w:w="3764" w:type="dxa"/>
          </w:tcPr>
          <w:p w14:paraId="35FDFAF1" w14:textId="77777777" w:rsidR="00236E73" w:rsidRPr="003E30B6" w:rsidRDefault="00000000">
            <w:pPr>
              <w:rPr>
                <w:lang w:val="de-DE"/>
              </w:rPr>
            </w:pPr>
            <w:r>
              <w:rPr>
                <w:sz w:val="17"/>
              </w:rPr>
              <w:t>Δ</w:t>
            </w:r>
            <w:r w:rsidRPr="003E30B6">
              <w:rPr>
                <w:sz w:val="17"/>
                <w:lang w:val="de-DE"/>
              </w:rPr>
              <w:t>MtM = −Duration·</w:t>
            </w:r>
            <w:r>
              <w:rPr>
                <w:sz w:val="17"/>
              </w:rPr>
              <w:t>Δ</w:t>
            </w:r>
            <w:r w:rsidRPr="003E30B6">
              <w:rPr>
                <w:sz w:val="17"/>
                <w:lang w:val="de-DE"/>
              </w:rPr>
              <w:t>r·Exposure; CET1-wirksam nur FVOCI/FVTPL-Anteil</w:t>
            </w:r>
          </w:p>
        </w:tc>
        <w:tc>
          <w:tcPr>
            <w:tcW w:w="1129" w:type="dxa"/>
          </w:tcPr>
          <w:p w14:paraId="6B90CBEF" w14:textId="77777777" w:rsidR="00236E73" w:rsidRDefault="00000000">
            <w:r>
              <w:rPr>
                <w:sz w:val="17"/>
              </w:rPr>
              <w:t>approximation</w:t>
            </w:r>
          </w:p>
        </w:tc>
        <w:tc>
          <w:tcPr>
            <w:tcW w:w="2259" w:type="dxa"/>
          </w:tcPr>
          <w:p w14:paraId="2CEC8E9B" w14:textId="77777777" w:rsidR="00236E73" w:rsidRDefault="00000000">
            <w:r>
              <w:rPr>
                <w:sz w:val="17"/>
              </w:rPr>
              <w:t>Tuckman/Serrat 2012; EBA-IFRS-9-Split</w:t>
            </w:r>
          </w:p>
        </w:tc>
      </w:tr>
      <w:tr w:rsidR="00236E73" w14:paraId="1A205198" w14:textId="77777777">
        <w:trPr>
          <w:jc w:val="center"/>
        </w:trPr>
        <w:tc>
          <w:tcPr>
            <w:tcW w:w="659" w:type="dxa"/>
          </w:tcPr>
          <w:p w14:paraId="2AE5F173" w14:textId="77777777" w:rsidR="00236E73" w:rsidRDefault="00000000">
            <w:r>
              <w:rPr>
                <w:sz w:val="17"/>
              </w:rPr>
              <w:t>A-07</w:t>
            </w:r>
          </w:p>
        </w:tc>
        <w:tc>
          <w:tcPr>
            <w:tcW w:w="1600" w:type="dxa"/>
          </w:tcPr>
          <w:p w14:paraId="526C8FE2" w14:textId="77777777" w:rsidR="00236E73" w:rsidRDefault="00000000">
            <w:r>
              <w:rPr>
                <w:sz w:val="17"/>
              </w:rPr>
              <w:t>Trading Book</w:t>
            </w:r>
          </w:p>
        </w:tc>
        <w:tc>
          <w:tcPr>
            <w:tcW w:w="3764" w:type="dxa"/>
          </w:tcPr>
          <w:p w14:paraId="29D8B967" w14:textId="77777777" w:rsidR="00236E73" w:rsidRPr="003E30B6" w:rsidRDefault="00000000">
            <w:pPr>
              <w:rPr>
                <w:lang w:val="de-DE"/>
              </w:rPr>
            </w:pPr>
            <w:r w:rsidRPr="003E30B6">
              <w:rPr>
                <w:sz w:val="17"/>
                <w:lang w:val="de-DE"/>
              </w:rPr>
              <w:t>kein eigener Kanal (kleine Handelsbücher, keine belastbare öffentliche FRTB-Kalibrierung)</w:t>
            </w:r>
          </w:p>
        </w:tc>
        <w:tc>
          <w:tcPr>
            <w:tcW w:w="1129" w:type="dxa"/>
          </w:tcPr>
          <w:p w14:paraId="7A4D7842" w14:textId="77777777" w:rsidR="00236E73" w:rsidRDefault="00000000">
            <w:r>
              <w:rPr>
                <w:sz w:val="17"/>
              </w:rPr>
              <w:t>assumption</w:t>
            </w:r>
          </w:p>
        </w:tc>
        <w:tc>
          <w:tcPr>
            <w:tcW w:w="2259" w:type="dxa"/>
          </w:tcPr>
          <w:p w14:paraId="090B8600" w14:textId="77777777" w:rsidR="00236E73" w:rsidRDefault="00000000">
            <w:r>
              <w:rPr>
                <w:sz w:val="17"/>
              </w:rPr>
              <w:t>Scope-Abgrenzung</w:t>
            </w:r>
          </w:p>
        </w:tc>
      </w:tr>
      <w:tr w:rsidR="00236E73" w14:paraId="77656C48" w14:textId="77777777">
        <w:trPr>
          <w:jc w:val="center"/>
        </w:trPr>
        <w:tc>
          <w:tcPr>
            <w:tcW w:w="659" w:type="dxa"/>
          </w:tcPr>
          <w:p w14:paraId="64E6F268" w14:textId="77777777" w:rsidR="00236E73" w:rsidRDefault="00000000">
            <w:r>
              <w:rPr>
                <w:sz w:val="17"/>
              </w:rPr>
              <w:t>A-08</w:t>
            </w:r>
          </w:p>
        </w:tc>
        <w:tc>
          <w:tcPr>
            <w:tcW w:w="1600" w:type="dxa"/>
          </w:tcPr>
          <w:p w14:paraId="0AEE76D9" w14:textId="77777777" w:rsidR="00236E73" w:rsidRDefault="00000000">
            <w:r>
              <w:rPr>
                <w:sz w:val="17"/>
              </w:rPr>
              <w:t>Universum</w:t>
            </w:r>
          </w:p>
        </w:tc>
        <w:tc>
          <w:tcPr>
            <w:tcW w:w="3764" w:type="dxa"/>
          </w:tcPr>
          <w:p w14:paraId="795207FE" w14:textId="77777777" w:rsidR="00236E73" w:rsidRPr="003E30B6" w:rsidRDefault="00000000">
            <w:pPr>
              <w:rPr>
                <w:lang w:val="de-DE"/>
              </w:rPr>
            </w:pPr>
            <w:r w:rsidRPr="003E30B6">
              <w:rPr>
                <w:sz w:val="17"/>
                <w:lang w:val="de-DE"/>
              </w:rPr>
              <w:t>die 10 größten EU-IRB-Banken (einheitliche Datenqualität statt Vollabdeckung)</w:t>
            </w:r>
          </w:p>
        </w:tc>
        <w:tc>
          <w:tcPr>
            <w:tcW w:w="1129" w:type="dxa"/>
          </w:tcPr>
          <w:p w14:paraId="5B099F12" w14:textId="77777777" w:rsidR="00236E73" w:rsidRDefault="00000000">
            <w:r>
              <w:rPr>
                <w:sz w:val="17"/>
              </w:rPr>
              <w:t>approximation</w:t>
            </w:r>
          </w:p>
        </w:tc>
        <w:tc>
          <w:tcPr>
            <w:tcW w:w="2259" w:type="dxa"/>
          </w:tcPr>
          <w:p w14:paraId="1B2862DD" w14:textId="77777777" w:rsidR="00236E73" w:rsidRDefault="00000000">
            <w:r>
              <w:rPr>
                <w:sz w:val="17"/>
              </w:rPr>
              <w:t>EBA Transparency</w:t>
            </w:r>
          </w:p>
        </w:tc>
      </w:tr>
      <w:tr w:rsidR="00236E73" w14:paraId="00CCF69D" w14:textId="77777777">
        <w:trPr>
          <w:jc w:val="center"/>
        </w:trPr>
        <w:tc>
          <w:tcPr>
            <w:tcW w:w="659" w:type="dxa"/>
          </w:tcPr>
          <w:p w14:paraId="08F8089C" w14:textId="77777777" w:rsidR="00236E73" w:rsidRDefault="00000000">
            <w:r>
              <w:rPr>
                <w:sz w:val="17"/>
              </w:rPr>
              <w:t>A-09</w:t>
            </w:r>
          </w:p>
        </w:tc>
        <w:tc>
          <w:tcPr>
            <w:tcW w:w="1600" w:type="dxa"/>
          </w:tcPr>
          <w:p w14:paraId="2E6F054A" w14:textId="77777777" w:rsidR="00236E73" w:rsidRDefault="00000000">
            <w:r>
              <w:rPr>
                <w:sz w:val="17"/>
              </w:rPr>
              <w:t>Klassen-Raster</w:t>
            </w:r>
          </w:p>
        </w:tc>
        <w:tc>
          <w:tcPr>
            <w:tcW w:w="3764" w:type="dxa"/>
          </w:tcPr>
          <w:p w14:paraId="742ABFB2" w14:textId="77777777" w:rsidR="00236E73" w:rsidRDefault="00000000">
            <w:r>
              <w:rPr>
                <w:sz w:val="17"/>
              </w:rPr>
              <w:t>7 IRB-Klassen (corporate, sme_corporate, mortgage, qrre, other_retail, bank, sovereign)</w:t>
            </w:r>
          </w:p>
        </w:tc>
        <w:tc>
          <w:tcPr>
            <w:tcW w:w="1129" w:type="dxa"/>
          </w:tcPr>
          <w:p w14:paraId="27090B5F" w14:textId="77777777" w:rsidR="00236E73" w:rsidRDefault="00000000">
            <w:r>
              <w:rPr>
                <w:sz w:val="17"/>
              </w:rPr>
              <w:t>approximation</w:t>
            </w:r>
          </w:p>
        </w:tc>
        <w:tc>
          <w:tcPr>
            <w:tcW w:w="2259" w:type="dxa"/>
          </w:tcPr>
          <w:p w14:paraId="21061128" w14:textId="77777777" w:rsidR="00236E73" w:rsidRDefault="00000000">
            <w:r>
              <w:rPr>
                <w:sz w:val="17"/>
              </w:rPr>
              <w:t>EU-CR6-Struktur</w:t>
            </w:r>
          </w:p>
        </w:tc>
      </w:tr>
      <w:tr w:rsidR="00236E73" w14:paraId="1434CF45" w14:textId="77777777">
        <w:trPr>
          <w:jc w:val="center"/>
        </w:trPr>
        <w:tc>
          <w:tcPr>
            <w:tcW w:w="659" w:type="dxa"/>
          </w:tcPr>
          <w:p w14:paraId="521D98A9" w14:textId="77777777" w:rsidR="00236E73" w:rsidRDefault="00000000">
            <w:r>
              <w:rPr>
                <w:sz w:val="17"/>
              </w:rPr>
              <w:t>A-10</w:t>
            </w:r>
          </w:p>
        </w:tc>
        <w:tc>
          <w:tcPr>
            <w:tcW w:w="1600" w:type="dxa"/>
          </w:tcPr>
          <w:p w14:paraId="54766B01" w14:textId="77777777" w:rsidR="00236E73" w:rsidRDefault="00000000">
            <w:r>
              <w:rPr>
                <w:sz w:val="17"/>
              </w:rPr>
              <w:t>Faktor-Unabhängigkeit</w:t>
            </w:r>
          </w:p>
        </w:tc>
        <w:tc>
          <w:tcPr>
            <w:tcW w:w="3764" w:type="dxa"/>
          </w:tcPr>
          <w:p w14:paraId="5DF3E1F9" w14:textId="77777777" w:rsidR="00236E73" w:rsidRPr="003E30B6" w:rsidRDefault="00000000">
            <w:pPr>
              <w:rPr>
                <w:lang w:val="de-DE"/>
              </w:rPr>
            </w:pPr>
            <w:r>
              <w:rPr>
                <w:sz w:val="17"/>
              </w:rPr>
              <w:t>ρ</w:t>
            </w:r>
            <w:r w:rsidRPr="003E30B6">
              <w:rPr>
                <w:sz w:val="17"/>
                <w:lang w:val="de-DE"/>
              </w:rPr>
              <w:t>(</w:t>
            </w:r>
            <w:r>
              <w:rPr>
                <w:sz w:val="17"/>
              </w:rPr>
              <w:t>Δ</w:t>
            </w:r>
            <w:r w:rsidRPr="003E30B6">
              <w:rPr>
                <w:sz w:val="17"/>
                <w:lang w:val="de-DE"/>
              </w:rPr>
              <w:t xml:space="preserve">Brent, </w:t>
            </w:r>
            <w:r>
              <w:rPr>
                <w:sz w:val="17"/>
              </w:rPr>
              <w:t>Δ</w:t>
            </w:r>
            <w:r w:rsidRPr="003E30B6">
              <w:rPr>
                <w:sz w:val="17"/>
                <w:lang w:val="de-DE"/>
              </w:rPr>
              <w:t>r_10y) = +0,07 → separate Modellierung ohne Kreuzterm</w:t>
            </w:r>
          </w:p>
        </w:tc>
        <w:tc>
          <w:tcPr>
            <w:tcW w:w="1129" w:type="dxa"/>
          </w:tcPr>
          <w:p w14:paraId="7030FAC6" w14:textId="77777777" w:rsidR="00236E73" w:rsidRDefault="00000000">
            <w:r>
              <w:rPr>
                <w:sz w:val="17"/>
              </w:rPr>
              <w:t>estimate</w:t>
            </w:r>
          </w:p>
        </w:tc>
        <w:tc>
          <w:tcPr>
            <w:tcW w:w="2259" w:type="dxa"/>
          </w:tcPr>
          <w:p w14:paraId="22117EA9" w14:textId="77777777" w:rsidR="00236E73" w:rsidRDefault="00000000">
            <w:r>
              <w:rPr>
                <w:sz w:val="17"/>
              </w:rPr>
              <w:t>eigene Regression, 1 242 Handelstage</w:t>
            </w:r>
          </w:p>
        </w:tc>
      </w:tr>
    </w:tbl>
    <w:p w14:paraId="4900548B" w14:textId="77777777" w:rsidR="00236E73" w:rsidRDefault="00236E73">
      <w:pPr>
        <w:spacing w:after="80"/>
      </w:pPr>
    </w:p>
    <w:p w14:paraId="2CB84777" w14:textId="77777777" w:rsidR="00236E73" w:rsidRDefault="00000000">
      <w:pPr>
        <w:pStyle w:val="Heading2"/>
      </w:pPr>
      <w:r>
        <w:t>Die Annahmen im Detail</w:t>
      </w:r>
    </w:p>
    <w:p w14:paraId="349A7A72" w14:textId="77777777" w:rsidR="00236E73" w:rsidRDefault="00000000">
      <w:pPr>
        <w:pStyle w:val="Heading3"/>
      </w:pPr>
      <w:r>
        <w:t>A-01 - PD-Quelle: Pillar-3 EU-CR6 (31.12.2024)</w:t>
      </w:r>
    </w:p>
    <w:p w14:paraId="25583591" w14:textId="77777777" w:rsidR="00236E73" w:rsidRPr="003E30B6" w:rsidRDefault="00000000">
      <w:pPr>
        <w:spacing w:after="180"/>
        <w:rPr>
          <w:lang w:val="de-DE"/>
        </w:rPr>
      </w:pPr>
      <w:r w:rsidRPr="003E30B6">
        <w:rPr>
          <w:b/>
          <w:sz w:val="19"/>
          <w:lang w:val="de-DE"/>
        </w:rPr>
        <w:t>Festlegung:</w:t>
      </w:r>
      <w:r w:rsidRPr="003E30B6">
        <w:rPr>
          <w:sz w:val="19"/>
          <w:lang w:val="de-DE"/>
        </w:rPr>
        <w:t xml:space="preserve"> Je Bank und Klasse die EAD-gewichtete Durchschnitts-PD aus dem EU-CR6-Sub-total - die regulatorische 1-Jahres-PD nach CRR Art. 180, inklusive des 100-%-Default-Bands. </w:t>
      </w:r>
      <w:r w:rsidRPr="003E30B6">
        <w:rPr>
          <w:b/>
          <w:sz w:val="19"/>
          <w:lang w:val="de-DE"/>
        </w:rPr>
        <w:t>Warum:</w:t>
      </w:r>
      <w:r w:rsidRPr="003E30B6">
        <w:rPr>
          <w:sz w:val="19"/>
          <w:lang w:val="de-DE"/>
        </w:rPr>
        <w:t xml:space="preserve"> Es ist die einzige öffentliche, bankindividuelle und geprüfte PD-Quelle mit identischer Definition über alle zehn Banken. </w:t>
      </w:r>
      <w:r w:rsidRPr="003E30B6">
        <w:rPr>
          <w:b/>
          <w:sz w:val="19"/>
          <w:lang w:val="de-DE"/>
        </w:rPr>
        <w:t>Verworfene Alternative:</w:t>
      </w:r>
      <w:r w:rsidRPr="003E30B6">
        <w:rPr>
          <w:sz w:val="19"/>
          <w:lang w:val="de-DE"/>
        </w:rPr>
        <w:t xml:space="preserve"> PD-Ableitung aus EBA-Transparency-Ausfallquoten (vermischt Bestands- und Flussgrößen, keine 1-Jahres-PD) sowie Rating-Agentur-PDs (nicht je Bank × Klasse verfügbar). </w:t>
      </w:r>
      <w:r w:rsidRPr="003E30B6">
        <w:rPr>
          <w:b/>
          <w:sz w:val="19"/>
          <w:lang w:val="de-DE"/>
        </w:rPr>
        <w:t>Wirkung bei Fehlspezifikation:</w:t>
      </w:r>
      <w:r w:rsidRPr="003E30B6">
        <w:rPr>
          <w:sz w:val="19"/>
          <w:lang w:val="de-DE"/>
        </w:rPr>
        <w:t xml:space="preserve"> Das PD-Niveau skaliert den erwarteten Verlust nahezu proportional, die Kapitalanforderung unterproportional - eine Niveauverzerrung verschiebt also Ergebnisse, kippt aber keine Richtungsaussage.</w:t>
      </w:r>
    </w:p>
    <w:p w14:paraId="440BC076" w14:textId="77777777" w:rsidR="00236E73" w:rsidRDefault="00000000">
      <w:pPr>
        <w:pStyle w:val="Heading3"/>
      </w:pPr>
      <w:r>
        <w:t>A-02 - LGD-Quelle: Pillar-3 EU-CR6 (31.12.2024)</w:t>
      </w:r>
    </w:p>
    <w:p w14:paraId="11E33EF8" w14:textId="77777777" w:rsidR="00236E73" w:rsidRPr="003E30B6" w:rsidRDefault="00000000">
      <w:pPr>
        <w:spacing w:after="180"/>
        <w:rPr>
          <w:lang w:val="de-DE"/>
        </w:rPr>
      </w:pPr>
      <w:r w:rsidRPr="003E30B6">
        <w:rPr>
          <w:b/>
          <w:sz w:val="19"/>
          <w:lang w:val="de-DE"/>
        </w:rPr>
        <w:t>Festlegung:</w:t>
      </w:r>
      <w:r w:rsidRPr="003E30B6">
        <w:rPr>
          <w:sz w:val="19"/>
          <w:lang w:val="de-DE"/>
        </w:rPr>
        <w:t xml:space="preserve"> EAD-gewichtete Durchschnitts-LGD aus derselben EU-CR6-Tabelle wie A-01. </w:t>
      </w:r>
      <w:r w:rsidRPr="003E30B6">
        <w:rPr>
          <w:b/>
          <w:sz w:val="19"/>
          <w:lang w:val="de-DE"/>
        </w:rPr>
        <w:t>Warum:</w:t>
      </w:r>
      <w:r w:rsidRPr="003E30B6">
        <w:rPr>
          <w:sz w:val="19"/>
          <w:lang w:val="de-DE"/>
        </w:rPr>
        <w:t xml:space="preserve"> Bankintern geschätzte A-IRB-LGD spiegeln die tatsächliche Besicherung des Portfolios wider. </w:t>
      </w:r>
      <w:r w:rsidRPr="003E30B6">
        <w:rPr>
          <w:b/>
          <w:sz w:val="19"/>
          <w:lang w:val="de-DE"/>
        </w:rPr>
        <w:t>Verworfene Alternative:</w:t>
      </w:r>
      <w:r w:rsidRPr="003E30B6">
        <w:rPr>
          <w:sz w:val="19"/>
          <w:lang w:val="de-DE"/>
        </w:rPr>
        <w:t xml:space="preserve"> die pauschale F-IRB-Aufsichts-LGD von 45 % - sie würde besicherte Portfolien (v. a. Hypotheken) massiv überzeichnen. </w:t>
      </w:r>
      <w:r w:rsidRPr="003E30B6">
        <w:rPr>
          <w:b/>
          <w:sz w:val="19"/>
          <w:lang w:val="de-DE"/>
        </w:rPr>
        <w:t>Wirkung bei Fehlspezifikation:</w:t>
      </w:r>
      <w:r w:rsidRPr="003E30B6">
        <w:rPr>
          <w:sz w:val="19"/>
          <w:lang w:val="de-DE"/>
        </w:rPr>
        <w:t xml:space="preserve"> LGD wirkt linear auf erwarteten Verlust und fast linear auf die Kapitalanforderung - der direkteste Hebel unter den Parametern.</w:t>
      </w:r>
    </w:p>
    <w:p w14:paraId="55F36A3D" w14:textId="77777777" w:rsidR="00236E73" w:rsidRDefault="00000000">
      <w:pPr>
        <w:pStyle w:val="Heading3"/>
      </w:pPr>
      <w:r>
        <w:t>A-02c - Backtest-Zeitreihe (nur Pillar-3, no-look-ahead)</w:t>
      </w:r>
    </w:p>
    <w:p w14:paraId="763F7E33" w14:textId="77777777" w:rsidR="00236E73" w:rsidRPr="003E30B6" w:rsidRDefault="00000000">
      <w:pPr>
        <w:spacing w:after="180"/>
        <w:rPr>
          <w:lang w:val="de-DE"/>
        </w:rPr>
      </w:pPr>
      <w:r w:rsidRPr="003E30B6">
        <w:rPr>
          <w:b/>
          <w:sz w:val="19"/>
          <w:lang w:val="de-DE"/>
        </w:rPr>
        <w:t>Festlegung:</w:t>
      </w:r>
      <w:r w:rsidRPr="003E30B6">
        <w:rPr>
          <w:sz w:val="19"/>
          <w:lang w:val="de-DE"/>
        </w:rPr>
        <w:t xml:space="preserve"> Eigene Roh-Reihe über 10 Banken × FY2021–FY2024 (255 quellenbelegte Zeilen, davon 253 modellfähig); ein Quartal im Jahr Y nutzt ausschließlich den Stichtag 31.12.(Y−1) - den jüngsten, der damals publiziert war. </w:t>
      </w:r>
      <w:r w:rsidRPr="003E30B6">
        <w:rPr>
          <w:b/>
          <w:sz w:val="19"/>
          <w:lang w:val="de-DE"/>
        </w:rPr>
        <w:t>Warum:</w:t>
      </w:r>
      <w:r w:rsidRPr="003E30B6">
        <w:rPr>
          <w:sz w:val="19"/>
          <w:lang w:val="de-DE"/>
        </w:rPr>
        <w:t xml:space="preserve"> Nur so ist die Validierung echt out-of-sample. </w:t>
      </w:r>
      <w:r w:rsidRPr="003E30B6">
        <w:rPr>
          <w:b/>
          <w:sz w:val="19"/>
          <w:lang w:val="de-DE"/>
        </w:rPr>
        <w:t>Verworfene Alternative:</w:t>
      </w:r>
      <w:r w:rsidRPr="003E30B6">
        <w:rPr>
          <w:sz w:val="19"/>
          <w:lang w:val="de-DE"/>
        </w:rPr>
        <w:t xml:space="preserve"> den 2024-</w:t>
      </w:r>
      <w:r w:rsidRPr="003E30B6">
        <w:rPr>
          <w:sz w:val="19"/>
          <w:lang w:val="de-DE"/>
        </w:rPr>
        <w:lastRenderedPageBreak/>
        <w:t xml:space="preserve">Snapshot rückwirkend anzuwenden (Look-ahead-Verzerrung) oder zwischen Stichtagen zu interpolieren (nicht quellengestützt). </w:t>
      </w:r>
      <w:r w:rsidRPr="003E30B6">
        <w:rPr>
          <w:b/>
          <w:sz w:val="19"/>
          <w:lang w:val="de-DE"/>
        </w:rPr>
        <w:t>Wirkung bei Fehlspezifikation:</w:t>
      </w:r>
      <w:r w:rsidRPr="003E30B6">
        <w:rPr>
          <w:sz w:val="19"/>
          <w:lang w:val="de-DE"/>
        </w:rPr>
        <w:t xml:space="preserve"> Mit Look-ahead wäre jedes Backtest-Ergebnis systematisch geschönt und wertlos.</w:t>
      </w:r>
    </w:p>
    <w:p w14:paraId="7CD954C6" w14:textId="77777777" w:rsidR="00236E73" w:rsidRDefault="00000000">
      <w:pPr>
        <w:pStyle w:val="Heading3"/>
      </w:pPr>
      <w:r>
        <w:t>A-03 - EAD: EBA Transparency, post-CCF</w:t>
      </w:r>
    </w:p>
    <w:p w14:paraId="38961FA6" w14:textId="77777777" w:rsidR="00236E73" w:rsidRPr="003E30B6" w:rsidRDefault="00000000">
      <w:pPr>
        <w:spacing w:after="180"/>
        <w:rPr>
          <w:lang w:val="de-DE"/>
        </w:rPr>
      </w:pPr>
      <w:r w:rsidRPr="003E30B6">
        <w:rPr>
          <w:b/>
          <w:sz w:val="19"/>
          <w:lang w:val="de-DE"/>
        </w:rPr>
        <w:t>Festlegung:</w:t>
      </w:r>
      <w:r w:rsidRPr="003E30B6">
        <w:rPr>
          <w:sz w:val="19"/>
          <w:lang w:val="de-DE"/>
        </w:rPr>
        <w:t xml:space="preserve"> Exposure at Default je Klasse nach Kreditumrechnungsfaktoren (post-CCF; EBA-Item 2520522). </w:t>
      </w:r>
      <w:r w:rsidRPr="003E30B6">
        <w:rPr>
          <w:b/>
          <w:sz w:val="19"/>
          <w:lang w:val="de-DE"/>
        </w:rPr>
        <w:t>Warum:</w:t>
      </w:r>
      <w:r w:rsidRPr="003E30B6">
        <w:rPr>
          <w:sz w:val="19"/>
          <w:lang w:val="de-DE"/>
        </w:rPr>
        <w:t xml:space="preserve"> Post-CCF ist exakt die Bezugsgröße der IRB-Formel. </w:t>
      </w:r>
      <w:r w:rsidRPr="003E30B6">
        <w:rPr>
          <w:b/>
          <w:sz w:val="19"/>
          <w:lang w:val="de-DE"/>
        </w:rPr>
        <w:t>Verworfene Alternative:</w:t>
      </w:r>
      <w:r w:rsidRPr="003E30B6">
        <w:rPr>
          <w:sz w:val="19"/>
          <w:lang w:val="de-DE"/>
        </w:rPr>
        <w:t xml:space="preserve"> Original Exposure - überzeichnet nicht gezogene Kreditlinien. </w:t>
      </w:r>
      <w:r w:rsidRPr="003E30B6">
        <w:rPr>
          <w:b/>
          <w:sz w:val="19"/>
          <w:lang w:val="de-DE"/>
        </w:rPr>
        <w:t>Wirkung bei Fehlspezifikation:</w:t>
      </w:r>
      <w:r w:rsidRPr="003E30B6">
        <w:rPr>
          <w:sz w:val="19"/>
          <w:lang w:val="de-DE"/>
        </w:rPr>
        <w:t xml:space="preserve"> EAD wirkt als Portfoliogewicht linear auf Volumeneffekte, verzerrt aber die Quoten-Richtung nicht.</w:t>
      </w:r>
    </w:p>
    <w:p w14:paraId="7248F68C" w14:textId="77777777" w:rsidR="00236E73" w:rsidRPr="003E30B6" w:rsidRDefault="00000000">
      <w:pPr>
        <w:pStyle w:val="Heading3"/>
        <w:rPr>
          <w:lang w:val="de-DE"/>
        </w:rPr>
      </w:pPr>
      <w:r w:rsidRPr="003E30B6">
        <w:rPr>
          <w:lang w:val="de-DE"/>
        </w:rPr>
        <w:t>A-04 - 2-Faktor-Transmission (</w:t>
      </w:r>
      <w:r>
        <w:t>β</w:t>
      </w:r>
      <w:r w:rsidRPr="003E30B6">
        <w:rPr>
          <w:lang w:val="de-DE"/>
        </w:rPr>
        <w:t>/</w:t>
      </w:r>
      <w:r>
        <w:t>γ</w:t>
      </w:r>
      <w:r w:rsidRPr="003E30B6">
        <w:rPr>
          <w:lang w:val="de-DE"/>
        </w:rPr>
        <w:t xml:space="preserve"> je Klasse)</w:t>
      </w:r>
    </w:p>
    <w:p w14:paraId="7427517E" w14:textId="77777777" w:rsidR="00236E73" w:rsidRPr="003E30B6" w:rsidRDefault="00000000">
      <w:pPr>
        <w:spacing w:after="180"/>
        <w:rPr>
          <w:lang w:val="de-DE"/>
        </w:rPr>
      </w:pPr>
      <w:r w:rsidRPr="003E30B6">
        <w:rPr>
          <w:b/>
          <w:sz w:val="19"/>
          <w:lang w:val="de-DE"/>
        </w:rPr>
        <w:t>Festlegung:</w:t>
      </w:r>
      <w:r w:rsidRPr="003E30B6">
        <w:rPr>
          <w:sz w:val="19"/>
          <w:lang w:val="de-DE"/>
        </w:rPr>
        <w:t xml:space="preserve"> Lineare Übersetzung der Schocks in </w:t>
      </w:r>
      <w:r>
        <w:rPr>
          <w:sz w:val="19"/>
        </w:rPr>
        <w:t>Δ</w:t>
      </w:r>
      <w:r w:rsidRPr="003E30B6">
        <w:rPr>
          <w:sz w:val="19"/>
          <w:lang w:val="de-DE"/>
        </w:rPr>
        <w:t>PD/</w:t>
      </w:r>
      <w:r>
        <w:rPr>
          <w:sz w:val="19"/>
        </w:rPr>
        <w:t>Δ</w:t>
      </w:r>
      <w:r w:rsidRPr="003E30B6">
        <w:rPr>
          <w:sz w:val="19"/>
          <w:lang w:val="de-DE"/>
        </w:rPr>
        <w:t xml:space="preserve">LGD über die Matrix aus Abschnitt 3, mit begründeten Unter-/Obergrenzen. </w:t>
      </w:r>
      <w:r w:rsidRPr="003E30B6">
        <w:rPr>
          <w:b/>
          <w:sz w:val="19"/>
          <w:lang w:val="de-DE"/>
        </w:rPr>
        <w:t>Warum:</w:t>
      </w:r>
      <w:r w:rsidRPr="003E30B6">
        <w:rPr>
          <w:sz w:val="19"/>
          <w:lang w:val="de-DE"/>
        </w:rPr>
        <w:t xml:space="preserve"> Die EBA-Stresstest-Methodik sieht sektorale Sensitivitäten explizit vor; die lineare Form ist transparent, prüfbar und per Regler übersteuerbar. Die </w:t>
      </w:r>
      <w:r>
        <w:rPr>
          <w:sz w:val="19"/>
        </w:rPr>
        <w:t>β</w:t>
      </w:r>
      <w:r w:rsidRPr="003E30B6">
        <w:rPr>
          <w:sz w:val="19"/>
          <w:lang w:val="de-DE"/>
        </w:rPr>
        <w:t>/</w:t>
      </w:r>
      <w:r>
        <w:rPr>
          <w:sz w:val="19"/>
        </w:rPr>
        <w:t>γ</w:t>
      </w:r>
      <w:r w:rsidRPr="003E30B6">
        <w:rPr>
          <w:sz w:val="19"/>
          <w:lang w:val="de-DE"/>
        </w:rPr>
        <w:t xml:space="preserve">-Werte sind deshalb keine behaupteten Punktwahrheiten, sondern eine quellenkonforme Basiskalibrierung, deren Auswirkung separat robustheitsgeprüft wird. </w:t>
      </w:r>
      <w:r w:rsidRPr="003E30B6">
        <w:rPr>
          <w:b/>
          <w:sz w:val="19"/>
          <w:lang w:val="de-DE"/>
        </w:rPr>
        <w:t>Verworfene Alternative:</w:t>
      </w:r>
      <w:r w:rsidRPr="003E30B6">
        <w:rPr>
          <w:sz w:val="19"/>
          <w:lang w:val="de-DE"/>
        </w:rPr>
        <w:t xml:space="preserve"> ein Ein-Faktor-Aggregat (verliert die Sektor-Differenzierung und überzeichnete in Tests die Magnitude) sowie bankindividuell geschätzte Ökonometrie (Datenlage öffentlich nicht ausreichend). </w:t>
      </w:r>
      <w:r w:rsidRPr="003E30B6">
        <w:rPr>
          <w:b/>
          <w:sz w:val="19"/>
          <w:lang w:val="de-DE"/>
        </w:rPr>
        <w:t>Wirkung bei Fehlspezifikation:</w:t>
      </w:r>
      <w:r w:rsidRPr="003E30B6">
        <w:rPr>
          <w:sz w:val="19"/>
          <w:lang w:val="de-DE"/>
        </w:rPr>
        <w:t xml:space="preserve"> Die </w:t>
      </w:r>
      <w:r>
        <w:rPr>
          <w:sz w:val="19"/>
        </w:rPr>
        <w:t>β</w:t>
      </w:r>
      <w:r w:rsidRPr="003E30B6">
        <w:rPr>
          <w:sz w:val="19"/>
          <w:lang w:val="de-DE"/>
        </w:rPr>
        <w:t xml:space="preserve"> sind der größte Unsicherheitsträger des Modells - deshalb Konfidenzklasse [estimate] und Sichtbarkeit als eigene Matrix; ein Fehler skaliert die Stress-Wirkung in etwa proportional.</w:t>
      </w:r>
    </w:p>
    <w:p w14:paraId="236E39B3" w14:textId="77777777" w:rsidR="00236E73" w:rsidRPr="003E30B6" w:rsidRDefault="00000000">
      <w:pPr>
        <w:pStyle w:val="Heading3"/>
        <w:rPr>
          <w:lang w:val="de-DE"/>
        </w:rPr>
      </w:pPr>
      <w:r w:rsidRPr="003E30B6">
        <w:rPr>
          <w:lang w:val="de-DE"/>
        </w:rPr>
        <w:t>A-05 - IRB-Kapitalformel (Basel III / ASRF)</w:t>
      </w:r>
    </w:p>
    <w:p w14:paraId="56A8434B" w14:textId="77777777" w:rsidR="00236E73" w:rsidRPr="003E30B6" w:rsidRDefault="00000000">
      <w:pPr>
        <w:spacing w:after="180"/>
        <w:rPr>
          <w:lang w:val="de-DE"/>
        </w:rPr>
      </w:pPr>
      <w:r w:rsidRPr="003E30B6">
        <w:rPr>
          <w:b/>
          <w:sz w:val="19"/>
          <w:lang w:val="de-DE"/>
        </w:rPr>
        <w:t>Festlegung:</w:t>
      </w:r>
      <w:r w:rsidRPr="003E30B6">
        <w:rPr>
          <w:sz w:val="19"/>
          <w:lang w:val="de-DE"/>
        </w:rPr>
        <w:t xml:space="preserve"> Die unveränderte regulatorische Formel mit </w:t>
      </w:r>
      <w:r>
        <w:rPr>
          <w:sz w:val="19"/>
        </w:rPr>
        <w:t>α</w:t>
      </w:r>
      <w:r w:rsidRPr="003E30B6">
        <w:rPr>
          <w:sz w:val="19"/>
          <w:lang w:val="de-DE"/>
        </w:rPr>
        <w:t xml:space="preserve"> = 99,9 %, CRR-Klassenparametern und Laufzeit-Adjustment. Prozessual: Öl-/Zinsschock → PD_stress/LGD_stress → Basel-IRB-K-Formel → RWA → CET1. Der Parameter </w:t>
      </w:r>
      <w:r>
        <w:rPr>
          <w:sz w:val="19"/>
        </w:rPr>
        <w:t>ρ</w:t>
      </w:r>
      <w:r w:rsidRPr="003E30B6">
        <w:rPr>
          <w:sz w:val="19"/>
          <w:lang w:val="de-DE"/>
        </w:rPr>
        <w:t xml:space="preserve"> ist dabei kein eigener Modellschritt und keine von uns geschätzte Annahme, sondern der durch CRR Art. 153/154 vorgegebene Klassenparameter innerhalb der Formel; er beschreibt die Kopplung einer Exposure-Klasse an den systematischen Kreditrisikofaktor des ASRF-Modells, nicht eine empirische Öl-Zins-Korrelation. </w:t>
      </w:r>
      <w:r w:rsidRPr="003E30B6">
        <w:rPr>
          <w:b/>
          <w:sz w:val="19"/>
          <w:lang w:val="de-DE"/>
        </w:rPr>
        <w:t>Warum:</w:t>
      </w:r>
      <w:r w:rsidRPr="003E30B6">
        <w:rPr>
          <w:sz w:val="19"/>
          <w:lang w:val="de-DE"/>
        </w:rPr>
        <w:t xml:space="preserve"> Nur der regulatorische Standard macht Modell-Output und gemeldete RWA vergleichbar. </w:t>
      </w:r>
      <w:r w:rsidRPr="003E30B6">
        <w:rPr>
          <w:b/>
          <w:sz w:val="19"/>
          <w:lang w:val="de-DE"/>
        </w:rPr>
        <w:t>Verworfene Alternative:</w:t>
      </w:r>
      <w:r w:rsidRPr="003E30B6">
        <w:rPr>
          <w:sz w:val="19"/>
          <w:lang w:val="de-DE"/>
        </w:rPr>
        <w:t xml:space="preserve"> interne Portfoliomodelle (z. B. Migrationsmatrizen) - nicht gegen die CET1-Meldung abgleichbar. </w:t>
      </w:r>
      <w:r w:rsidRPr="003E30B6">
        <w:rPr>
          <w:b/>
          <w:sz w:val="19"/>
          <w:lang w:val="de-DE"/>
        </w:rPr>
        <w:t>Wirkung bei Fehlspezifikation:</w:t>
      </w:r>
      <w:r w:rsidRPr="003E30B6">
        <w:rPr>
          <w:sz w:val="19"/>
          <w:lang w:val="de-DE"/>
        </w:rPr>
        <w:t xml:space="preserve"> Die Formel selbst ist fixiert; das Modellrisiko liegt vollständig in den Inputs (A-01 bis A-04).</w:t>
      </w:r>
    </w:p>
    <w:p w14:paraId="102A8817" w14:textId="77777777" w:rsidR="00236E73" w:rsidRDefault="00000000">
      <w:pPr>
        <w:pStyle w:val="Heading3"/>
      </w:pPr>
      <w:r>
        <w:t>A-06 - Sovereign-Kanal (Duration-MtM, IFRS-9-Split)</w:t>
      </w:r>
    </w:p>
    <w:p w14:paraId="4AB386CA" w14:textId="77777777" w:rsidR="00236E73" w:rsidRPr="003E30B6" w:rsidRDefault="00000000">
      <w:pPr>
        <w:spacing w:after="180"/>
        <w:rPr>
          <w:lang w:val="de-DE"/>
        </w:rPr>
      </w:pPr>
      <w:r w:rsidRPr="003E30B6">
        <w:rPr>
          <w:b/>
          <w:sz w:val="19"/>
          <w:lang w:val="de-DE"/>
        </w:rPr>
        <w:t>Festlegung:</w:t>
      </w:r>
      <w:r w:rsidRPr="003E30B6">
        <w:rPr>
          <w:sz w:val="19"/>
          <w:lang w:val="de-DE"/>
        </w:rPr>
        <w:t xml:space="preserve"> </w:t>
      </w:r>
      <w:r>
        <w:rPr>
          <w:sz w:val="19"/>
        </w:rPr>
        <w:t>Δ</w:t>
      </w:r>
      <w:r w:rsidRPr="003E30B6">
        <w:rPr>
          <w:sz w:val="19"/>
          <w:lang w:val="de-DE"/>
        </w:rPr>
        <w:t xml:space="preserve">MtM = −Duration · </w:t>
      </w:r>
      <w:r>
        <w:rPr>
          <w:sz w:val="19"/>
        </w:rPr>
        <w:t>Δ</w:t>
      </w:r>
      <w:r w:rsidRPr="003E30B6">
        <w:rPr>
          <w:sz w:val="19"/>
          <w:lang w:val="de-DE"/>
        </w:rPr>
        <w:t xml:space="preserve">r · Exposure; CET1-wirksam nur der FVOCI/FVTPL-Anteil je Bank. </w:t>
      </w:r>
      <w:r w:rsidRPr="003E30B6">
        <w:rPr>
          <w:b/>
          <w:sz w:val="19"/>
          <w:lang w:val="de-DE"/>
        </w:rPr>
        <w:t>Warum:</w:t>
      </w:r>
      <w:r w:rsidRPr="003E30B6">
        <w:rPr>
          <w:sz w:val="19"/>
          <w:lang w:val="de-DE"/>
        </w:rPr>
        <w:t xml:space="preserve"> Das folgt der IFRS-9-Bewertungslogik - zu fortgeführten Anschaffungskosten (AC) gehaltene Bestände berühren die CET1-Quote laufend nicht. </w:t>
      </w:r>
      <w:r w:rsidRPr="003E30B6">
        <w:rPr>
          <w:b/>
          <w:sz w:val="19"/>
          <w:lang w:val="de-DE"/>
        </w:rPr>
        <w:t>Verworfene Alternative:</w:t>
      </w:r>
      <w:r w:rsidRPr="003E30B6">
        <w:rPr>
          <w:sz w:val="19"/>
          <w:lang w:val="de-DE"/>
        </w:rPr>
        <w:t xml:space="preserve"> volle Marktbewertung aller Bestände (überzeichnet) oder Verzicht auf den Kanal (unterschlägt das Zinsrisiko). </w:t>
      </w:r>
      <w:r w:rsidRPr="003E30B6">
        <w:rPr>
          <w:b/>
          <w:sz w:val="19"/>
          <w:lang w:val="de-DE"/>
        </w:rPr>
        <w:t>Wirkung bei Fehlspezifikation:</w:t>
      </w:r>
      <w:r w:rsidRPr="003E30B6">
        <w:rPr>
          <w:sz w:val="19"/>
          <w:lang w:val="de-DE"/>
        </w:rPr>
        <w:t xml:space="preserve"> Latente AC-Verluste bleiben unsichtbar - eine bewusste Untererfassung, die das Cockpit als separate Analyse ausweist (SVB-Lektion, Jiang et al. 2023).</w:t>
      </w:r>
    </w:p>
    <w:p w14:paraId="6446C235" w14:textId="77777777" w:rsidR="00236E73" w:rsidRPr="003E30B6" w:rsidRDefault="00000000">
      <w:pPr>
        <w:pStyle w:val="Heading3"/>
        <w:rPr>
          <w:lang w:val="de-DE"/>
        </w:rPr>
      </w:pPr>
      <w:r w:rsidRPr="003E30B6">
        <w:rPr>
          <w:lang w:val="de-DE"/>
        </w:rPr>
        <w:t>A-07 - Kein Trading-Book-Kanal</w:t>
      </w:r>
    </w:p>
    <w:p w14:paraId="09954865" w14:textId="77777777" w:rsidR="00236E73" w:rsidRPr="003E30B6" w:rsidRDefault="00000000">
      <w:pPr>
        <w:spacing w:after="180"/>
        <w:rPr>
          <w:lang w:val="de-DE"/>
        </w:rPr>
      </w:pPr>
      <w:r w:rsidRPr="003E30B6">
        <w:rPr>
          <w:b/>
          <w:sz w:val="19"/>
          <w:lang w:val="de-DE"/>
        </w:rPr>
        <w:t>Festlegung:</w:t>
      </w:r>
      <w:r w:rsidRPr="003E30B6">
        <w:rPr>
          <w:sz w:val="19"/>
          <w:lang w:val="de-DE"/>
        </w:rPr>
        <w:t xml:space="preserve"> Das Handelsbuch ist kein eigener Stress-Kanal. </w:t>
      </w:r>
      <w:r w:rsidRPr="003E30B6">
        <w:rPr>
          <w:b/>
          <w:sz w:val="19"/>
          <w:lang w:val="de-DE"/>
        </w:rPr>
        <w:t>Warum:</w:t>
      </w:r>
      <w:r w:rsidRPr="003E30B6">
        <w:rPr>
          <w:sz w:val="19"/>
          <w:lang w:val="de-DE"/>
        </w:rPr>
        <w:t xml:space="preserve"> Die Handelsbücher der zehn Banken sind relativ klein, und eine belastbare öffentliche FRTB-Kalibrierung existiert nicht - ein pauschaler Multiplikator wäre Scheingenauigkeit. </w:t>
      </w:r>
      <w:r w:rsidRPr="003E30B6">
        <w:rPr>
          <w:b/>
          <w:sz w:val="19"/>
          <w:lang w:val="de-DE"/>
        </w:rPr>
        <w:t>Verworfene Alternative:</w:t>
      </w:r>
      <w:r w:rsidRPr="003E30B6">
        <w:rPr>
          <w:sz w:val="19"/>
          <w:lang w:val="de-DE"/>
        </w:rPr>
        <w:t xml:space="preserve"> ein Kanal mit angenommenem Marktrisiko-Multiplikator ohne bankindividuelle Datenbasis. </w:t>
      </w:r>
      <w:r w:rsidRPr="003E30B6">
        <w:rPr>
          <w:b/>
          <w:sz w:val="19"/>
          <w:lang w:val="de-DE"/>
        </w:rPr>
        <w:t>Wirkung:</w:t>
      </w:r>
      <w:r w:rsidRPr="003E30B6">
        <w:rPr>
          <w:sz w:val="19"/>
          <w:lang w:val="de-DE"/>
        </w:rPr>
        <w:t xml:space="preserve"> Für Banken mit größerem Handelsbuch wird der Stress tendenziell unterschätzt; diese Grenze ist als Scope-Grenze dokumentiert (Abschnitt 8).</w:t>
      </w:r>
    </w:p>
    <w:p w14:paraId="3F06F5B3" w14:textId="77777777" w:rsidR="00236E73" w:rsidRPr="003E30B6" w:rsidRDefault="00000000">
      <w:pPr>
        <w:pStyle w:val="Heading3"/>
        <w:rPr>
          <w:lang w:val="de-DE"/>
        </w:rPr>
      </w:pPr>
      <w:r w:rsidRPr="003E30B6">
        <w:rPr>
          <w:lang w:val="de-DE"/>
        </w:rPr>
        <w:t>A-08 - Universum: die 10 größten EU-IRB-Banken</w:t>
      </w:r>
    </w:p>
    <w:p w14:paraId="090CB7E9" w14:textId="77777777" w:rsidR="00236E73" w:rsidRPr="003E30B6" w:rsidRDefault="00000000">
      <w:pPr>
        <w:spacing w:after="180"/>
        <w:rPr>
          <w:lang w:val="de-DE"/>
        </w:rPr>
      </w:pPr>
      <w:r w:rsidRPr="003E30B6">
        <w:rPr>
          <w:b/>
          <w:sz w:val="19"/>
          <w:lang w:val="de-DE"/>
        </w:rPr>
        <w:t>Festlegung:</w:t>
      </w:r>
      <w:r w:rsidRPr="003E30B6">
        <w:rPr>
          <w:sz w:val="19"/>
          <w:lang w:val="de-DE"/>
        </w:rPr>
        <w:t xml:space="preserve"> Genau zehn Institute, ausgewählt nach Größe und A-IRB-Offenlegungsqualität. </w:t>
      </w:r>
      <w:r w:rsidRPr="003E30B6">
        <w:rPr>
          <w:b/>
          <w:sz w:val="19"/>
          <w:lang w:val="de-DE"/>
        </w:rPr>
        <w:t>Warum:</w:t>
      </w:r>
      <w:r w:rsidRPr="003E30B6">
        <w:rPr>
          <w:sz w:val="19"/>
          <w:lang w:val="de-DE"/>
        </w:rPr>
        <w:t xml:space="preserve"> Einheitliche, vollständige Pillar-3-Daten schlagen eine breite, aber heterogene Abdeckung. </w:t>
      </w:r>
      <w:r w:rsidRPr="003E30B6">
        <w:rPr>
          <w:b/>
          <w:sz w:val="19"/>
          <w:lang w:val="de-DE"/>
        </w:rPr>
        <w:t>Verworfene Alternative:</w:t>
      </w:r>
      <w:r w:rsidRPr="003E30B6">
        <w:rPr>
          <w:sz w:val="19"/>
          <w:lang w:val="de-DE"/>
        </w:rPr>
        <w:t xml:space="preserve"> alle ~67 IRB-Banken der Transparency (uneinheitliche Offenlegung, Konzern-/Tochter-Doppelzählungen). </w:t>
      </w:r>
      <w:r w:rsidRPr="003E30B6">
        <w:rPr>
          <w:b/>
          <w:sz w:val="19"/>
          <w:lang w:val="de-DE"/>
        </w:rPr>
        <w:t>Wirkung:</w:t>
      </w:r>
      <w:r w:rsidRPr="003E30B6">
        <w:rPr>
          <w:sz w:val="19"/>
          <w:lang w:val="de-DE"/>
        </w:rPr>
        <w:t xml:space="preserve"> Aussagen gelten für diese Gruppe - nicht für den gesamten EU-Bankenmarkt.</w:t>
      </w:r>
    </w:p>
    <w:p w14:paraId="47F81DFE" w14:textId="77777777" w:rsidR="00236E73" w:rsidRPr="003E30B6" w:rsidRDefault="00000000">
      <w:pPr>
        <w:pStyle w:val="Heading3"/>
        <w:rPr>
          <w:lang w:val="de-DE"/>
        </w:rPr>
      </w:pPr>
      <w:r w:rsidRPr="003E30B6">
        <w:rPr>
          <w:lang w:val="de-DE"/>
        </w:rPr>
        <w:t>A-09 - Klassen-Raster: 7 IRB-Klassen</w:t>
      </w:r>
    </w:p>
    <w:p w14:paraId="14A36388" w14:textId="77777777" w:rsidR="00236E73" w:rsidRPr="003E30B6" w:rsidRDefault="00000000">
      <w:pPr>
        <w:spacing w:after="180"/>
        <w:rPr>
          <w:lang w:val="de-DE"/>
        </w:rPr>
      </w:pPr>
      <w:r w:rsidRPr="003E30B6">
        <w:rPr>
          <w:b/>
          <w:sz w:val="19"/>
          <w:lang w:val="de-DE"/>
        </w:rPr>
        <w:t>Festlegung:</w:t>
      </w:r>
      <w:r w:rsidRPr="003E30B6">
        <w:rPr>
          <w:sz w:val="19"/>
          <w:lang w:val="de-DE"/>
        </w:rPr>
        <w:t xml:space="preserve"> corporate, sme_corporate, mortgage, qrre, other_retail, bank, sovereign - das EU-CR6-Raster. </w:t>
      </w:r>
      <w:r w:rsidRPr="003E30B6">
        <w:rPr>
          <w:b/>
          <w:sz w:val="19"/>
          <w:lang w:val="de-DE"/>
        </w:rPr>
        <w:t>Warum:</w:t>
      </w:r>
      <w:r w:rsidRPr="003E30B6">
        <w:rPr>
          <w:sz w:val="19"/>
          <w:lang w:val="de-DE"/>
        </w:rPr>
        <w:t xml:space="preserve"> Es ist der kleinste gemeinsame Nenner, den alle zehn Banken identisch offenlegen. </w:t>
      </w:r>
      <w:r w:rsidRPr="003E30B6">
        <w:rPr>
          <w:b/>
          <w:sz w:val="19"/>
          <w:lang w:val="de-DE"/>
        </w:rPr>
        <w:t xml:space="preserve">Verworfene </w:t>
      </w:r>
      <w:r w:rsidRPr="003E30B6">
        <w:rPr>
          <w:b/>
          <w:sz w:val="19"/>
          <w:lang w:val="de-DE"/>
        </w:rPr>
        <w:lastRenderedPageBreak/>
        <w:t>Alternative:</w:t>
      </w:r>
      <w:r w:rsidRPr="003E30B6">
        <w:rPr>
          <w:sz w:val="19"/>
          <w:lang w:val="de-DE"/>
        </w:rPr>
        <w:t xml:space="preserve"> feinere Branchenraster (NACE) - öffentlich nicht flächendeckend verfügbar. </w:t>
      </w:r>
      <w:r w:rsidRPr="003E30B6">
        <w:rPr>
          <w:b/>
          <w:sz w:val="19"/>
          <w:lang w:val="de-DE"/>
        </w:rPr>
        <w:t>Wirkung:</w:t>
      </w:r>
      <w:r w:rsidRPr="003E30B6">
        <w:rPr>
          <w:sz w:val="19"/>
          <w:lang w:val="de-DE"/>
        </w:rPr>
        <w:t xml:space="preserve"> Heterogenität innerhalb einer Klasse wird auf den gewichteten Durchschnitt gemittelt.</w:t>
      </w:r>
    </w:p>
    <w:p w14:paraId="5B2E0C1B" w14:textId="77777777" w:rsidR="00236E73" w:rsidRPr="003E30B6" w:rsidRDefault="00000000">
      <w:pPr>
        <w:pStyle w:val="Heading3"/>
        <w:rPr>
          <w:lang w:val="de-DE"/>
        </w:rPr>
      </w:pPr>
      <w:r w:rsidRPr="003E30B6">
        <w:rPr>
          <w:lang w:val="de-DE"/>
        </w:rPr>
        <w:t>A-10 - Faktor-Unabhängigkeit (kein Kreuzterm)</w:t>
      </w:r>
    </w:p>
    <w:p w14:paraId="10934E63" w14:textId="77777777" w:rsidR="00236E73" w:rsidRPr="003E30B6" w:rsidRDefault="00000000">
      <w:pPr>
        <w:spacing w:after="180"/>
        <w:rPr>
          <w:lang w:val="de-DE"/>
        </w:rPr>
      </w:pPr>
      <w:r w:rsidRPr="003E30B6">
        <w:rPr>
          <w:b/>
          <w:sz w:val="19"/>
          <w:lang w:val="de-DE"/>
        </w:rPr>
        <w:t>Festlegung:</w:t>
      </w:r>
      <w:r w:rsidRPr="003E30B6">
        <w:rPr>
          <w:sz w:val="19"/>
          <w:lang w:val="de-DE"/>
        </w:rPr>
        <w:t xml:space="preserve"> Öl- und Zinsschock wirken additiv, ohne Interaktionsterm. </w:t>
      </w:r>
      <w:r w:rsidRPr="003E30B6">
        <w:rPr>
          <w:b/>
          <w:sz w:val="19"/>
          <w:lang w:val="de-DE"/>
        </w:rPr>
        <w:t>Warum:</w:t>
      </w:r>
      <w:r w:rsidRPr="003E30B6">
        <w:rPr>
          <w:sz w:val="19"/>
          <w:lang w:val="de-DE"/>
        </w:rPr>
        <w:t xml:space="preserve"> Empirisch sind die Faktoren nahezu unkorreliert (</w:t>
      </w:r>
      <w:r>
        <w:rPr>
          <w:sz w:val="19"/>
        </w:rPr>
        <w:t>ρ</w:t>
      </w:r>
      <w:r w:rsidRPr="003E30B6">
        <w:rPr>
          <w:sz w:val="19"/>
          <w:lang w:val="de-DE"/>
        </w:rPr>
        <w:t xml:space="preserve"> = +0,07 über 1 242 Handelstage). </w:t>
      </w:r>
      <w:r w:rsidRPr="003E30B6">
        <w:rPr>
          <w:b/>
          <w:sz w:val="19"/>
          <w:lang w:val="de-DE"/>
        </w:rPr>
        <w:t>Verworfene Alternative:</w:t>
      </w:r>
      <w:r w:rsidRPr="003E30B6">
        <w:rPr>
          <w:sz w:val="19"/>
          <w:lang w:val="de-DE"/>
        </w:rPr>
        <w:t xml:space="preserve"> Copula- oder Interaktionsmodelle - ohne empirischen Träger nur zusätzliche Komplexität. </w:t>
      </w:r>
      <w:r w:rsidRPr="003E30B6">
        <w:rPr>
          <w:b/>
          <w:sz w:val="19"/>
          <w:lang w:val="de-DE"/>
        </w:rPr>
        <w:t>Wirkung bei Fehlspezifikation:</w:t>
      </w:r>
      <w:r w:rsidRPr="003E30B6">
        <w:rPr>
          <w:sz w:val="19"/>
          <w:lang w:val="de-DE"/>
        </w:rPr>
        <w:t xml:space="preserve"> Bei gleichzeitigen Extremschocks entstünde ein Effekt zweiter Ordnung; im beobachteten Wertebereich ist er vernachlässigbar.</w:t>
      </w:r>
    </w:p>
    <w:p w14:paraId="7E32F8FD" w14:textId="77777777" w:rsidR="00236E73" w:rsidRPr="003E30B6" w:rsidRDefault="00000000">
      <w:pPr>
        <w:pStyle w:val="Heading1"/>
        <w:rPr>
          <w:lang w:val="de-DE"/>
        </w:rPr>
      </w:pPr>
      <w:r w:rsidRPr="003E30B6">
        <w:rPr>
          <w:lang w:val="de-DE"/>
        </w:rPr>
        <w:t>7. Validierung: CET1-Walk-Forward-Backtest</w:t>
      </w:r>
    </w:p>
    <w:p w14:paraId="0486F7A0" w14:textId="77777777" w:rsidR="00236E73" w:rsidRPr="003E30B6" w:rsidRDefault="00000000">
      <w:pPr>
        <w:rPr>
          <w:lang w:val="de-DE"/>
        </w:rPr>
      </w:pPr>
      <w:r w:rsidRPr="003E30B6">
        <w:rPr>
          <w:lang w:val="de-DE"/>
        </w:rPr>
        <w:t xml:space="preserve">Das Modell wird nicht an dem Datenstand geprüft, mit dem es gebaut wurde, sondern </w:t>
      </w:r>
      <w:r w:rsidRPr="003E30B6">
        <w:rPr>
          <w:b/>
          <w:lang w:val="de-DE"/>
        </w:rPr>
        <w:t>rollierend durch die Vergangenheit</w:t>
      </w:r>
      <w:r w:rsidRPr="003E30B6">
        <w:rPr>
          <w:lang w:val="de-DE"/>
        </w:rPr>
        <w:t>: Für jedes Jahr wird das Portfolio mit den damals bekannten Pillar-3-Parametern des Vorjahres eingefroren, der tatsächlich eingetretene Öl-/Zins-Schock des Jahres eingespeist und die prognostizierte CET1-Quote mit der später gemeldeten verglichen - ohne jeden Blick in die Zukunft.</w:t>
      </w:r>
    </w:p>
    <w:p w14:paraId="48D67663" w14:textId="77777777" w:rsidR="00236E73" w:rsidRDefault="00000000">
      <w:pPr>
        <w:spacing w:before="120" w:after="40"/>
        <w:jc w:val="center"/>
      </w:pPr>
      <w:r>
        <w:rPr>
          <w:noProof/>
        </w:rPr>
        <w:drawing>
          <wp:inline distT="0" distB="0" distL="0" distR="0" wp14:anchorId="5F7AC2CC" wp14:editId="038FE940">
            <wp:extent cx="5832000" cy="231079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walkforward.png"/>
                    <pic:cNvPicPr/>
                  </pic:nvPicPr>
                  <pic:blipFill>
                    <a:blip r:embed="rId11"/>
                    <a:stretch>
                      <a:fillRect/>
                    </a:stretch>
                  </pic:blipFill>
                  <pic:spPr>
                    <a:xfrm>
                      <a:off x="0" y="0"/>
                      <a:ext cx="5832000" cy="2310792"/>
                    </a:xfrm>
                    <a:prstGeom prst="rect">
                      <a:avLst/>
                    </a:prstGeom>
                  </pic:spPr>
                </pic:pic>
              </a:graphicData>
            </a:graphic>
          </wp:inline>
        </w:drawing>
      </w:r>
    </w:p>
    <w:p w14:paraId="668895D2" w14:textId="77777777" w:rsidR="00236E73" w:rsidRPr="003E30B6" w:rsidRDefault="00000000">
      <w:pPr>
        <w:spacing w:after="240"/>
        <w:jc w:val="center"/>
        <w:rPr>
          <w:lang w:val="de-DE"/>
        </w:rPr>
      </w:pPr>
      <w:r>
        <w:rPr>
          <w:i/>
          <w:color w:val="6E6E6E"/>
          <w:sz w:val="17"/>
        </w:rPr>
        <w:t xml:space="preserve">Abb. 4: No-Look-Ahead-Prinzip. </w:t>
      </w:r>
      <w:r w:rsidRPr="003E30B6">
        <w:rPr>
          <w:i/>
          <w:color w:val="6E6E6E"/>
          <w:sz w:val="17"/>
          <w:lang w:val="de-DE"/>
        </w:rPr>
        <w:t>Einfrieren (31.12. des Vorjahres) → realen Schock einspeisen → gegen die gemeldete CET1-Quote halten → ein Jahr weiterrollen.</w:t>
      </w:r>
    </w:p>
    <w:p w14:paraId="20E87BAC" w14:textId="77777777" w:rsidR="00236E73" w:rsidRPr="003E30B6" w:rsidRDefault="00000000">
      <w:pPr>
        <w:pStyle w:val="Heading2"/>
        <w:rPr>
          <w:lang w:val="de-DE"/>
        </w:rPr>
      </w:pPr>
      <w:r w:rsidRPr="003E30B6">
        <w:rPr>
          <w:lang w:val="de-DE"/>
        </w:rPr>
        <w:t>Ergebnis (30 Bank-Jahre, 2022-2024, vollständiges Panel)</w:t>
      </w:r>
    </w:p>
    <w:tbl>
      <w:tblPr>
        <w:tblStyle w:val="TableGrid"/>
        <w:tblW w:w="0" w:type="auto"/>
        <w:jc w:val="center"/>
        <w:tblLook w:val="04A0" w:firstRow="1" w:lastRow="0" w:firstColumn="1" w:lastColumn="0" w:noHBand="0" w:noVBand="1"/>
      </w:tblPr>
      <w:tblGrid>
        <w:gridCol w:w="2823"/>
        <w:gridCol w:w="1318"/>
        <w:gridCol w:w="5270"/>
      </w:tblGrid>
      <w:tr w:rsidR="00236E73" w14:paraId="04AC7BDC" w14:textId="77777777">
        <w:trPr>
          <w:jc w:val="center"/>
        </w:trPr>
        <w:tc>
          <w:tcPr>
            <w:tcW w:w="2823" w:type="dxa"/>
            <w:shd w:val="clear" w:color="auto" w:fill="D9E4EC"/>
          </w:tcPr>
          <w:p w14:paraId="11DD3BEC" w14:textId="77777777" w:rsidR="00236E73" w:rsidRDefault="00000000">
            <w:r>
              <w:rPr>
                <w:b/>
                <w:sz w:val="18"/>
              </w:rPr>
              <w:t>Kennzahl</w:t>
            </w:r>
          </w:p>
        </w:tc>
        <w:tc>
          <w:tcPr>
            <w:tcW w:w="1318" w:type="dxa"/>
            <w:shd w:val="clear" w:color="auto" w:fill="D9E4EC"/>
          </w:tcPr>
          <w:p w14:paraId="6F507651" w14:textId="77777777" w:rsidR="00236E73" w:rsidRDefault="00000000">
            <w:r>
              <w:rPr>
                <w:b/>
                <w:sz w:val="18"/>
              </w:rPr>
              <w:t>Wert</w:t>
            </w:r>
          </w:p>
        </w:tc>
        <w:tc>
          <w:tcPr>
            <w:tcW w:w="5270" w:type="dxa"/>
            <w:shd w:val="clear" w:color="auto" w:fill="D9E4EC"/>
          </w:tcPr>
          <w:p w14:paraId="7CD7FA5B" w14:textId="77777777" w:rsidR="00236E73" w:rsidRDefault="00000000">
            <w:r>
              <w:rPr>
                <w:b/>
                <w:sz w:val="18"/>
              </w:rPr>
              <w:t>Bedeutung</w:t>
            </w:r>
          </w:p>
        </w:tc>
      </w:tr>
      <w:tr w:rsidR="00236E73" w:rsidRPr="003E30B6" w14:paraId="30C45813" w14:textId="77777777">
        <w:trPr>
          <w:jc w:val="center"/>
        </w:trPr>
        <w:tc>
          <w:tcPr>
            <w:tcW w:w="2823" w:type="dxa"/>
          </w:tcPr>
          <w:p w14:paraId="681851B4" w14:textId="77777777" w:rsidR="00236E73" w:rsidRDefault="00000000">
            <w:r>
              <w:rPr>
                <w:sz w:val="18"/>
              </w:rPr>
              <w:t>MAE (mittlerer absoluter Fehler)</w:t>
            </w:r>
          </w:p>
        </w:tc>
        <w:tc>
          <w:tcPr>
            <w:tcW w:w="1318" w:type="dxa"/>
          </w:tcPr>
          <w:p w14:paraId="08035BBB" w14:textId="77777777" w:rsidR="00236E73" w:rsidRDefault="00000000">
            <w:r>
              <w:rPr>
                <w:b/>
                <w:sz w:val="18"/>
              </w:rPr>
              <w:t>1,26 pp</w:t>
            </w:r>
          </w:p>
        </w:tc>
        <w:tc>
          <w:tcPr>
            <w:tcW w:w="5270" w:type="dxa"/>
          </w:tcPr>
          <w:p w14:paraId="03E2D9A6" w14:textId="77777777" w:rsidR="00236E73" w:rsidRPr="003E30B6" w:rsidRDefault="00000000">
            <w:pPr>
              <w:rPr>
                <w:lang w:val="de-DE"/>
              </w:rPr>
            </w:pPr>
            <w:r w:rsidRPr="003E30B6">
              <w:rPr>
                <w:sz w:val="18"/>
                <w:lang w:val="de-DE"/>
              </w:rPr>
              <w:t>Ø-Abstand Prognose ↔ gemeldete CET1-Quote; auf ~15 %-Niveau ≈ 8 % relativer Abstand</w:t>
            </w:r>
          </w:p>
        </w:tc>
      </w:tr>
      <w:tr w:rsidR="00236E73" w:rsidRPr="003E30B6" w14:paraId="6DC0766F" w14:textId="77777777">
        <w:trPr>
          <w:jc w:val="center"/>
        </w:trPr>
        <w:tc>
          <w:tcPr>
            <w:tcW w:w="2823" w:type="dxa"/>
          </w:tcPr>
          <w:p w14:paraId="77738F2A" w14:textId="77777777" w:rsidR="00236E73" w:rsidRDefault="00000000">
            <w:r>
              <w:rPr>
                <w:sz w:val="18"/>
              </w:rPr>
              <w:t>Treffer ≤ 1 pp</w:t>
            </w:r>
          </w:p>
        </w:tc>
        <w:tc>
          <w:tcPr>
            <w:tcW w:w="1318" w:type="dxa"/>
          </w:tcPr>
          <w:p w14:paraId="27483C4A" w14:textId="77777777" w:rsidR="00236E73" w:rsidRDefault="00000000">
            <w:r>
              <w:rPr>
                <w:b/>
                <w:sz w:val="18"/>
              </w:rPr>
              <w:t>60 %</w:t>
            </w:r>
          </w:p>
        </w:tc>
        <w:tc>
          <w:tcPr>
            <w:tcW w:w="5270" w:type="dxa"/>
          </w:tcPr>
          <w:p w14:paraId="193DAA71" w14:textId="77777777" w:rsidR="00236E73" w:rsidRPr="003E30B6" w:rsidRDefault="00000000">
            <w:pPr>
              <w:rPr>
                <w:lang w:val="de-DE"/>
              </w:rPr>
            </w:pPr>
            <w:r w:rsidRPr="003E30B6">
              <w:rPr>
                <w:sz w:val="18"/>
                <w:lang w:val="de-DE"/>
              </w:rPr>
              <w:t>Anteil der Bank-Jahre mit höchstens 1 Prozentpunkt Abweichung</w:t>
            </w:r>
          </w:p>
        </w:tc>
      </w:tr>
      <w:tr w:rsidR="00236E73" w:rsidRPr="003E30B6" w14:paraId="3DA82CFE" w14:textId="77777777">
        <w:trPr>
          <w:jc w:val="center"/>
        </w:trPr>
        <w:tc>
          <w:tcPr>
            <w:tcW w:w="2823" w:type="dxa"/>
          </w:tcPr>
          <w:p w14:paraId="0B8C61CF" w14:textId="77777777" w:rsidR="00236E73" w:rsidRDefault="00000000">
            <w:r>
              <w:rPr>
                <w:sz w:val="18"/>
              </w:rPr>
              <w:t>Konservativ-Anteil</w:t>
            </w:r>
          </w:p>
        </w:tc>
        <w:tc>
          <w:tcPr>
            <w:tcW w:w="1318" w:type="dxa"/>
          </w:tcPr>
          <w:p w14:paraId="239101D1" w14:textId="77777777" w:rsidR="00236E73" w:rsidRDefault="00000000">
            <w:r>
              <w:rPr>
                <w:b/>
                <w:sz w:val="18"/>
              </w:rPr>
              <w:t>73 %</w:t>
            </w:r>
          </w:p>
        </w:tc>
        <w:tc>
          <w:tcPr>
            <w:tcW w:w="5270" w:type="dxa"/>
          </w:tcPr>
          <w:p w14:paraId="0CFF6A92" w14:textId="77777777" w:rsidR="00236E73" w:rsidRPr="003E30B6" w:rsidRDefault="00000000">
            <w:pPr>
              <w:rPr>
                <w:lang w:val="de-DE"/>
              </w:rPr>
            </w:pPr>
            <w:r w:rsidRPr="003E30B6">
              <w:rPr>
                <w:sz w:val="18"/>
                <w:lang w:val="de-DE"/>
              </w:rPr>
              <w:t>Prognose ≤ gemeldete Quote - das Modell irrt auf der sicheren Seite</w:t>
            </w:r>
          </w:p>
        </w:tc>
      </w:tr>
      <w:tr w:rsidR="00236E73" w:rsidRPr="003E30B6" w14:paraId="4E9D0F1B" w14:textId="77777777">
        <w:trPr>
          <w:jc w:val="center"/>
        </w:trPr>
        <w:tc>
          <w:tcPr>
            <w:tcW w:w="2823" w:type="dxa"/>
          </w:tcPr>
          <w:p w14:paraId="77D2F0D3" w14:textId="77777777" w:rsidR="00236E73" w:rsidRDefault="00000000">
            <w:r>
              <w:rPr>
                <w:sz w:val="18"/>
              </w:rPr>
              <w:t>Bias</w:t>
            </w:r>
          </w:p>
        </w:tc>
        <w:tc>
          <w:tcPr>
            <w:tcW w:w="1318" w:type="dxa"/>
          </w:tcPr>
          <w:p w14:paraId="726DC5B6" w14:textId="77777777" w:rsidR="00236E73" w:rsidRDefault="00000000">
            <w:r>
              <w:rPr>
                <w:b/>
                <w:sz w:val="18"/>
              </w:rPr>
              <w:t>-0,99 pp</w:t>
            </w:r>
          </w:p>
        </w:tc>
        <w:tc>
          <w:tcPr>
            <w:tcW w:w="5270" w:type="dxa"/>
          </w:tcPr>
          <w:p w14:paraId="7846C914" w14:textId="77777777" w:rsidR="00236E73" w:rsidRPr="003E30B6" w:rsidRDefault="00000000">
            <w:pPr>
              <w:rPr>
                <w:lang w:val="de-DE"/>
              </w:rPr>
            </w:pPr>
            <w:r w:rsidRPr="003E30B6">
              <w:rPr>
                <w:sz w:val="18"/>
                <w:lang w:val="de-DE"/>
              </w:rPr>
              <w:t>systematisch vorsichtig (gewollt: kein NII-Gegeneffekt angesetzt)</w:t>
            </w:r>
          </w:p>
        </w:tc>
      </w:tr>
    </w:tbl>
    <w:p w14:paraId="7A596EF9" w14:textId="77777777" w:rsidR="00236E73" w:rsidRPr="003E30B6" w:rsidRDefault="00236E73">
      <w:pPr>
        <w:spacing w:after="80"/>
        <w:rPr>
          <w:lang w:val="de-DE"/>
        </w:rPr>
      </w:pPr>
    </w:p>
    <w:p w14:paraId="54034370" w14:textId="77777777" w:rsidR="00236E73" w:rsidRPr="003E30B6" w:rsidRDefault="00000000">
      <w:pPr>
        <w:rPr>
          <w:lang w:val="de-DE"/>
        </w:rPr>
      </w:pPr>
      <w:r w:rsidRPr="003E30B6">
        <w:rPr>
          <w:sz w:val="19"/>
          <w:lang w:val="de-DE"/>
        </w:rPr>
        <w:t>Alle 10 Banken sind in allen drei Backtest-Jahren vertreten (30 von 30 möglichen Bank-Jahren). Im Zinsschock-Jahr 2022 liegt das Modell bei allen 10 Banken auf der konservativen Seite (Ø -2,49 pp - der bewusst nicht angesetzte NII-Gegeneffekt); in den ruhigeren Jahren 2023/2024 beträgt der mittlere Fehler 0,48 bzw. 0,81 pp.</w:t>
      </w:r>
    </w:p>
    <w:p w14:paraId="1C3EF8A1" w14:textId="77777777" w:rsidR="00236E73" w:rsidRDefault="00000000">
      <w:pPr>
        <w:pStyle w:val="Heading2"/>
      </w:pPr>
      <w:r>
        <w:t>Robustheit der Stress-Transmission</w:t>
      </w:r>
    </w:p>
    <w:tbl>
      <w:tblPr>
        <w:tblStyle w:val="TableGrid"/>
        <w:tblW w:w="0" w:type="auto"/>
        <w:jc w:val="center"/>
        <w:tblLook w:val="04A0" w:firstRow="1" w:lastRow="0" w:firstColumn="1" w:lastColumn="0" w:noHBand="0" w:noVBand="1"/>
      </w:tblPr>
      <w:tblGrid>
        <w:gridCol w:w="2070"/>
        <w:gridCol w:w="1318"/>
        <w:gridCol w:w="1318"/>
        <w:gridCol w:w="4706"/>
      </w:tblGrid>
      <w:tr w:rsidR="00236E73" w14:paraId="3EDEF82F" w14:textId="77777777">
        <w:trPr>
          <w:jc w:val="center"/>
        </w:trPr>
        <w:tc>
          <w:tcPr>
            <w:tcW w:w="2070" w:type="dxa"/>
            <w:shd w:val="clear" w:color="auto" w:fill="D9E4EC"/>
          </w:tcPr>
          <w:p w14:paraId="36D50345" w14:textId="77777777" w:rsidR="00236E73" w:rsidRDefault="00000000">
            <w:r>
              <w:rPr>
                <w:b/>
                <w:sz w:val="17"/>
              </w:rPr>
              <w:t>Test</w:t>
            </w:r>
          </w:p>
        </w:tc>
        <w:tc>
          <w:tcPr>
            <w:tcW w:w="1318" w:type="dxa"/>
            <w:shd w:val="clear" w:color="auto" w:fill="D9E4EC"/>
          </w:tcPr>
          <w:p w14:paraId="24EB2C2F" w14:textId="77777777" w:rsidR="00236E73" w:rsidRDefault="00000000">
            <w:r>
              <w:rPr>
                <w:b/>
                <w:sz w:val="17"/>
              </w:rPr>
              <w:t>MAE</w:t>
            </w:r>
          </w:p>
        </w:tc>
        <w:tc>
          <w:tcPr>
            <w:tcW w:w="1318" w:type="dxa"/>
            <w:shd w:val="clear" w:color="auto" w:fill="D9E4EC"/>
          </w:tcPr>
          <w:p w14:paraId="6D0AD0CD" w14:textId="77777777" w:rsidR="00236E73" w:rsidRDefault="00000000">
            <w:r>
              <w:rPr>
                <w:b/>
                <w:sz w:val="17"/>
              </w:rPr>
              <w:t>Bias</w:t>
            </w:r>
          </w:p>
        </w:tc>
        <w:tc>
          <w:tcPr>
            <w:tcW w:w="4706" w:type="dxa"/>
            <w:shd w:val="clear" w:color="auto" w:fill="D9E4EC"/>
          </w:tcPr>
          <w:p w14:paraId="52F93E7C" w14:textId="77777777" w:rsidR="00236E73" w:rsidRDefault="00000000">
            <w:r>
              <w:rPr>
                <w:b/>
                <w:sz w:val="17"/>
              </w:rPr>
              <w:t>Einordnung</w:t>
            </w:r>
          </w:p>
        </w:tc>
      </w:tr>
      <w:tr w:rsidR="00236E73" w14:paraId="5478DF0A" w14:textId="77777777">
        <w:trPr>
          <w:jc w:val="center"/>
        </w:trPr>
        <w:tc>
          <w:tcPr>
            <w:tcW w:w="2070" w:type="dxa"/>
          </w:tcPr>
          <w:p w14:paraId="0AE3F473" w14:textId="77777777" w:rsidR="00236E73" w:rsidRDefault="00000000">
            <w:r>
              <w:rPr>
                <w:sz w:val="17"/>
              </w:rPr>
              <w:lastRenderedPageBreak/>
              <w:t>β/γ × 0,5</w:t>
            </w:r>
          </w:p>
        </w:tc>
        <w:tc>
          <w:tcPr>
            <w:tcW w:w="1318" w:type="dxa"/>
          </w:tcPr>
          <w:p w14:paraId="66259D4B" w14:textId="77777777" w:rsidR="00236E73" w:rsidRDefault="00000000">
            <w:r>
              <w:rPr>
                <w:sz w:val="17"/>
              </w:rPr>
              <w:t>0,80 pp</w:t>
            </w:r>
          </w:p>
        </w:tc>
        <w:tc>
          <w:tcPr>
            <w:tcW w:w="1318" w:type="dxa"/>
          </w:tcPr>
          <w:p w14:paraId="4C1024F4" w14:textId="77777777" w:rsidR="00236E73" w:rsidRDefault="00000000">
            <w:r>
              <w:rPr>
                <w:sz w:val="17"/>
              </w:rPr>
              <w:t>-0,63 pp</w:t>
            </w:r>
          </w:p>
        </w:tc>
        <w:tc>
          <w:tcPr>
            <w:tcW w:w="4706" w:type="dxa"/>
          </w:tcPr>
          <w:p w14:paraId="22669543" w14:textId="77777777" w:rsidR="00236E73" w:rsidRDefault="00000000">
            <w:r>
              <w:rPr>
                <w:sz w:val="17"/>
              </w:rPr>
              <w:t>Schwächerer Stress; 2022 bleibt konservativ</w:t>
            </w:r>
          </w:p>
        </w:tc>
      </w:tr>
      <w:tr w:rsidR="00236E73" w14:paraId="31249837" w14:textId="77777777">
        <w:trPr>
          <w:jc w:val="center"/>
        </w:trPr>
        <w:tc>
          <w:tcPr>
            <w:tcW w:w="2070" w:type="dxa"/>
          </w:tcPr>
          <w:p w14:paraId="3C116936" w14:textId="77777777" w:rsidR="00236E73" w:rsidRDefault="00000000">
            <w:r>
              <w:rPr>
                <w:sz w:val="17"/>
              </w:rPr>
              <w:t>Basiskalibrierung</w:t>
            </w:r>
          </w:p>
        </w:tc>
        <w:tc>
          <w:tcPr>
            <w:tcW w:w="1318" w:type="dxa"/>
          </w:tcPr>
          <w:p w14:paraId="02FE09A6" w14:textId="77777777" w:rsidR="00236E73" w:rsidRDefault="00000000">
            <w:r>
              <w:rPr>
                <w:sz w:val="17"/>
              </w:rPr>
              <w:t>1,26 pp</w:t>
            </w:r>
          </w:p>
        </w:tc>
        <w:tc>
          <w:tcPr>
            <w:tcW w:w="1318" w:type="dxa"/>
          </w:tcPr>
          <w:p w14:paraId="66C4CE4A" w14:textId="77777777" w:rsidR="00236E73" w:rsidRDefault="00000000">
            <w:r>
              <w:rPr>
                <w:sz w:val="17"/>
              </w:rPr>
              <w:t>-0,99 pp</w:t>
            </w:r>
          </w:p>
        </w:tc>
        <w:tc>
          <w:tcPr>
            <w:tcW w:w="4706" w:type="dxa"/>
          </w:tcPr>
          <w:p w14:paraId="272AD470" w14:textId="77777777" w:rsidR="00236E73" w:rsidRDefault="00000000">
            <w:r>
              <w:rPr>
                <w:sz w:val="17"/>
              </w:rPr>
              <w:t>Hauptfall des Cockpits</w:t>
            </w:r>
          </w:p>
        </w:tc>
      </w:tr>
      <w:tr w:rsidR="00236E73" w:rsidRPr="003E30B6" w14:paraId="390B58DB" w14:textId="77777777">
        <w:trPr>
          <w:jc w:val="center"/>
        </w:trPr>
        <w:tc>
          <w:tcPr>
            <w:tcW w:w="2070" w:type="dxa"/>
          </w:tcPr>
          <w:p w14:paraId="63F0536A" w14:textId="77777777" w:rsidR="00236E73" w:rsidRDefault="00000000">
            <w:r>
              <w:rPr>
                <w:sz w:val="17"/>
              </w:rPr>
              <w:t>β/γ × 1,5</w:t>
            </w:r>
          </w:p>
        </w:tc>
        <w:tc>
          <w:tcPr>
            <w:tcW w:w="1318" w:type="dxa"/>
          </w:tcPr>
          <w:p w14:paraId="15BCF6C2" w14:textId="77777777" w:rsidR="00236E73" w:rsidRDefault="00000000">
            <w:r>
              <w:rPr>
                <w:sz w:val="17"/>
              </w:rPr>
              <w:t>1,71 pp</w:t>
            </w:r>
          </w:p>
        </w:tc>
        <w:tc>
          <w:tcPr>
            <w:tcW w:w="1318" w:type="dxa"/>
          </w:tcPr>
          <w:p w14:paraId="0D531D83" w14:textId="77777777" w:rsidR="00236E73" w:rsidRDefault="00000000">
            <w:r>
              <w:rPr>
                <w:sz w:val="17"/>
              </w:rPr>
              <w:t>-1,31 pp</w:t>
            </w:r>
          </w:p>
        </w:tc>
        <w:tc>
          <w:tcPr>
            <w:tcW w:w="4706" w:type="dxa"/>
          </w:tcPr>
          <w:p w14:paraId="489FE46F" w14:textId="77777777" w:rsidR="00236E73" w:rsidRPr="003E30B6" w:rsidRDefault="00000000">
            <w:pPr>
              <w:rPr>
                <w:lang w:val="de-DE"/>
              </w:rPr>
            </w:pPr>
            <w:r w:rsidRPr="003E30B6">
              <w:rPr>
                <w:sz w:val="17"/>
                <w:lang w:val="de-DE"/>
              </w:rPr>
              <w:t>Strengerer Stress; bewusst konservative Oberseite</w:t>
            </w:r>
          </w:p>
        </w:tc>
      </w:tr>
    </w:tbl>
    <w:p w14:paraId="035C9DEF" w14:textId="77777777" w:rsidR="00236E73" w:rsidRPr="003E30B6" w:rsidRDefault="00236E73">
      <w:pPr>
        <w:spacing w:after="80"/>
        <w:rPr>
          <w:lang w:val="de-DE"/>
        </w:rPr>
      </w:pPr>
    </w:p>
    <w:p w14:paraId="13237B2C" w14:textId="77777777" w:rsidR="00236E73" w:rsidRPr="003E30B6" w:rsidRDefault="00000000">
      <w:pPr>
        <w:rPr>
          <w:lang w:val="de-DE"/>
        </w:rPr>
      </w:pPr>
      <w:r w:rsidRPr="003E30B6">
        <w:rPr>
          <w:sz w:val="19"/>
          <w:lang w:val="de-DE"/>
        </w:rPr>
        <w:t xml:space="preserve">Der Test skaliert die gesamte PD-/LGD-Transmission um ±50 %. Er zeigt, ob das Ergebnis nur an einer punktgenauen </w:t>
      </w:r>
      <w:r>
        <w:rPr>
          <w:sz w:val="19"/>
        </w:rPr>
        <w:t>β</w:t>
      </w:r>
      <w:r w:rsidRPr="003E30B6">
        <w:rPr>
          <w:sz w:val="19"/>
          <w:lang w:val="de-DE"/>
        </w:rPr>
        <w:t xml:space="preserve">-Wahl hängt. Die Richtung bleibt stabil: stärkere </w:t>
      </w:r>
      <w:r>
        <w:rPr>
          <w:sz w:val="19"/>
        </w:rPr>
        <w:t>β</w:t>
      </w:r>
      <w:r w:rsidRPr="003E30B6">
        <w:rPr>
          <w:sz w:val="19"/>
          <w:lang w:val="de-DE"/>
        </w:rPr>
        <w:t xml:space="preserve"> verschärfen den konservativen Bias, schwächere </w:t>
      </w:r>
      <w:r>
        <w:rPr>
          <w:sz w:val="19"/>
        </w:rPr>
        <w:t>β</w:t>
      </w:r>
      <w:r w:rsidRPr="003E30B6">
        <w:rPr>
          <w:sz w:val="19"/>
          <w:lang w:val="de-DE"/>
        </w:rPr>
        <w:t xml:space="preserve"> reduzieren ihn, ohne das Backtest-Narrativ zu drehen.</w:t>
      </w:r>
    </w:p>
    <w:p w14:paraId="5338F3F1" w14:textId="77777777" w:rsidR="00236E73" w:rsidRDefault="00000000">
      <w:pPr>
        <w:pStyle w:val="Heading2"/>
      </w:pPr>
      <w:r>
        <w:t>Einordnung: Point-in-Time vs. Through-the-Cycle</w:t>
      </w:r>
    </w:p>
    <w:p w14:paraId="4AF33DCA" w14:textId="77777777" w:rsidR="00236E73" w:rsidRPr="003E30B6" w:rsidRDefault="00000000">
      <w:pPr>
        <w:rPr>
          <w:lang w:val="de-DE"/>
        </w:rPr>
      </w:pPr>
      <w:r w:rsidRPr="003E30B6">
        <w:rPr>
          <w:lang w:val="de-DE"/>
        </w:rPr>
        <w:t xml:space="preserve">Die einzelnen Melde-Kanäle (PD, Kredit-RWA) sind </w:t>
      </w:r>
      <w:r w:rsidRPr="003E30B6">
        <w:rPr>
          <w:b/>
          <w:lang w:val="de-DE"/>
        </w:rPr>
        <w:t>nicht punktprognostizierbar</w:t>
      </w:r>
      <w:r w:rsidRPr="003E30B6">
        <w:rPr>
          <w:lang w:val="de-DE"/>
        </w:rPr>
        <w:t xml:space="preserve"> - und zwar aus einem dokumentierten Daten-Grund, nicht wegen eines Modellfehlers: Das Modell rechnet </w:t>
      </w:r>
      <w:r w:rsidRPr="003E30B6">
        <w:rPr>
          <w:b/>
          <w:lang w:val="de-DE"/>
        </w:rPr>
        <w:t>Point-in-Time</w:t>
      </w:r>
      <w:r w:rsidRPr="003E30B6">
        <w:rPr>
          <w:lang w:val="de-DE"/>
        </w:rPr>
        <w:t xml:space="preserve"> (sofortige Schockreaktion), die gemeldeten A-IRB-Parameter sind </w:t>
      </w:r>
      <w:r w:rsidRPr="003E30B6">
        <w:rPr>
          <w:b/>
          <w:lang w:val="de-DE"/>
        </w:rPr>
        <w:t>Through-the-Cycle</w:t>
      </w:r>
      <w:r w:rsidRPr="003E30B6">
        <w:rPr>
          <w:lang w:val="de-DE"/>
        </w:rPr>
        <w:t xml:space="preserve"> - regulatorisch geglättet und antizyklisch (CRR Art. 180) sowie durch Portfoliosteuerung überlagert. Beleg 2022: Zins +2,8 pp → Modell-PD +0,5 pp, gemeldete PD −0,1 pp (ungewichteter Durchschnitt über Bank-Klassen-Paare; EAD-gewichtet +0,6 vs. −0,2 pp). Validiert ist das Modell deshalb als </w:t>
      </w:r>
      <w:r w:rsidRPr="003E30B6">
        <w:rPr>
          <w:b/>
          <w:lang w:val="de-DE"/>
        </w:rPr>
        <w:t>konservatives Solvenz-/Frühwarn-Instrument</w:t>
      </w:r>
      <w:r w:rsidRPr="003E30B6">
        <w:rPr>
          <w:lang w:val="de-DE"/>
        </w:rPr>
        <w:t xml:space="preserve"> (im CET1-Niveau nah und auf der sicheren Seite) - nicht als Prognose einzelner Meldegrößen.</w:t>
      </w:r>
    </w:p>
    <w:p w14:paraId="70965508" w14:textId="77777777" w:rsidR="00236E73" w:rsidRPr="003E30B6" w:rsidRDefault="00000000">
      <w:pPr>
        <w:pStyle w:val="Heading1"/>
        <w:rPr>
          <w:lang w:val="de-DE"/>
        </w:rPr>
      </w:pPr>
      <w:r w:rsidRPr="003E30B6">
        <w:rPr>
          <w:lang w:val="de-DE"/>
        </w:rPr>
        <w:t>8. Bewusste Modellgrenzen</w:t>
      </w:r>
    </w:p>
    <w:p w14:paraId="52490E43" w14:textId="77777777" w:rsidR="00236E73" w:rsidRPr="003E30B6" w:rsidRDefault="00000000">
      <w:pPr>
        <w:rPr>
          <w:lang w:val="de-DE"/>
        </w:rPr>
      </w:pPr>
      <w:r w:rsidRPr="003E30B6">
        <w:rPr>
          <w:lang w:val="de-DE"/>
        </w:rPr>
        <w:t>Die Grenzen des Modells sind keine nachträglichen Einschränkungen, sondern klare Abgrenzungen gegen Scheingenauigkeit. Entscheidend ist jeweils, ob ein Effekt öffentlich, bankindividuell und konsistent über alle zehn Banken rekonstruierbar ist. Wo das nicht der Fall ist, wird der Effekt nicht modelliert oder nur als separate Analyse ausgewiesen.</w:t>
      </w:r>
    </w:p>
    <w:tbl>
      <w:tblPr>
        <w:tblStyle w:val="TableGrid"/>
        <w:tblW w:w="0" w:type="auto"/>
        <w:jc w:val="center"/>
        <w:tblLook w:val="04A0" w:firstRow="1" w:lastRow="0" w:firstColumn="1" w:lastColumn="0" w:noHBand="0" w:noVBand="1"/>
      </w:tblPr>
      <w:tblGrid>
        <w:gridCol w:w="2070"/>
        <w:gridCol w:w="5082"/>
        <w:gridCol w:w="2259"/>
      </w:tblGrid>
      <w:tr w:rsidR="00236E73" w14:paraId="64DFAEFA" w14:textId="77777777">
        <w:trPr>
          <w:jc w:val="center"/>
        </w:trPr>
        <w:tc>
          <w:tcPr>
            <w:tcW w:w="2070" w:type="dxa"/>
            <w:shd w:val="clear" w:color="auto" w:fill="D9E4EC"/>
          </w:tcPr>
          <w:p w14:paraId="57B51201" w14:textId="77777777" w:rsidR="00236E73" w:rsidRDefault="00000000">
            <w:r>
              <w:rPr>
                <w:b/>
                <w:sz w:val="16"/>
              </w:rPr>
              <w:t>Grenze</w:t>
            </w:r>
          </w:p>
        </w:tc>
        <w:tc>
          <w:tcPr>
            <w:tcW w:w="5082" w:type="dxa"/>
            <w:shd w:val="clear" w:color="auto" w:fill="D9E4EC"/>
          </w:tcPr>
          <w:p w14:paraId="58809F42" w14:textId="77777777" w:rsidR="00236E73" w:rsidRDefault="00000000">
            <w:r>
              <w:rPr>
                <w:b/>
                <w:sz w:val="16"/>
              </w:rPr>
              <w:t>Warum nicht modelliert?</w:t>
            </w:r>
          </w:p>
        </w:tc>
        <w:tc>
          <w:tcPr>
            <w:tcW w:w="2259" w:type="dxa"/>
            <w:shd w:val="clear" w:color="auto" w:fill="D9E4EC"/>
          </w:tcPr>
          <w:p w14:paraId="596A7A38" w14:textId="77777777" w:rsidR="00236E73" w:rsidRDefault="00000000">
            <w:r>
              <w:rPr>
                <w:b/>
                <w:sz w:val="16"/>
              </w:rPr>
              <w:t>Richtung der Verzerrung</w:t>
            </w:r>
          </w:p>
        </w:tc>
      </w:tr>
      <w:tr w:rsidR="00236E73" w14:paraId="1775B2BB" w14:textId="77777777">
        <w:trPr>
          <w:jc w:val="center"/>
        </w:trPr>
        <w:tc>
          <w:tcPr>
            <w:tcW w:w="2070" w:type="dxa"/>
          </w:tcPr>
          <w:p w14:paraId="74489797" w14:textId="77777777" w:rsidR="00236E73" w:rsidRDefault="00000000">
            <w:r>
              <w:rPr>
                <w:sz w:val="16"/>
              </w:rPr>
              <w:t>Operational Risk</w:t>
            </w:r>
          </w:p>
        </w:tc>
        <w:tc>
          <w:tcPr>
            <w:tcW w:w="5082" w:type="dxa"/>
          </w:tcPr>
          <w:p w14:paraId="1FEC75D7" w14:textId="77777777" w:rsidR="00236E73" w:rsidRPr="003E30B6" w:rsidRDefault="00000000">
            <w:pPr>
              <w:rPr>
                <w:lang w:val="de-DE"/>
              </w:rPr>
            </w:pPr>
            <w:r w:rsidRPr="003E30B6">
              <w:rPr>
                <w:sz w:val="16"/>
                <w:lang w:val="de-DE"/>
              </w:rPr>
              <w:t>Für einen Öl-/Zins-Einjahresschock liegen keine bankindividuellen öffentlichen Parameter vor, die eine belastbare dynamische Operational-Risk-Reaktion erlauben.</w:t>
            </w:r>
          </w:p>
        </w:tc>
        <w:tc>
          <w:tcPr>
            <w:tcW w:w="2259" w:type="dxa"/>
          </w:tcPr>
          <w:p w14:paraId="4D7187DB" w14:textId="77777777" w:rsidR="00236E73" w:rsidRDefault="00000000">
            <w:r>
              <w:rPr>
                <w:sz w:val="16"/>
              </w:rPr>
              <w:t>Kann Gesamtrisikowirkung unterschätzen.</w:t>
            </w:r>
          </w:p>
        </w:tc>
      </w:tr>
      <w:tr w:rsidR="00236E73" w:rsidRPr="003E30B6" w14:paraId="6EC808E3" w14:textId="77777777">
        <w:trPr>
          <w:jc w:val="center"/>
        </w:trPr>
        <w:tc>
          <w:tcPr>
            <w:tcW w:w="2070" w:type="dxa"/>
          </w:tcPr>
          <w:p w14:paraId="19565F11" w14:textId="77777777" w:rsidR="00236E73" w:rsidRDefault="00000000">
            <w:r>
              <w:rPr>
                <w:sz w:val="16"/>
              </w:rPr>
              <w:t>CVA / Kontrahentenrisiko</w:t>
            </w:r>
          </w:p>
        </w:tc>
        <w:tc>
          <w:tcPr>
            <w:tcW w:w="5082" w:type="dxa"/>
          </w:tcPr>
          <w:p w14:paraId="2189CC52" w14:textId="77777777" w:rsidR="00236E73" w:rsidRPr="003E30B6" w:rsidRDefault="00000000">
            <w:pPr>
              <w:rPr>
                <w:lang w:val="de-DE"/>
              </w:rPr>
            </w:pPr>
            <w:r w:rsidRPr="003E30B6">
              <w:rPr>
                <w:sz w:val="16"/>
                <w:lang w:val="de-DE"/>
              </w:rPr>
              <w:t>Der Schock ist auf Kreditbuch-PD/LGD und Sovereign-MtM kalibriert; Derivate- und Gegenparteinetting sind aus Offenlegungen nicht durchgängig rekonstruierbar.</w:t>
            </w:r>
          </w:p>
        </w:tc>
        <w:tc>
          <w:tcPr>
            <w:tcW w:w="2259" w:type="dxa"/>
          </w:tcPr>
          <w:p w14:paraId="3E7021A8" w14:textId="77777777" w:rsidR="00236E73" w:rsidRPr="003E30B6" w:rsidRDefault="00000000">
            <w:pPr>
              <w:rPr>
                <w:lang w:val="de-DE"/>
              </w:rPr>
            </w:pPr>
            <w:r w:rsidRPr="003E30B6">
              <w:rPr>
                <w:sz w:val="16"/>
                <w:lang w:val="de-DE"/>
              </w:rPr>
              <w:t>Kann Kapitalbelastung in Marktstressphasen unterschätzen.</w:t>
            </w:r>
          </w:p>
        </w:tc>
      </w:tr>
      <w:tr w:rsidR="00236E73" w:rsidRPr="003E30B6" w14:paraId="08ECF860" w14:textId="77777777">
        <w:trPr>
          <w:jc w:val="center"/>
        </w:trPr>
        <w:tc>
          <w:tcPr>
            <w:tcW w:w="2070" w:type="dxa"/>
          </w:tcPr>
          <w:p w14:paraId="0B09EB06" w14:textId="77777777" w:rsidR="00236E73" w:rsidRDefault="00000000">
            <w:r>
              <w:rPr>
                <w:sz w:val="16"/>
              </w:rPr>
              <w:t>Sovereign-Spread-Risiko</w:t>
            </w:r>
          </w:p>
        </w:tc>
        <w:tc>
          <w:tcPr>
            <w:tcW w:w="5082" w:type="dxa"/>
          </w:tcPr>
          <w:p w14:paraId="1689F0B7" w14:textId="77777777" w:rsidR="00236E73" w:rsidRPr="003E30B6" w:rsidRDefault="00000000">
            <w:pPr>
              <w:rPr>
                <w:lang w:val="de-DE"/>
              </w:rPr>
            </w:pPr>
            <w:r w:rsidRPr="003E30B6">
              <w:rPr>
                <w:sz w:val="16"/>
                <w:lang w:val="de-DE"/>
              </w:rPr>
              <w:t>Modelliert wird der Niveauzins; länderspezifische Spreadpfade (z. B. Italien vs. Bund) wären eine zusätzliche Szenarioannahme.</w:t>
            </w:r>
          </w:p>
        </w:tc>
        <w:tc>
          <w:tcPr>
            <w:tcW w:w="2259" w:type="dxa"/>
          </w:tcPr>
          <w:p w14:paraId="44E46469" w14:textId="77777777" w:rsidR="00236E73" w:rsidRPr="003E30B6" w:rsidRDefault="00000000">
            <w:pPr>
              <w:rPr>
                <w:lang w:val="de-DE"/>
              </w:rPr>
            </w:pPr>
            <w:r w:rsidRPr="003E30B6">
              <w:rPr>
                <w:sz w:val="16"/>
                <w:lang w:val="de-DE"/>
              </w:rPr>
              <w:t>Unterschätzt Stress bei peripheren Staatsanleihen.</w:t>
            </w:r>
          </w:p>
        </w:tc>
      </w:tr>
      <w:tr w:rsidR="00236E73" w:rsidRPr="003E30B6" w14:paraId="12054048" w14:textId="77777777">
        <w:trPr>
          <w:jc w:val="center"/>
        </w:trPr>
        <w:tc>
          <w:tcPr>
            <w:tcW w:w="2070" w:type="dxa"/>
          </w:tcPr>
          <w:p w14:paraId="06012164" w14:textId="77777777" w:rsidR="00236E73" w:rsidRDefault="00000000">
            <w:r>
              <w:rPr>
                <w:sz w:val="16"/>
              </w:rPr>
              <w:t>IFRS-9-Lifetime-EL / Stage-2</w:t>
            </w:r>
          </w:p>
        </w:tc>
        <w:tc>
          <w:tcPr>
            <w:tcW w:w="5082" w:type="dxa"/>
          </w:tcPr>
          <w:p w14:paraId="746ABABD" w14:textId="77777777" w:rsidR="00236E73" w:rsidRDefault="00000000">
            <w:r w:rsidRPr="003E30B6">
              <w:rPr>
                <w:sz w:val="16"/>
                <w:lang w:val="de-DE"/>
              </w:rPr>
              <w:t xml:space="preserve">Das Modell ist ein Einjahres-Solvency-Stress. </w:t>
            </w:r>
            <w:r>
              <w:rPr>
                <w:sz w:val="16"/>
              </w:rPr>
              <w:t>Eine Lifetime-EL-Simulation benötigt migrations- und portfoliointerne Daten.</w:t>
            </w:r>
          </w:p>
        </w:tc>
        <w:tc>
          <w:tcPr>
            <w:tcW w:w="2259" w:type="dxa"/>
          </w:tcPr>
          <w:p w14:paraId="3D8AD474" w14:textId="77777777" w:rsidR="00236E73" w:rsidRPr="003E30B6" w:rsidRDefault="00000000">
            <w:pPr>
              <w:rPr>
                <w:lang w:val="de-DE"/>
              </w:rPr>
            </w:pPr>
            <w:r w:rsidRPr="003E30B6">
              <w:rPr>
                <w:sz w:val="16"/>
                <w:lang w:val="de-DE"/>
              </w:rPr>
              <w:t xml:space="preserve">Konservativer </w:t>
            </w:r>
            <w:r>
              <w:rPr>
                <w:sz w:val="16"/>
              </w:rPr>
              <w:t>Δ</w:t>
            </w:r>
            <w:r w:rsidRPr="003E30B6">
              <w:rPr>
                <w:sz w:val="16"/>
                <w:lang w:val="de-DE"/>
              </w:rPr>
              <w:t>EL-Proxy, aber keine vollständige IFRS-9-Prognose.</w:t>
            </w:r>
          </w:p>
        </w:tc>
      </w:tr>
      <w:tr w:rsidR="00236E73" w:rsidRPr="003E30B6" w14:paraId="12C1C4F7" w14:textId="77777777">
        <w:trPr>
          <w:jc w:val="center"/>
        </w:trPr>
        <w:tc>
          <w:tcPr>
            <w:tcW w:w="2070" w:type="dxa"/>
          </w:tcPr>
          <w:p w14:paraId="6E7FD156" w14:textId="77777777" w:rsidR="00236E73" w:rsidRDefault="00000000">
            <w:r>
              <w:rPr>
                <w:sz w:val="16"/>
              </w:rPr>
              <w:t>Mehrjahres-Stresspfade</w:t>
            </w:r>
          </w:p>
        </w:tc>
        <w:tc>
          <w:tcPr>
            <w:tcW w:w="5082" w:type="dxa"/>
          </w:tcPr>
          <w:p w14:paraId="388EBF83" w14:textId="77777777" w:rsidR="00236E73" w:rsidRPr="003E30B6" w:rsidRDefault="00000000">
            <w:pPr>
              <w:rPr>
                <w:lang w:val="de-DE"/>
              </w:rPr>
            </w:pPr>
            <w:r w:rsidRPr="003E30B6">
              <w:rPr>
                <w:sz w:val="16"/>
                <w:lang w:val="de-DE"/>
              </w:rPr>
              <w:t>Der Backtest und das Cockpit sind auf ein Jahr ausgelegt; 3-Jahres-EBA-Pfade würden Bilanzmanagement, Neugeschäft und Kapitalmaßnahmen erfordern.</w:t>
            </w:r>
          </w:p>
        </w:tc>
        <w:tc>
          <w:tcPr>
            <w:tcW w:w="2259" w:type="dxa"/>
          </w:tcPr>
          <w:p w14:paraId="5755D463" w14:textId="77777777" w:rsidR="00236E73" w:rsidRPr="003E30B6" w:rsidRDefault="00000000">
            <w:pPr>
              <w:rPr>
                <w:lang w:val="de-DE"/>
              </w:rPr>
            </w:pPr>
            <w:r w:rsidRPr="003E30B6">
              <w:rPr>
                <w:sz w:val="16"/>
                <w:lang w:val="de-DE"/>
              </w:rPr>
              <w:t>Keine Aussage zur Pfaddynamik nach Jahr 1.</w:t>
            </w:r>
          </w:p>
        </w:tc>
      </w:tr>
      <w:tr w:rsidR="00236E73" w:rsidRPr="003E30B6" w14:paraId="7E70A360" w14:textId="77777777">
        <w:trPr>
          <w:jc w:val="center"/>
        </w:trPr>
        <w:tc>
          <w:tcPr>
            <w:tcW w:w="2070" w:type="dxa"/>
          </w:tcPr>
          <w:p w14:paraId="2EADF9E5" w14:textId="77777777" w:rsidR="00236E73" w:rsidRDefault="00000000">
            <w:r>
              <w:rPr>
                <w:sz w:val="16"/>
              </w:rPr>
              <w:t>Hedging</w:t>
            </w:r>
          </w:p>
        </w:tc>
        <w:tc>
          <w:tcPr>
            <w:tcW w:w="5082" w:type="dxa"/>
          </w:tcPr>
          <w:p w14:paraId="63588893" w14:textId="77777777" w:rsidR="00236E73" w:rsidRPr="003E30B6" w:rsidRDefault="00000000">
            <w:pPr>
              <w:rPr>
                <w:lang w:val="de-DE"/>
              </w:rPr>
            </w:pPr>
            <w:r w:rsidRPr="003E30B6">
              <w:rPr>
                <w:sz w:val="16"/>
                <w:lang w:val="de-DE"/>
              </w:rPr>
              <w:t>Swaps, Futures, CDS und Hedge Accounting sind öffentlich nicht hinreichend granular je Bank und Exposure rekonstruierbar.</w:t>
            </w:r>
          </w:p>
        </w:tc>
        <w:tc>
          <w:tcPr>
            <w:tcW w:w="2259" w:type="dxa"/>
          </w:tcPr>
          <w:p w14:paraId="567C6D0E" w14:textId="77777777" w:rsidR="00236E73" w:rsidRPr="003E30B6" w:rsidRDefault="00000000">
            <w:pPr>
              <w:rPr>
                <w:lang w:val="de-DE"/>
              </w:rPr>
            </w:pPr>
            <w:r w:rsidRPr="003E30B6">
              <w:rPr>
                <w:sz w:val="16"/>
                <w:lang w:val="de-DE"/>
              </w:rPr>
              <w:t>Kann Verluste überschätzen, wenn Banken stark gehedgt sind.</w:t>
            </w:r>
          </w:p>
        </w:tc>
      </w:tr>
      <w:tr w:rsidR="00236E73" w:rsidRPr="003E30B6" w14:paraId="5790A292" w14:textId="77777777">
        <w:trPr>
          <w:jc w:val="center"/>
        </w:trPr>
        <w:tc>
          <w:tcPr>
            <w:tcW w:w="2070" w:type="dxa"/>
          </w:tcPr>
          <w:p w14:paraId="42388C4A" w14:textId="77777777" w:rsidR="00236E73" w:rsidRDefault="00000000">
            <w:r>
              <w:rPr>
                <w:sz w:val="16"/>
              </w:rPr>
              <w:t>Ertrags-Gegeneffekte</w:t>
            </w:r>
          </w:p>
        </w:tc>
        <w:tc>
          <w:tcPr>
            <w:tcW w:w="5082" w:type="dxa"/>
          </w:tcPr>
          <w:p w14:paraId="0E6ADAD0" w14:textId="77777777" w:rsidR="00236E73" w:rsidRPr="003E30B6" w:rsidRDefault="00000000">
            <w:pPr>
              <w:rPr>
                <w:lang w:val="de-DE"/>
              </w:rPr>
            </w:pPr>
            <w:r w:rsidRPr="003E30B6">
              <w:rPr>
                <w:sz w:val="16"/>
                <w:lang w:val="de-DE"/>
              </w:rPr>
              <w:t>NII, Gebühren und Managementmaßnahmen werden nicht gegengerechnet, weil sie keine reine Risikoparameter-Transmission sind.</w:t>
            </w:r>
          </w:p>
        </w:tc>
        <w:tc>
          <w:tcPr>
            <w:tcW w:w="2259" w:type="dxa"/>
          </w:tcPr>
          <w:p w14:paraId="34590E91" w14:textId="77777777" w:rsidR="00236E73" w:rsidRPr="003E30B6" w:rsidRDefault="00000000">
            <w:pPr>
              <w:rPr>
                <w:lang w:val="de-DE"/>
              </w:rPr>
            </w:pPr>
            <w:r w:rsidRPr="003E30B6">
              <w:rPr>
                <w:sz w:val="16"/>
                <w:lang w:val="de-DE"/>
              </w:rPr>
              <w:t>CET1-Stress ist bewusst konservativ; 2022 zeigt diesen Effekt.</w:t>
            </w:r>
          </w:p>
        </w:tc>
      </w:tr>
      <w:tr w:rsidR="00236E73" w14:paraId="05F1735B" w14:textId="77777777">
        <w:trPr>
          <w:jc w:val="center"/>
        </w:trPr>
        <w:tc>
          <w:tcPr>
            <w:tcW w:w="2070" w:type="dxa"/>
          </w:tcPr>
          <w:p w14:paraId="62B9A955" w14:textId="77777777" w:rsidR="00236E73" w:rsidRDefault="00000000">
            <w:r>
              <w:rPr>
                <w:sz w:val="16"/>
              </w:rPr>
              <w:t>Bank-individuelle β</w:t>
            </w:r>
          </w:p>
        </w:tc>
        <w:tc>
          <w:tcPr>
            <w:tcW w:w="5082" w:type="dxa"/>
          </w:tcPr>
          <w:p w14:paraId="07A20A1C" w14:textId="77777777" w:rsidR="00236E73" w:rsidRPr="003E30B6" w:rsidRDefault="00000000">
            <w:pPr>
              <w:rPr>
                <w:lang w:val="de-DE"/>
              </w:rPr>
            </w:pPr>
            <w:r w:rsidRPr="003E30B6">
              <w:rPr>
                <w:sz w:val="16"/>
                <w:lang w:val="de-DE"/>
              </w:rPr>
              <w:t>Alle Banken teilen je Exposure-Klasse dieselbe Sensitivität; Bankunterschiede entstehen über echte PD/LGD/EAD-Mixe.</w:t>
            </w:r>
          </w:p>
        </w:tc>
        <w:tc>
          <w:tcPr>
            <w:tcW w:w="2259" w:type="dxa"/>
          </w:tcPr>
          <w:p w14:paraId="6E6A7AAF" w14:textId="77777777" w:rsidR="00236E73" w:rsidRDefault="00000000">
            <w:r>
              <w:rPr>
                <w:sz w:val="16"/>
              </w:rPr>
              <w:t>Kann idiosynkratische Geschäftsmodelle glätten.</w:t>
            </w:r>
          </w:p>
        </w:tc>
      </w:tr>
    </w:tbl>
    <w:p w14:paraId="1AE30D34" w14:textId="77777777" w:rsidR="00236E73" w:rsidRDefault="00236E73">
      <w:pPr>
        <w:spacing w:after="80"/>
      </w:pPr>
    </w:p>
    <w:p w14:paraId="137E3EA3" w14:textId="77777777" w:rsidR="00236E73" w:rsidRPr="003E30B6" w:rsidRDefault="00000000">
      <w:pPr>
        <w:rPr>
          <w:lang w:val="de-DE"/>
        </w:rPr>
      </w:pPr>
      <w:r w:rsidRPr="003E30B6">
        <w:rPr>
          <w:i/>
          <w:sz w:val="19"/>
          <w:lang w:val="de-DE"/>
        </w:rPr>
        <w:t xml:space="preserve">Kurz gesagt: Das Modell ist ein </w:t>
      </w:r>
      <w:r w:rsidRPr="003E30B6">
        <w:rPr>
          <w:b/>
          <w:i/>
          <w:sz w:val="19"/>
          <w:lang w:val="de-DE"/>
        </w:rPr>
        <w:t>konservatives, datenprüfbares Solvenz-Stressmodell</w:t>
      </w:r>
      <w:r w:rsidRPr="003E30B6">
        <w:rPr>
          <w:i/>
          <w:sz w:val="19"/>
          <w:lang w:val="de-DE"/>
        </w:rPr>
        <w:t>. Es ist nicht als vollständige Bankplanung, IFRS-9-Forecast, Handelsbuchmodell oder Anlageempfehlung zu lesen. Seine Stärke liegt in der transparenten, reproduzierbaren Kette von offengelegten Risikoparametern über regulatorische Kapitalformeln bis zur CET1-Quote.</w:t>
      </w:r>
    </w:p>
    <w:p w14:paraId="6D35B646" w14:textId="77777777" w:rsidR="00236E73" w:rsidRPr="003E30B6" w:rsidRDefault="00000000">
      <w:pPr>
        <w:pStyle w:val="Heading1"/>
        <w:rPr>
          <w:lang w:val="de-DE"/>
        </w:rPr>
      </w:pPr>
      <w:r w:rsidRPr="003E30B6">
        <w:rPr>
          <w:lang w:val="de-DE"/>
        </w:rPr>
        <w:lastRenderedPageBreak/>
        <w:t>9. Bibliographie</w:t>
      </w:r>
    </w:p>
    <w:p w14:paraId="409E8B13" w14:textId="77777777" w:rsidR="00236E73" w:rsidRPr="003E30B6" w:rsidRDefault="00000000">
      <w:pPr>
        <w:rPr>
          <w:lang w:val="de-DE"/>
        </w:rPr>
      </w:pPr>
      <w:r w:rsidRPr="003E30B6">
        <w:rPr>
          <w:lang w:val="de-DE"/>
        </w:rPr>
        <w:t>Vollständige Liste aller im Modell verwendeten Quellen - gegliedert nach Regulatorik, wissenschaftlicher Literatur und Datenquellen. Jede Quelle ist an der Stelle ihrer Verwendung im Dokument bzw. im Modell-Code referenziert.</w:t>
      </w:r>
    </w:p>
    <w:p w14:paraId="1D4A2442" w14:textId="77777777" w:rsidR="00236E73" w:rsidRDefault="00000000">
      <w:pPr>
        <w:pStyle w:val="Heading2"/>
      </w:pPr>
      <w:r>
        <w:t>Regulatorische Quellen</w:t>
      </w:r>
    </w:p>
    <w:p w14:paraId="405DAEF9" w14:textId="77777777" w:rsidR="00236E73" w:rsidRDefault="00000000">
      <w:pPr>
        <w:pStyle w:val="ListBullet"/>
      </w:pPr>
      <w:r>
        <w:t>BCBS (2017). Basel III: Finalising post-crisis reforms. Basel Committee on Banking Supervision, §272–284 (IRB-Kapitalformel).</w:t>
      </w:r>
    </w:p>
    <w:p w14:paraId="650E6CBB" w14:textId="77777777" w:rsidR="00236E73" w:rsidRDefault="00000000">
      <w:pPr>
        <w:pStyle w:val="ListBullet"/>
      </w:pPr>
      <w:r>
        <w:t>Board of Governors / OCC (2011). SR 11-7: Supervisory Guidance on Model Risk Management (Outcomes-Analysis des Backtests).</w:t>
      </w:r>
    </w:p>
    <w:p w14:paraId="756E3FCF" w14:textId="77777777" w:rsidR="00236E73" w:rsidRDefault="00000000">
      <w:pPr>
        <w:pStyle w:val="ListBullet"/>
      </w:pPr>
      <w:r>
        <w:t>EBA (2020). ITS/2020/04 - Implementing Technical Standards on public disclosures (EU-CR6-Template, Pillar-3-Datenbasis).</w:t>
      </w:r>
    </w:p>
    <w:p w14:paraId="2192EE66" w14:textId="77777777" w:rsidR="00236E73" w:rsidRPr="003E30B6" w:rsidRDefault="00000000">
      <w:pPr>
        <w:pStyle w:val="ListBullet"/>
        <w:rPr>
          <w:lang w:val="de-DE"/>
        </w:rPr>
      </w:pPr>
      <w:r w:rsidRPr="003E30B6">
        <w:rPr>
          <w:lang w:val="de-DE"/>
        </w:rPr>
        <w:t>EBA (2024). 2025 EU-wide Stress Test - Methodological Note, §2.4.2 (sektorale Sensitivitäten als aufsichtlicher Projektionsansatz).</w:t>
      </w:r>
    </w:p>
    <w:p w14:paraId="1CD07ED2" w14:textId="77777777" w:rsidR="00236E73" w:rsidRDefault="00000000">
      <w:pPr>
        <w:pStyle w:val="ListBullet"/>
      </w:pPr>
      <w:r>
        <w:t>EBA/ESRB (2025). 2025 EU-wide Stress Test - Macro-financial Scenario, §4.1.6 (adverse Zinspfade als Plausibilitätsanker).</w:t>
      </w:r>
    </w:p>
    <w:p w14:paraId="059E07DF" w14:textId="77777777" w:rsidR="00236E73" w:rsidRPr="003E30B6" w:rsidRDefault="00000000">
      <w:pPr>
        <w:pStyle w:val="ListBullet"/>
        <w:rPr>
          <w:lang w:val="de-DE"/>
        </w:rPr>
      </w:pPr>
      <w:r w:rsidRPr="003E30B6">
        <w:rPr>
          <w:lang w:val="de-DE"/>
        </w:rPr>
        <w:t xml:space="preserve">EBA (2025). 2025 EU-wide Stress Test - Results, Fig. 22 (relative Verlustquoten je Portfolio als Quervalidierung der </w:t>
      </w:r>
      <w:r>
        <w:t>β</w:t>
      </w:r>
      <w:r w:rsidRPr="003E30B6">
        <w:rPr>
          <w:lang w:val="de-DE"/>
        </w:rPr>
        <w:t>-Struktur).</w:t>
      </w:r>
    </w:p>
    <w:p w14:paraId="1AA0B7BA" w14:textId="77777777" w:rsidR="00236E73" w:rsidRDefault="00000000">
      <w:pPr>
        <w:pStyle w:val="ListBullet"/>
      </w:pPr>
      <w:r>
        <w:t>EBA (2025). Report on the 2024 Credit Risk Benchmarking Exercise (PD-/LGD-Niveaus je IRB-Klasse).</w:t>
      </w:r>
    </w:p>
    <w:p w14:paraId="22B51983" w14:textId="77777777" w:rsidR="00236E73" w:rsidRDefault="00000000">
      <w:pPr>
        <w:pStyle w:val="ListBullet"/>
      </w:pPr>
      <w:r>
        <w:t>EBA GL 2014/14. Guidelines on ICAAP/Stress-Testing (Governance-Rahmen).</w:t>
      </w:r>
    </w:p>
    <w:p w14:paraId="18A0803F" w14:textId="77777777" w:rsidR="00236E73" w:rsidRPr="003E30B6" w:rsidRDefault="00000000">
      <w:pPr>
        <w:pStyle w:val="ListBullet"/>
        <w:rPr>
          <w:lang w:val="de-DE"/>
        </w:rPr>
      </w:pPr>
      <w:r w:rsidRPr="003E30B6">
        <w:rPr>
          <w:lang w:val="de-DE"/>
        </w:rPr>
        <w:t>Verordnung (EU) Nr. 575/2013 (CRR) - insb. Art. 153/154 (IRB-Risikogewichte), Art. 180/181 (PD-/LGD-Schätzung, TTC-Charakter), Art. 431–455 (Offenlegung).</w:t>
      </w:r>
    </w:p>
    <w:p w14:paraId="6064B991" w14:textId="77777777" w:rsidR="00236E73" w:rsidRDefault="00000000">
      <w:pPr>
        <w:pStyle w:val="Heading2"/>
      </w:pPr>
      <w:r>
        <w:t>Wissenschaftliche Literatur</w:t>
      </w:r>
    </w:p>
    <w:p w14:paraId="132FD0DC" w14:textId="77777777" w:rsidR="00236E73" w:rsidRDefault="00000000">
      <w:pPr>
        <w:pStyle w:val="ListBullet"/>
      </w:pPr>
      <w:r w:rsidRPr="003E30B6">
        <w:rPr>
          <w:lang w:val="de-DE"/>
        </w:rPr>
        <w:t xml:space="preserve">Acharya, V., Drechsler, I. &amp; Schnabl, P. (2014). </w:t>
      </w:r>
      <w:r>
        <w:t>A Pyrrhic Victory? Bank Bailouts and Sovereign Credit Risk. Journal of Finance (Staaten-Banken-Verflechtung, Marktbuch-Analyse).</w:t>
      </w:r>
    </w:p>
    <w:p w14:paraId="2C6C51F4" w14:textId="77777777" w:rsidR="00236E73" w:rsidRDefault="00000000">
      <w:pPr>
        <w:pStyle w:val="ListBullet"/>
      </w:pPr>
      <w:r>
        <w:t>Bandoni, E., Fourné, M. &amp; Jarmulska, B. (2025). Mortgage loan rates and the defaults of variable rate mortgages. ECB Working Paper 3112 (Zins-Sensitivität der Hypotheken-PD).</w:t>
      </w:r>
    </w:p>
    <w:p w14:paraId="5290C2CC" w14:textId="77777777" w:rsidR="00236E73" w:rsidRDefault="00000000">
      <w:pPr>
        <w:pStyle w:val="ListBullet"/>
      </w:pPr>
      <w:r>
        <w:t>Brunnermeier, M. et al. (2016). The Sovereign-Bank Diabolic Loop and ESBies. American Economic Review P&amp;P (Doom-Loop, Marktbuch-Analyse).</w:t>
      </w:r>
    </w:p>
    <w:p w14:paraId="168DFF0D" w14:textId="77777777" w:rsidR="00236E73" w:rsidRDefault="00000000">
      <w:pPr>
        <w:pStyle w:val="ListBullet"/>
      </w:pPr>
      <w:r>
        <w:t>Gordy, M. (2003). A Risk-Factor Model Foundation for Ratings-Based Bank Capital Rules. Journal of Financial Intermediation (ASRF-Fundierung).</w:t>
      </w:r>
    </w:p>
    <w:p w14:paraId="607E61A0" w14:textId="77777777" w:rsidR="00236E73" w:rsidRDefault="00000000">
      <w:pPr>
        <w:pStyle w:val="ListBullet"/>
      </w:pPr>
      <w:r>
        <w:t>Hamilton, J. D. (1983). Oil and the macroeconomy since World War II. Journal of Political Economy 91(2) (Öl-Makro-Transmission).</w:t>
      </w:r>
    </w:p>
    <w:p w14:paraId="6B741109" w14:textId="77777777" w:rsidR="00236E73" w:rsidRDefault="00000000">
      <w:pPr>
        <w:pStyle w:val="ListBullet"/>
      </w:pPr>
      <w:r>
        <w:t>Hyndman, R. J. &amp; Athanasopoulos, G. (2021). Forecasting: Principles and Practice, 3. Aufl., Kap. 5.8 (Prognose-Evaluation, MAE).</w:t>
      </w:r>
    </w:p>
    <w:p w14:paraId="5EBE8545" w14:textId="77777777" w:rsidR="00236E73" w:rsidRDefault="00000000">
      <w:pPr>
        <w:pStyle w:val="ListBullet"/>
      </w:pPr>
      <w:r w:rsidRPr="003E30B6">
        <w:rPr>
          <w:lang w:val="de-DE"/>
        </w:rPr>
        <w:t xml:space="preserve">Jiang, E., Matvos, G., Piskorski, T. &amp; Seru, A. (2023). </w:t>
      </w:r>
      <w:r>
        <w:t>Monetary Tightening and U.S. Bank Fragility. NBER Working Paper 31048 (latente Bewertungsverluste, Marktbuch-Analyse).</w:t>
      </w:r>
    </w:p>
    <w:p w14:paraId="4E0BA3C6" w14:textId="77777777" w:rsidR="00236E73" w:rsidRPr="003E30B6" w:rsidRDefault="00000000">
      <w:pPr>
        <w:pStyle w:val="ListBullet"/>
        <w:rPr>
          <w:lang w:val="de-DE"/>
        </w:rPr>
      </w:pPr>
      <w:r>
        <w:t xml:space="preserve">Kilian, L. (2009). Not All Oil Price Shocks Are Alike: Disentangling Demand and Supply Shocks in the Crude Oil Market. </w:t>
      </w:r>
      <w:r w:rsidRPr="003E30B6">
        <w:rPr>
          <w:lang w:val="de-DE"/>
        </w:rPr>
        <w:t>American Economic Review 99(3) (Identifikation von Angebots- und Nachfrageschocks bei Öl).</w:t>
      </w:r>
    </w:p>
    <w:p w14:paraId="2F96B880" w14:textId="77777777" w:rsidR="00236E73" w:rsidRDefault="00000000">
      <w:pPr>
        <w:pStyle w:val="ListBullet"/>
      </w:pPr>
      <w:r w:rsidRPr="003E30B6">
        <w:rPr>
          <w:lang w:val="de-DE"/>
        </w:rPr>
        <w:t xml:space="preserve">Konietschke, P., Metzler, J. &amp; Ponte Marques, A. (2026). </w:t>
      </w:r>
      <w:r>
        <w:t>A quantile probability model for sectoral corporate defaults in Europe. ECB Working Paper 3207 (Sektor-Heterogenität der Unternehmens-PD).</w:t>
      </w:r>
    </w:p>
    <w:p w14:paraId="4430CA9C" w14:textId="77777777" w:rsidR="00236E73" w:rsidRDefault="00000000">
      <w:pPr>
        <w:pStyle w:val="ListBullet"/>
      </w:pPr>
      <w:r>
        <w:t>Lo Duca, M., Moccero, D. &amp; Parlapiano, F. (2024). The impact of macroeconomic and monetary policy shocks on credit risk in the euro area corporate sector. ECB Working Paper 2897 (Corporate-/KMU-β).</w:t>
      </w:r>
    </w:p>
    <w:p w14:paraId="1ED9A0C9" w14:textId="77777777" w:rsidR="00236E73" w:rsidRDefault="00000000">
      <w:pPr>
        <w:pStyle w:val="ListBullet"/>
      </w:pPr>
      <w:r>
        <w:t>Nelson, C. &amp; Siegel, A. (1987). Parsimonious Modeling of Yield Curves. Journal of Business (Zinsstrukturmodell).</w:t>
      </w:r>
    </w:p>
    <w:p w14:paraId="1DF9F7E4" w14:textId="77777777" w:rsidR="00236E73" w:rsidRDefault="00000000">
      <w:pPr>
        <w:pStyle w:val="ListBullet"/>
      </w:pPr>
      <w:r>
        <w:lastRenderedPageBreak/>
        <w:t>Pesaran, M. H. &amp; Timmermann, A. (1992). A Simple Nonparametric Test of Predictive Performance. Journal of Business &amp; Economic Statistics (Richtungs-Trefferquote).</w:t>
      </w:r>
    </w:p>
    <w:p w14:paraId="19A7BA80" w14:textId="77777777" w:rsidR="00236E73" w:rsidRDefault="00000000">
      <w:pPr>
        <w:pStyle w:val="ListBullet"/>
      </w:pPr>
      <w:r w:rsidRPr="003E30B6">
        <w:rPr>
          <w:lang w:val="de-DE"/>
        </w:rPr>
        <w:t xml:space="preserve">Reinhart, C. M. &amp; Rogoff, K. S. (2009). </w:t>
      </w:r>
      <w:r>
        <w:t>This Time Is Different: Eight Centuries of Financial Folly. Princeton University Press (Finanzkrisen-Historie und Sovereign-Kontext).</w:t>
      </w:r>
    </w:p>
    <w:p w14:paraId="52AA7DB7" w14:textId="77777777" w:rsidR="00236E73" w:rsidRDefault="00000000">
      <w:pPr>
        <w:pStyle w:val="ListBullet"/>
      </w:pPr>
      <w:r>
        <w:t>Svensson, L. (1994). Estimating and Interpreting Forward Interest Rates: Sweden 1992–1994. NBER Working Paper 4871 (Zinsstrukturmodell der Bundesbank-Parameter).</w:t>
      </w:r>
    </w:p>
    <w:p w14:paraId="71A5BEAD" w14:textId="77777777" w:rsidR="00236E73" w:rsidRPr="003E30B6" w:rsidRDefault="00000000">
      <w:pPr>
        <w:pStyle w:val="ListBullet"/>
        <w:rPr>
          <w:lang w:val="de-DE"/>
        </w:rPr>
      </w:pPr>
      <w:r>
        <w:t xml:space="preserve">Tsay, R. S. (2010). Analysis of Financial Time Series, 3. </w:t>
      </w:r>
      <w:r w:rsidRPr="003E30B6">
        <w:rPr>
          <w:lang w:val="de-DE"/>
        </w:rPr>
        <w:t>Aufl., Wiley (Zeitreihen-Methodik und Log-Return-Konvention).</w:t>
      </w:r>
    </w:p>
    <w:p w14:paraId="7E90F3F2" w14:textId="77777777" w:rsidR="00236E73" w:rsidRDefault="00000000">
      <w:pPr>
        <w:pStyle w:val="ListBullet"/>
      </w:pPr>
      <w:r>
        <w:t>Tuckman, B. &amp; Serrat, A. (2012). Fixed Income Securities, 3. Aufl. (Modified Duration, Sovereign-Kanal).</w:t>
      </w:r>
    </w:p>
    <w:p w14:paraId="19EB89EC" w14:textId="77777777" w:rsidR="00236E73" w:rsidRDefault="00000000">
      <w:pPr>
        <w:pStyle w:val="ListBullet"/>
      </w:pPr>
      <w:r>
        <w:t>Vasicek, O. (1991). Limiting Loan Loss Probability Distribution. KMV Working Paper (Portfolio-Verlustverteilung).</w:t>
      </w:r>
    </w:p>
    <w:p w14:paraId="7C16D1B6" w14:textId="77777777" w:rsidR="00236E73" w:rsidRPr="003E30B6" w:rsidRDefault="00000000">
      <w:pPr>
        <w:pStyle w:val="ListBullet"/>
        <w:rPr>
          <w:lang w:val="de-DE"/>
        </w:rPr>
      </w:pPr>
      <w:r>
        <w:t xml:space="preserve">Vasicek, O. (2002). Loan Portfolio Value. </w:t>
      </w:r>
      <w:r w:rsidRPr="003E30B6">
        <w:rPr>
          <w:lang w:val="de-DE"/>
        </w:rPr>
        <w:t>Risk Magazine, Dezember (geschlossene Form der IRB-Formel).</w:t>
      </w:r>
    </w:p>
    <w:p w14:paraId="12782F0D" w14:textId="77777777" w:rsidR="00236E73" w:rsidRPr="003E30B6" w:rsidRDefault="00000000">
      <w:pPr>
        <w:pStyle w:val="ListBullet"/>
        <w:rPr>
          <w:lang w:val="de-DE"/>
        </w:rPr>
      </w:pPr>
      <w:r w:rsidRPr="003E30B6">
        <w:rPr>
          <w:lang w:val="de-DE"/>
        </w:rPr>
        <w:t>ECB (2024). Financial Stability Review, Mai 2024 (Energie-/Lebenshaltungskosten-Wirkung auf Haushalte; Retail-</w:t>
      </w:r>
      <w:r>
        <w:t>β</w:t>
      </w:r>
      <w:r w:rsidRPr="003E30B6">
        <w:rPr>
          <w:lang w:val="de-DE"/>
        </w:rPr>
        <w:t>).</w:t>
      </w:r>
    </w:p>
    <w:p w14:paraId="27B1C9FC" w14:textId="77777777" w:rsidR="00236E73" w:rsidRDefault="00000000">
      <w:pPr>
        <w:pStyle w:val="Heading2"/>
      </w:pPr>
      <w:r>
        <w:t>Datenquellen</w:t>
      </w:r>
    </w:p>
    <w:p w14:paraId="6A9E8E3A" w14:textId="77777777" w:rsidR="00236E73" w:rsidRPr="003E30B6" w:rsidRDefault="00000000">
      <w:pPr>
        <w:pStyle w:val="ListBullet"/>
        <w:rPr>
          <w:lang w:val="de-DE"/>
        </w:rPr>
      </w:pPr>
      <w:r w:rsidRPr="003E30B6">
        <w:rPr>
          <w:lang w:val="de-DE"/>
        </w:rPr>
        <w:t>Pillar-3-Berichte (EU CR6) der zehn Banken, FY2021–FY2024 - Risikoparameter PD/LGD/EAD (je Zeile mit Seiten-/URL-Beleg).</w:t>
      </w:r>
    </w:p>
    <w:p w14:paraId="5FC3446C" w14:textId="77777777" w:rsidR="00236E73" w:rsidRPr="003E30B6" w:rsidRDefault="00000000">
      <w:pPr>
        <w:pStyle w:val="ListBullet"/>
        <w:rPr>
          <w:lang w:val="de-DE"/>
        </w:rPr>
      </w:pPr>
      <w:r w:rsidRPr="003E30B6">
        <w:rPr>
          <w:lang w:val="de-DE"/>
        </w:rPr>
        <w:t>EBA EU-wide Transparency Exercise (Vintages 2020–2025) - realisierte CET1- und RWA-Werte, IFRS-9-Split der Staatsanleihen.</w:t>
      </w:r>
    </w:p>
    <w:p w14:paraId="6124DF04" w14:textId="77777777" w:rsidR="00236E73" w:rsidRPr="003E30B6" w:rsidRDefault="00000000">
      <w:pPr>
        <w:pStyle w:val="ListBullet"/>
        <w:rPr>
          <w:lang w:val="de-DE"/>
        </w:rPr>
      </w:pPr>
      <w:r w:rsidRPr="003E30B6">
        <w:rPr>
          <w:lang w:val="de-DE"/>
        </w:rPr>
        <w:t>ICE Brent Crude (täglich) - Ölpreis-Faktor.</w:t>
      </w:r>
    </w:p>
    <w:p w14:paraId="5E8C78FD" w14:textId="77777777" w:rsidR="00236E73" w:rsidRPr="003E30B6" w:rsidRDefault="00000000">
      <w:pPr>
        <w:pStyle w:val="ListBullet"/>
        <w:rPr>
          <w:lang w:val="de-DE"/>
        </w:rPr>
      </w:pPr>
      <w:r w:rsidRPr="003E30B6">
        <w:rPr>
          <w:lang w:val="de-DE"/>
        </w:rPr>
        <w:t>Deutsche Bundesbank - täglich geschätzte Svensson-Parameter der Zinsstrukturkurve (10-Jahres-Zins-Faktor).</w:t>
      </w:r>
    </w:p>
    <w:sectPr w:rsidR="00236E73" w:rsidRPr="003E30B6" w:rsidSect="00034616">
      <w:footerReference w:type="default" r:id="rId12"/>
      <w:pgSz w:w="11906" w:h="16838"/>
      <w:pgMar w:top="1247" w:right="1247" w:bottom="1247"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65336" w14:textId="77777777" w:rsidR="00D533FF" w:rsidRDefault="00D533FF">
      <w:pPr>
        <w:spacing w:after="0" w:line="240" w:lineRule="auto"/>
      </w:pPr>
      <w:r>
        <w:separator/>
      </w:r>
    </w:p>
  </w:endnote>
  <w:endnote w:type="continuationSeparator" w:id="0">
    <w:p w14:paraId="1735BF2F" w14:textId="77777777" w:rsidR="00D533FF" w:rsidRDefault="00D533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990C6" w14:textId="77777777" w:rsidR="00236E73" w:rsidRDefault="00000000">
    <w:pPr>
      <w:pStyle w:val="Footer"/>
      <w:jc w:val="center"/>
    </w:pPr>
    <w:r>
      <w:rPr>
        <w:color w:val="6E6E6E"/>
        <w:sz w:val="16"/>
      </w:rPr>
      <w:t xml:space="preserve">Modellannahmen | EU Banking Credit Stress Cockpit | Seite </w:t>
    </w:r>
    <w:r>
      <w:fldChar w:fldCharType="begin"/>
    </w:r>
    <w:r>
      <w:instrText>PAGE</w:instrText>
    </w:r>
    <w:r>
      <w:fldChar w:fldCharType="separate"/>
    </w:r>
    <w:r w:rsidR="003E30B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61C6E" w14:textId="77777777" w:rsidR="00D533FF" w:rsidRDefault="00D533FF">
      <w:pPr>
        <w:spacing w:after="0" w:line="240" w:lineRule="auto"/>
      </w:pPr>
      <w:r>
        <w:separator/>
      </w:r>
    </w:p>
  </w:footnote>
  <w:footnote w:type="continuationSeparator" w:id="0">
    <w:p w14:paraId="73B4F12D" w14:textId="77777777" w:rsidR="00D533FF" w:rsidRDefault="00D533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9045683">
    <w:abstractNumId w:val="8"/>
  </w:num>
  <w:num w:numId="2" w16cid:durableId="1705595571">
    <w:abstractNumId w:val="6"/>
  </w:num>
  <w:num w:numId="3" w16cid:durableId="1846506508">
    <w:abstractNumId w:val="5"/>
  </w:num>
  <w:num w:numId="4" w16cid:durableId="1855878318">
    <w:abstractNumId w:val="4"/>
  </w:num>
  <w:num w:numId="5" w16cid:durableId="596013958">
    <w:abstractNumId w:val="7"/>
  </w:num>
  <w:num w:numId="6" w16cid:durableId="788201818">
    <w:abstractNumId w:val="3"/>
  </w:num>
  <w:num w:numId="7" w16cid:durableId="1535849362">
    <w:abstractNumId w:val="2"/>
  </w:num>
  <w:num w:numId="8" w16cid:durableId="1826779788">
    <w:abstractNumId w:val="1"/>
  </w:num>
  <w:num w:numId="9" w16cid:durableId="2086679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6E73"/>
    <w:rsid w:val="0029639D"/>
    <w:rsid w:val="00312933"/>
    <w:rsid w:val="00326F90"/>
    <w:rsid w:val="003E30B6"/>
    <w:rsid w:val="00AA1D8D"/>
    <w:rsid w:val="00B47730"/>
    <w:rsid w:val="00CB0664"/>
    <w:rsid w:val="00D533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4E92EB"/>
  <w14:defaultImageDpi w14:val="300"/>
  <w15:docId w15:val="{10470944-D1A1-47C3-94EC-80D37CAD26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51C2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34B6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51C2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6436</Words>
  <Characters>36688</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Gashi, Bleron</cp:lastModifiedBy>
  <cp:revision>2</cp:revision>
  <dcterms:created xsi:type="dcterms:W3CDTF">2013-12-23T23:15:00Z</dcterms:created>
  <dcterms:modified xsi:type="dcterms:W3CDTF">2026-07-08T21:19:00Z</dcterms:modified>
  <cp:category/>
</cp:coreProperties>
</file>