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Brenda Solis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Larry Delgado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Mark Garcia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Lab 03 - First Classes</w:t>
      </w:r>
    </w:p>
    <w:p w:rsidR="00000000" w:rsidDel="00000000" w:rsidP="00000000" w:rsidRDefault="00000000" w:rsidRPr="00000000" w14:paraId="00000005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student: a person who is enrolled at a university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the email provided by the university for the student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firstName:</w:t>
      </w:r>
      <w:r w:rsidDel="00000000" w:rsidR="00000000" w:rsidRPr="00000000">
        <w:rPr>
          <w:rtl w:val="0"/>
        </w:rPr>
        <w:t xml:space="preserve"> the student’s first name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lastName:</w:t>
      </w:r>
      <w:r w:rsidDel="00000000" w:rsidR="00000000" w:rsidRPr="00000000">
        <w:rPr>
          <w:rtl w:val="0"/>
        </w:rPr>
        <w:t xml:space="preserve"> the student’s last name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major:</w:t>
      </w:r>
      <w:r w:rsidDel="00000000" w:rsidR="00000000" w:rsidRPr="00000000">
        <w:rPr>
          <w:rtl w:val="0"/>
        </w:rPr>
        <w:t xml:space="preserve"> the subject the student chooses to specialize in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minor:</w:t>
      </w:r>
      <w:r w:rsidDel="00000000" w:rsidR="00000000" w:rsidRPr="00000000">
        <w:rPr>
          <w:rtl w:val="0"/>
        </w:rPr>
        <w:t xml:space="preserve"> (if any) the subject a student chooses as a secondary discipline </w:t>
      </w:r>
    </w:p>
    <w:p w:rsidR="00000000" w:rsidDel="00000000" w:rsidP="00000000" w:rsidRDefault="00000000" w:rsidRPr="00000000" w14:paraId="0000000B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faculty: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the email provided by the university for the faculty member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firstName:</w:t>
      </w:r>
      <w:r w:rsidDel="00000000" w:rsidR="00000000" w:rsidRPr="00000000">
        <w:rPr>
          <w:rtl w:val="0"/>
        </w:rPr>
        <w:t xml:space="preserve"> the faculty member’s first name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: the faculty member’s last name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 an academic department the faculty member is a part of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subjectTaught:</w:t>
      </w:r>
      <w:r w:rsidDel="00000000" w:rsidR="00000000" w:rsidRPr="00000000">
        <w:rPr>
          <w:rtl w:val="0"/>
        </w:rPr>
        <w:t xml:space="preserve"> the subject that the faculty member teaches within their department</w:t>
      </w:r>
    </w:p>
    <w:p w:rsidR="00000000" w:rsidDel="00000000" w:rsidP="00000000" w:rsidRDefault="00000000" w:rsidRPr="00000000" w14:paraId="00000011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artPeice: an artistic creation for the purpose of  aesthetic value.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yearCreated:</w:t>
      </w:r>
      <w:r w:rsidDel="00000000" w:rsidR="00000000" w:rsidRPr="00000000">
        <w:rPr>
          <w:rtl w:val="0"/>
        </w:rPr>
        <w:t xml:space="preserve"> represents the date in which art Piece was completed.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countryOfOrigin: </w:t>
      </w:r>
      <w:r w:rsidDel="00000000" w:rsidR="00000000" w:rsidRPr="00000000">
        <w:rPr>
          <w:rtl w:val="0"/>
        </w:rPr>
        <w:t xml:space="preserve">represents the geographical location in which artPiece was created in.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Media: </w:t>
      </w:r>
      <w:r w:rsidDel="00000000" w:rsidR="00000000" w:rsidRPr="00000000">
        <w:rPr>
          <w:rtl w:val="0"/>
        </w:rPr>
        <w:t xml:space="preserve">represents the materials and tools used by artist to create artPiece.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Artist: </w:t>
      </w:r>
      <w:r w:rsidDel="00000000" w:rsidR="00000000" w:rsidRPr="00000000">
        <w:rPr>
          <w:rtl w:val="0"/>
        </w:rPr>
        <w:t xml:space="preserve">person responsible for creating artPiece.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Style: </w:t>
      </w:r>
      <w:r w:rsidDel="00000000" w:rsidR="00000000" w:rsidRPr="00000000">
        <w:rPr>
          <w:rtl w:val="0"/>
        </w:rPr>
        <w:t xml:space="preserve">set of distinctive characteristics that relate said artPiece to other works by the same artist,time period, training, or school of thought.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Automobile: a form of transportation to get from one place to another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brand of the automobile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name of the car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modelYear:</w:t>
      </w:r>
      <w:r w:rsidDel="00000000" w:rsidR="00000000" w:rsidRPr="00000000">
        <w:rPr>
          <w:rtl w:val="0"/>
        </w:rPr>
        <w:t xml:space="preserve"> year the model of the car was created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driveMechanism:</w:t>
      </w:r>
      <w:r w:rsidDel="00000000" w:rsidR="00000000" w:rsidRPr="00000000">
        <w:rPr>
          <w:rtl w:val="0"/>
        </w:rPr>
        <w:t xml:space="preserve"> defines the number of wheels a car can provide torque to simultaneously.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transmissionSystem:</w:t>
      </w:r>
      <w:r w:rsidDel="00000000" w:rsidR="00000000" w:rsidRPr="00000000">
        <w:rPr>
          <w:rtl w:val="0"/>
        </w:rPr>
        <w:t xml:space="preserve"> defines whether the car has an automatic or manual transmission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jc w:val="left"/>
        <w:rPr>
          <w:color w:val="30333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Pizza: 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a baked dish made typically of flattened bread dough spread with a savory mixture usually including tomatoes and cheese and often other toppings.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1440" w:hanging="360"/>
        <w:rPr>
          <w:color w:val="303336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03336"/>
          <w:sz w:val="24"/>
          <w:szCs w:val="24"/>
          <w:highlight w:val="white"/>
          <w:rtl w:val="0"/>
        </w:rPr>
        <w:t xml:space="preserve">Dough: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 a mixture that consists of flour and is stiff enough to knead or roll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1440" w:hanging="360"/>
        <w:jc w:val="left"/>
        <w:rPr>
          <w:color w:val="303336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03336"/>
          <w:sz w:val="24"/>
          <w:szCs w:val="24"/>
          <w:highlight w:val="white"/>
          <w:rtl w:val="0"/>
        </w:rPr>
        <w:t xml:space="preserve">Sauce: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 a condiment or relish for food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1440" w:hanging="360"/>
        <w:jc w:val="left"/>
        <w:rPr>
          <w:color w:val="303336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03336"/>
          <w:sz w:val="24"/>
          <w:szCs w:val="24"/>
          <w:highlight w:val="white"/>
          <w:rtl w:val="0"/>
        </w:rPr>
        <w:t xml:space="preserve">Cheese: 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a food consisting of ripened curd of milk separated from the whey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1440" w:hanging="360"/>
        <w:jc w:val="left"/>
        <w:rPr>
          <w:color w:val="303336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03336"/>
          <w:sz w:val="24"/>
          <w:szCs w:val="24"/>
          <w:highlight w:val="white"/>
          <w:rtl w:val="0"/>
        </w:rPr>
        <w:t xml:space="preserve">Topping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: A meaty or vegetable ingredient at the top of a pizza</w:t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color w:val="303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color w:val="303336"/>
          <w:sz w:val="24"/>
          <w:szCs w:val="24"/>
          <w:highlight w:val="white"/>
        </w:rPr>
      </w:pP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Furniture: moveable objects for the purpose of human activities such as sitting,eating, storging and sleeping.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480" w:lineRule="auto"/>
        <w:ind w:left="720" w:hanging="360"/>
        <w:jc w:val="left"/>
        <w:rPr>
          <w:color w:val="303336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03336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: the type of activity the furniture is made for.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480" w:lineRule="auto"/>
        <w:ind w:left="720" w:hanging="360"/>
        <w:jc w:val="left"/>
        <w:rPr>
          <w:color w:val="303336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03336"/>
          <w:sz w:val="24"/>
          <w:szCs w:val="24"/>
          <w:highlight w:val="white"/>
          <w:rtl w:val="0"/>
        </w:rPr>
        <w:t xml:space="preserve">Material: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 the material the furniture is made of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480" w:lineRule="auto"/>
        <w:ind w:left="720" w:hanging="360"/>
        <w:jc w:val="left"/>
        <w:rPr>
          <w:color w:val="303336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03336"/>
          <w:sz w:val="24"/>
          <w:szCs w:val="24"/>
          <w:highlight w:val="white"/>
          <w:rtl w:val="0"/>
        </w:rPr>
        <w:t xml:space="preserve">Color: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 the furniture’s color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480" w:lineRule="auto"/>
        <w:ind w:left="720" w:hanging="360"/>
        <w:jc w:val="left"/>
        <w:rPr>
          <w:color w:val="303336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03336"/>
          <w:sz w:val="24"/>
          <w:szCs w:val="24"/>
          <w:highlight w:val="white"/>
          <w:rtl w:val="0"/>
        </w:rPr>
        <w:t xml:space="preserve">Shape: 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the furniture’s shape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480" w:lineRule="auto"/>
        <w:ind w:left="720" w:hanging="360"/>
        <w:jc w:val="left"/>
        <w:rPr>
          <w:color w:val="303336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03336"/>
          <w:sz w:val="24"/>
          <w:szCs w:val="24"/>
          <w:highlight w:val="white"/>
          <w:rtl w:val="0"/>
        </w:rPr>
        <w:t xml:space="preserve">Size:</w:t>
      </w:r>
      <w:r w:rsidDel="00000000" w:rsidR="00000000" w:rsidRPr="00000000">
        <w:rPr>
          <w:color w:val="303336"/>
          <w:sz w:val="24"/>
          <w:szCs w:val="24"/>
          <w:highlight w:val="white"/>
          <w:rtl w:val="0"/>
        </w:rPr>
        <w:t xml:space="preserve"> the furniture’s dimensions in height, width, and length </w:t>
      </w:r>
    </w:p>
    <w:p w:rsidR="00000000" w:rsidDel="00000000" w:rsidP="00000000" w:rsidRDefault="00000000" w:rsidRPr="00000000" w14:paraId="0000002C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