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280BBA"/>
    <w:p w14:paraId="07DBF948"/>
    <w:p w14:paraId="76304252"/>
    <w:p w14:paraId="391CFDAC"/>
    <w:p w14:paraId="17770D34"/>
    <w:p w14:paraId="2589FB9D">
      <w:pPr>
        <w:jc w:val="center"/>
      </w:pPr>
      <w:r>
        <w:rPr>
          <w:rFonts w:ascii="Times New Roman" w:hAnsi="Times New Roman" w:eastAsia="思源黑体"/>
          <w:b/>
          <w:color w:val="1F497D"/>
          <w:sz w:val="52"/>
        </w:rPr>
        <w:t>UART 后门植入实验报告</w:t>
      </w:r>
    </w:p>
    <w:p w14:paraId="00998428">
      <w:pPr>
        <w:jc w:val="center"/>
      </w:pPr>
      <w:r>
        <w:rPr>
          <w:rFonts w:ascii="Times New Roman" w:hAnsi="Times New Roman" w:eastAsia="思源黑体"/>
          <w:color w:val="555555"/>
          <w:sz w:val="28"/>
        </w:rPr>
        <w:t>——基于 STM32 的双重触发后门设计与验证</w:t>
      </w:r>
    </w:p>
    <w:p w14:paraId="28379B5A"/>
    <w:p w14:paraId="2AF3F505">
      <w:pPr>
        <w:jc w:val="center"/>
      </w:pPr>
      <w:r>
        <w:rPr>
          <w:rFonts w:ascii="Times New Roman" w:hAnsi="Times New Roman" w:eastAsia="思源黑体"/>
          <w:b/>
          <w:sz w:val="22"/>
        </w:rPr>
        <w:t>实验方向：</w:t>
      </w:r>
      <w:r>
        <w:rPr>
          <w:rFonts w:ascii="Times New Roman" w:hAnsi="Times New Roman" w:eastAsia="思源黑体"/>
          <w:sz w:val="22"/>
        </w:rPr>
        <w:t>工控 / IoT 固件安全</w:t>
      </w:r>
    </w:p>
    <w:p w14:paraId="6754559F">
      <w:pPr>
        <w:jc w:val="center"/>
        <w:rPr>
          <w:rFonts w:hint="default" w:eastAsia="思源黑体"/>
          <w:lang w:val="en-US" w:eastAsia="zh-CN"/>
        </w:rPr>
      </w:pPr>
      <w:r>
        <w:rPr>
          <w:rFonts w:ascii="Times New Roman" w:hAnsi="Times New Roman" w:eastAsia="思源黑体"/>
          <w:b/>
          <w:sz w:val="22"/>
        </w:rPr>
        <w:t>硬件平台：</w:t>
      </w:r>
      <w:r>
        <w:rPr>
          <w:rFonts w:ascii="Times New Roman" w:hAnsi="Times New Roman" w:eastAsia="思源黑体"/>
          <w:sz w:val="22"/>
        </w:rPr>
        <w:t>STM32F103</w:t>
      </w:r>
      <w:r>
        <w:rPr>
          <w:rFonts w:hint="eastAsia" w:ascii="Times New Roman" w:hAnsi="Times New Roman" w:eastAsia="思源黑体"/>
          <w:sz w:val="22"/>
          <w:lang w:val="en-US" w:eastAsia="zh-CN"/>
        </w:rPr>
        <w:t>C8T6</w:t>
      </w:r>
    </w:p>
    <w:p w14:paraId="4B5BAEC7">
      <w:pPr>
        <w:jc w:val="center"/>
      </w:pPr>
      <w:r>
        <w:rPr>
          <w:rFonts w:ascii="Times New Roman" w:hAnsi="Times New Roman" w:eastAsia="思源黑体"/>
          <w:b/>
          <w:sz w:val="22"/>
        </w:rPr>
        <w:t>软件环境：</w:t>
      </w:r>
      <w:r>
        <w:rPr>
          <w:rFonts w:ascii="Times New Roman" w:hAnsi="Times New Roman" w:eastAsia="思源黑体"/>
          <w:sz w:val="22"/>
        </w:rPr>
        <w:t>STM32CubeIDE / Keil MDK + HAL 库</w:t>
      </w:r>
    </w:p>
    <w:p w14:paraId="43BE45DD">
      <w:pPr>
        <w:jc w:val="center"/>
      </w:pPr>
      <w:r>
        <w:rPr>
          <w:rFonts w:ascii="Times New Roman" w:hAnsi="Times New Roman" w:eastAsia="思源黑体"/>
          <w:b/>
          <w:sz w:val="22"/>
        </w:rPr>
        <w:t>通信接口：</w:t>
      </w:r>
      <w:r>
        <w:rPr>
          <w:rFonts w:ascii="Times New Roman" w:hAnsi="Times New Roman" w:eastAsia="思源黑体"/>
          <w:sz w:val="22"/>
        </w:rPr>
        <w:t>USART1（UART，空闲中断接收）</w:t>
      </w:r>
    </w:p>
    <w:p w14:paraId="66FB6F60">
      <w:pPr>
        <w:jc w:val="center"/>
      </w:pPr>
      <w:r>
        <w:rPr>
          <w:rFonts w:ascii="Times New Roman" w:hAnsi="Times New Roman" w:eastAsia="思源黑体"/>
          <w:b/>
          <w:sz w:val="22"/>
        </w:rPr>
        <w:t>完成时间：</w:t>
      </w:r>
      <w:r>
        <w:rPr>
          <w:rFonts w:ascii="Times New Roman" w:hAnsi="Times New Roman" w:eastAsia="思源黑体"/>
          <w:sz w:val="22"/>
        </w:rPr>
        <w:t>202</w:t>
      </w:r>
      <w:r>
        <w:rPr>
          <w:rFonts w:hint="eastAsia" w:ascii="Times New Roman" w:hAnsi="Times New Roman" w:eastAsia="思源黑体"/>
          <w:sz w:val="22"/>
          <w:lang w:val="en-US" w:eastAsia="zh-CN"/>
        </w:rPr>
        <w:t>6</w:t>
      </w:r>
      <w:r>
        <w:rPr>
          <w:rFonts w:ascii="Times New Roman" w:hAnsi="Times New Roman" w:eastAsia="思源黑体"/>
          <w:sz w:val="22"/>
        </w:rPr>
        <w:t xml:space="preserve"> 年暑假（7 月 — 8 月）</w:t>
      </w:r>
    </w:p>
    <w:p w14:paraId="60E4CA99">
      <w:pPr>
        <w:jc w:val="center"/>
      </w:pPr>
      <w:r>
        <w:rPr>
          <w:rFonts w:ascii="Times New Roman" w:hAnsi="Times New Roman" w:eastAsia="思源黑体"/>
          <w:b/>
          <w:sz w:val="22"/>
        </w:rPr>
        <w:t>验证状态：</w:t>
      </w:r>
      <w:r>
        <w:rPr>
          <w:rFonts w:ascii="Times New Roman" w:hAnsi="Times New Roman" w:eastAsia="思源黑体"/>
          <w:sz w:val="22"/>
        </w:rPr>
        <w:t>已通过硬件实测验证</w:t>
      </w:r>
    </w:p>
    <w:p w14:paraId="7D61C56E">
      <w:r>
        <w:br w:type="page"/>
      </w:r>
    </w:p>
    <w:p w14:paraId="775CA9E8">
      <w:pPr>
        <w:spacing w:before="240" w:after="120"/>
      </w:pPr>
      <w:r>
        <w:rPr>
          <w:rFonts w:ascii="Times New Roman" w:hAnsi="Times New Roman" w:eastAsia="思源黑体"/>
          <w:b/>
          <w:color w:val="1F497D"/>
          <w:sz w:val="32"/>
        </w:rPr>
        <w:t>目录</w:t>
      </w:r>
    </w:p>
    <w:p w14:paraId="2A56E6AC">
      <w:pPr>
        <w:pStyle w:val="14"/>
        <w:spacing w:after="40"/>
      </w:pPr>
      <w:r>
        <w:rPr>
          <w:rFonts w:ascii="Times New Roman" w:hAnsi="Times New Roman" w:eastAsia="思源黑体"/>
          <w:sz w:val="22"/>
        </w:rPr>
        <w:t>一、实验概述</w:t>
      </w:r>
    </w:p>
    <w:p w14:paraId="641DBA0E">
      <w:pPr>
        <w:pStyle w:val="14"/>
        <w:spacing w:after="40"/>
      </w:pPr>
      <w:r>
        <w:rPr>
          <w:rFonts w:ascii="Times New Roman" w:hAnsi="Times New Roman" w:eastAsia="思源黑体"/>
          <w:sz w:val="22"/>
        </w:rPr>
        <w:t>二、设计思路</w:t>
      </w:r>
    </w:p>
    <w:p w14:paraId="17B52B65">
      <w:pPr>
        <w:pStyle w:val="14"/>
        <w:spacing w:after="40"/>
      </w:pPr>
      <w:r>
        <w:rPr>
          <w:rFonts w:ascii="Times New Roman" w:hAnsi="Times New Roman" w:eastAsia="思源黑体"/>
          <w:sz w:val="22"/>
        </w:rPr>
        <w:t>三、硬件平台与接线</w:t>
      </w:r>
    </w:p>
    <w:p w14:paraId="3E446F67">
      <w:pPr>
        <w:pStyle w:val="14"/>
        <w:spacing w:after="40"/>
      </w:pPr>
      <w:r>
        <w:rPr>
          <w:rFonts w:ascii="Times New Roman" w:hAnsi="Times New Roman" w:eastAsia="思源黑体"/>
          <w:sz w:val="22"/>
        </w:rPr>
        <w:t>四、功能验证（验收结论）</w:t>
      </w:r>
    </w:p>
    <w:p w14:paraId="5EEE56C6">
      <w:pPr>
        <w:pStyle w:val="14"/>
        <w:spacing w:after="40"/>
      </w:pPr>
      <w:r>
        <w:rPr>
          <w:rFonts w:ascii="Times New Roman" w:hAnsi="Times New Roman" w:eastAsia="思源黑体"/>
          <w:sz w:val="22"/>
        </w:rPr>
        <w:t>五、安全分析</w:t>
      </w:r>
    </w:p>
    <w:p w14:paraId="0D0981E9">
      <w:pPr>
        <w:pStyle w:val="14"/>
        <w:spacing w:after="40"/>
      </w:pPr>
      <w:r>
        <w:rPr>
          <w:rFonts w:ascii="Times New Roman" w:hAnsi="Times New Roman" w:eastAsia="思源黑体"/>
          <w:sz w:val="22"/>
        </w:rPr>
        <w:t>六、遇到的问题与解决</w:t>
      </w:r>
    </w:p>
    <w:p w14:paraId="49F0B5A5">
      <w:pPr>
        <w:pStyle w:val="14"/>
        <w:spacing w:after="40"/>
      </w:pPr>
      <w:r>
        <w:rPr>
          <w:rFonts w:ascii="Times New Roman" w:hAnsi="Times New Roman" w:eastAsia="思源黑体"/>
          <w:sz w:val="22"/>
        </w:rPr>
        <w:t>七、结论</w:t>
      </w:r>
    </w:p>
    <w:p w14:paraId="65EC0100">
      <w:pPr>
        <w:pStyle w:val="14"/>
        <w:spacing w:after="40"/>
      </w:pPr>
      <w:r>
        <w:rPr>
          <w:rFonts w:ascii="Times New Roman" w:hAnsi="Times New Roman" w:eastAsia="思源黑体"/>
          <w:sz w:val="22"/>
        </w:rPr>
        <w:t>附录：仓库目录结构</w:t>
      </w:r>
    </w:p>
    <w:p w14:paraId="3402F9D6">
      <w:r>
        <w:br w:type="page"/>
      </w:r>
    </w:p>
    <w:p w14:paraId="6AF0B26A">
      <w:pPr>
        <w:spacing w:before="240" w:after="120"/>
      </w:pPr>
      <w:r>
        <w:rPr>
          <w:rFonts w:ascii="Times New Roman" w:hAnsi="Times New Roman" w:eastAsia="思源黑体"/>
          <w:b/>
          <w:color w:val="1F497D"/>
          <w:sz w:val="32"/>
        </w:rPr>
        <w:t>一、实验概述</w:t>
      </w:r>
    </w:p>
    <w:p w14:paraId="5CE0A604">
      <w:pPr>
        <w:spacing w:after="80" w:line="336" w:lineRule="auto"/>
        <w:ind w:firstLine="420"/>
      </w:pPr>
      <w:r>
        <w:rPr>
          <w:rFonts w:ascii="Times New Roman" w:hAnsi="Times New Roman" w:eastAsia="思源黑体"/>
          <w:b w:val="0"/>
          <w:sz w:val="22"/>
        </w:rPr>
        <w:t>本实验在 STM32 平台上实现一个 UART 后门植入示例。后门在正常系统运行期间保持静默，当同时满足“按键被按下”与“串口收到正确密码”两个条件时，切换进入后门命令模式；在后门模式下，攻击者可通过串口执行信息查询、指示灯控制等操作，也可通过专用命令退出并恢复系统正常状态。实验全程采用状态机设计，后门处理不阻塞主循环，保证其他周期任务（LED 闪烁、OLED 刷新、喂狗等）正常运行。</w:t>
      </w:r>
    </w:p>
    <w:p w14:paraId="282E44B8">
      <w:pPr>
        <w:spacing w:after="80" w:line="336" w:lineRule="auto"/>
      </w:pPr>
      <w:r>
        <w:rPr>
          <w:rFonts w:ascii="Times New Roman" w:hAnsi="Times New Roman" w:eastAsia="思源黑体"/>
          <w:b/>
          <w:sz w:val="22"/>
        </w:rPr>
        <w:t>实验目的：</w:t>
      </w:r>
    </w:p>
    <w:p w14:paraId="36C95055">
      <w:pPr>
        <w:pStyle w:val="16"/>
        <w:spacing w:after="40" w:line="324" w:lineRule="auto"/>
      </w:pPr>
      <w:r>
        <w:rPr>
          <w:rFonts w:ascii="Times New Roman" w:hAnsi="Times New Roman" w:eastAsia="思源黑体"/>
          <w:sz w:val="22"/>
        </w:rPr>
        <w:t>理解嵌入式设备中后门的触发机制（多因子认证）与隐蔽设计思路；</w:t>
      </w:r>
    </w:p>
    <w:p w14:paraId="4D0D8604">
      <w:pPr>
        <w:pStyle w:val="16"/>
        <w:spacing w:after="40" w:line="324" w:lineRule="auto"/>
      </w:pPr>
      <w:r>
        <w:rPr>
          <w:rFonts w:ascii="Times New Roman" w:hAnsi="Times New Roman" w:eastAsia="思源黑体"/>
          <w:sz w:val="22"/>
        </w:rPr>
        <w:t>掌握 STM32 UART 空闲中断接收、外部按键中断与 OLED 显示的综合应用；</w:t>
      </w:r>
    </w:p>
    <w:p w14:paraId="7DC57C21">
      <w:pPr>
        <w:pStyle w:val="16"/>
        <w:spacing w:after="40" w:line="324" w:lineRule="auto"/>
      </w:pPr>
      <w:r>
        <w:rPr>
          <w:rFonts w:ascii="Times New Roman" w:hAnsi="Times New Roman" w:eastAsia="思源黑体"/>
          <w:sz w:val="22"/>
        </w:rPr>
        <w:t>构建一个可扩展的命令解析框架（后续可像“盖隔间”一样追加 dump / gpio / flash 等命令）；</w:t>
      </w:r>
    </w:p>
    <w:p w14:paraId="1B939ADB">
      <w:pPr>
        <w:pStyle w:val="16"/>
        <w:spacing w:after="40" w:line="324" w:lineRule="auto"/>
      </w:pPr>
      <w:r>
        <w:rPr>
          <w:rFonts w:ascii="Times New Roman" w:hAnsi="Times New Roman" w:eastAsia="思源黑体"/>
          <w:sz w:val="22"/>
        </w:rPr>
        <w:t>从攻击链视角分析固件后门的风险，为后续固件逆向与防护研究打下基础。</w:t>
      </w:r>
    </w:p>
    <w:p w14:paraId="4A763C61">
      <w:pPr>
        <w:spacing w:before="240" w:after="120"/>
      </w:pPr>
      <w:r>
        <w:rPr>
          <w:rFonts w:ascii="Times New Roman" w:hAnsi="Times New Roman" w:eastAsia="思源黑体"/>
          <w:b/>
          <w:color w:val="1F497D"/>
          <w:sz w:val="32"/>
        </w:rPr>
        <w:t>二、设计思路</w:t>
      </w:r>
    </w:p>
    <w:p w14:paraId="0BB23938">
      <w:pPr>
        <w:spacing w:after="80" w:line="336" w:lineRule="auto"/>
        <w:ind w:firstLine="420"/>
      </w:pPr>
      <w:r>
        <w:rPr>
          <w:rFonts w:ascii="Times New Roman" w:hAnsi="Times New Roman" w:eastAsia="思源黑体"/>
          <w:b w:val="0"/>
          <w:sz w:val="22"/>
        </w:rPr>
        <w:t>整体采用“状态变量 + 主循环调度”的状态机架构，核心全局状态如下：</w:t>
      </w:r>
    </w:p>
    <w:p w14:paraId="47F3AE2C">
      <w:pPr>
        <w:pStyle w:val="16"/>
        <w:spacing w:after="40" w:line="324" w:lineRule="auto"/>
      </w:pPr>
      <w:r>
        <w:rPr>
          <w:rFonts w:ascii="Times New Roman" w:hAnsi="Times New Roman" w:eastAsia="思源黑体"/>
          <w:sz w:val="22"/>
        </w:rPr>
        <w:t>bk_status：后门模式标志（0 正常模式 / 1 后门模式），由密码验证成功后置位，unlock 退出时清零；</w:t>
      </w:r>
    </w:p>
    <w:p w14:paraId="4314BCE7">
      <w:pPr>
        <w:pStyle w:val="16"/>
        <w:spacing w:after="40" w:line="324" w:lineRule="auto"/>
      </w:pPr>
      <w:r>
        <w:rPr>
          <w:rFonts w:ascii="Times New Roman" w:hAnsi="Times New Roman" w:eastAsia="思源黑体"/>
          <w:sz w:val="22"/>
        </w:rPr>
        <w:t>try_cnt：密码错误计数，累计 3 次错误进入锁定；</w:t>
      </w:r>
    </w:p>
    <w:p w14:paraId="5AE69827">
      <w:pPr>
        <w:pStyle w:val="16"/>
        <w:spacing w:after="40" w:line="324" w:lineRule="auto"/>
      </w:pPr>
      <w:r>
        <w:rPr>
          <w:rFonts w:ascii="Times New Roman" w:hAnsi="Times New Roman" w:eastAsia="思源黑体"/>
          <w:sz w:val="22"/>
        </w:rPr>
        <w:t>is_lock / lock_time：锁定标志与锁定起始时刻，锁定持续 10 秒后自动解锁；</w:t>
      </w:r>
    </w:p>
    <w:p w14:paraId="2EE5C4E7">
      <w:pPr>
        <w:pStyle w:val="16"/>
        <w:spacing w:after="40" w:line="324" w:lineRule="auto"/>
      </w:pPr>
      <w:r>
        <w:rPr>
          <w:rFonts w:ascii="Times New Roman" w:hAnsi="Times New Roman" w:eastAsia="思源黑体"/>
          <w:sz w:val="22"/>
        </w:rPr>
        <w:t>RxBuf：UART 接收缓冲区，由空闲中断接收填充，主循环检测其首字节判断是否含新数据。</w:t>
      </w:r>
    </w:p>
    <w:p w14:paraId="79507D96">
      <w:pPr>
        <w:spacing w:after="80" w:line="336" w:lineRule="auto"/>
      </w:pPr>
      <w:r>
        <w:rPr>
          <w:rFonts w:ascii="Times New Roman" w:hAnsi="Times New Roman" w:eastAsia="思源黑体"/>
          <w:b/>
          <w:sz w:val="22"/>
        </w:rPr>
        <w:t>工作流程：</w:t>
      </w:r>
    </w:p>
    <w:p w14:paraId="5331E36B">
      <w:pPr>
        <w:pStyle w:val="16"/>
        <w:spacing w:after="40" w:line="324" w:lineRule="auto"/>
      </w:pPr>
      <w:r>
        <w:rPr>
          <w:rFonts w:ascii="Times New Roman" w:hAnsi="Times New Roman" w:eastAsia="思源黑体"/>
          <w:sz w:val="22"/>
        </w:rPr>
        <w:t>上电后系统进入正常模式，OLED 显示“System OK”，主循环执行周期任务；</w:t>
      </w:r>
    </w:p>
    <w:p w14:paraId="01B66DD6">
      <w:pPr>
        <w:pStyle w:val="16"/>
        <w:spacing w:after="40" w:line="324" w:lineRule="auto"/>
      </w:pPr>
      <w:r>
        <w:rPr>
          <w:rFonts w:ascii="Times New Roman" w:hAnsi="Times New Roman" w:eastAsia="思源黑体"/>
          <w:sz w:val="22"/>
        </w:rPr>
        <w:t>主循环检测到 RxBuf 有新数据且未锁定时，调用密码校验函数；</w:t>
      </w:r>
    </w:p>
    <w:p w14:paraId="11194A2A">
      <w:pPr>
        <w:pStyle w:val="16"/>
        <w:spacing w:after="40" w:line="324" w:lineRule="auto"/>
      </w:pPr>
      <w:r>
        <w:rPr>
          <w:rFonts w:ascii="Times New Roman" w:hAnsi="Times New Roman" w:eastAsia="思源黑体"/>
          <w:sz w:val="22"/>
        </w:rPr>
        <w:t>若“接收到的字符串等于 backroot”且“KEY1 按键被按下”，则进入后门模式（bk_status=1），OLED 切换为“System On”；</w:t>
      </w:r>
    </w:p>
    <w:p w14:paraId="0C05C09B">
      <w:pPr>
        <w:pStyle w:val="16"/>
        <w:spacing w:after="40" w:line="324" w:lineRule="auto"/>
      </w:pPr>
      <w:r>
        <w:rPr>
          <w:rFonts w:ascii="Times New Roman" w:hAnsi="Times New Roman" w:eastAsia="思源黑体"/>
          <w:sz w:val="22"/>
        </w:rPr>
        <w:t>后门模式下，主循环将新到的串口数据交由命令处理函数分发，执行 help / led on / unlock 等命令；</w:t>
      </w:r>
    </w:p>
    <w:p w14:paraId="68B6CC8C">
      <w:pPr>
        <w:pStyle w:val="16"/>
        <w:spacing w:after="40" w:line="324" w:lineRule="auto"/>
      </w:pPr>
      <w:r>
        <w:rPr>
          <w:rFonts w:ascii="Times New Roman" w:hAnsi="Times New Roman" w:eastAsia="思源黑体"/>
          <w:sz w:val="22"/>
        </w:rPr>
        <w:t>任意模式下累计 3 次密码错误即进入 10 秒锁定，OLED 显示“System Lock”，期间忽略输入。</w:t>
      </w:r>
    </w:p>
    <w:p w14:paraId="6A5D63C3">
      <w:pPr>
        <w:spacing w:after="80" w:line="336" w:lineRule="auto"/>
      </w:pPr>
      <w:r>
        <w:rPr>
          <w:rFonts w:ascii="Times New Roman" w:hAnsi="Times New Roman" w:eastAsia="思源黑体"/>
          <w:b/>
          <w:sz w:val="22"/>
        </w:rPr>
        <w:t>关键设计特点：</w:t>
      </w:r>
    </w:p>
    <w:p w14:paraId="55D127F5">
      <w:pPr>
        <w:pStyle w:val="16"/>
        <w:spacing w:after="40" w:line="324" w:lineRule="auto"/>
      </w:pPr>
      <w:r>
        <w:rPr>
          <w:rFonts w:ascii="Times New Roman" w:hAnsi="Times New Roman" w:eastAsia="思源黑体"/>
          <w:sz w:val="22"/>
        </w:rPr>
        <w:t>双重触发（密码 + 按键）：避免仅因串口误收到密码字符串而意外进入后门；</w:t>
      </w:r>
    </w:p>
    <w:p w14:paraId="36FD2BB9">
      <w:pPr>
        <w:pStyle w:val="16"/>
        <w:spacing w:after="40" w:line="324" w:lineRule="auto"/>
      </w:pPr>
      <w:r>
        <w:rPr>
          <w:rFonts w:ascii="Times New Roman" w:hAnsi="Times New Roman" w:eastAsia="思源黑体"/>
          <w:sz w:val="22"/>
        </w:rPr>
        <w:t>状态机而非死循环：后门处理在每次主循环迭代中执行一次即返回，不独占 CPU，主循环其余任务不受影响；</w:t>
      </w:r>
    </w:p>
    <w:p w14:paraId="225FEC4A">
      <w:pPr>
        <w:pStyle w:val="16"/>
        <w:spacing w:after="40" w:line="324" w:lineRule="auto"/>
      </w:pPr>
      <w:r>
        <w:rPr>
          <w:rFonts w:ascii="Times New Roman" w:hAnsi="Times New Roman" w:eastAsia="思源黑体"/>
          <w:sz w:val="22"/>
        </w:rPr>
        <w:t>错误锁定与自动解锁：限制暴力尝试，10 秒后自动恢复，兼顾安全性与可用性。</w:t>
      </w:r>
    </w:p>
    <w:p w14:paraId="0569B6E9">
      <w:pPr>
        <w:spacing w:before="240" w:after="120"/>
      </w:pPr>
      <w:r>
        <w:rPr>
          <w:rFonts w:ascii="Times New Roman" w:hAnsi="Times New Roman" w:eastAsia="思源黑体"/>
          <w:b/>
          <w:color w:val="1F497D"/>
          <w:sz w:val="32"/>
        </w:rPr>
        <w:t>三、硬件平台与接线</w:t>
      </w:r>
    </w:p>
    <w:p w14:paraId="5C7B3FD3">
      <w:pPr>
        <w:spacing w:after="80" w:line="336" w:lineRule="auto"/>
        <w:ind w:firstLine="420"/>
      </w:pPr>
      <w:r>
        <w:rPr>
          <w:rFonts w:ascii="Times New Roman" w:hAnsi="Times New Roman" w:eastAsia="思源黑体"/>
          <w:b w:val="0"/>
          <w:sz w:val="22"/>
        </w:rPr>
        <w:t>实验使用 STM32F103 系列开发板，外接 USB-TTL 模块（CH340/CP2102）与 OLED 显示屏。UART 采用 USART1（PA9/PA10），按键使用开发板已有按键（KEY1），LED/RGB 由板载灯光模块驱动。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2948"/>
        <w:gridCol w:w="2948"/>
      </w:tblGrid>
      <w:tr w14:paraId="2D32D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948" w:type="dxa"/>
            <w:shd w:val="clear" w:color="auto" w:fill="1F497D"/>
          </w:tcPr>
          <w:p w14:paraId="3D4E1ED1">
            <w:pPr>
              <w:spacing w:after="0" w:line="240" w:lineRule="auto"/>
            </w:pPr>
            <w:r>
              <w:rPr>
                <w:rFonts w:ascii="Times New Roman" w:hAnsi="Times New Roman" w:eastAsia="思源黑体"/>
                <w:b/>
                <w:color w:val="FFFFFF"/>
                <w:sz w:val="21"/>
              </w:rPr>
              <w:t>本端（CH340 USB-TTL）</w:t>
            </w:r>
          </w:p>
        </w:tc>
        <w:tc>
          <w:tcPr>
            <w:tcW w:w="2948" w:type="dxa"/>
            <w:shd w:val="clear" w:color="auto" w:fill="1F497D"/>
          </w:tcPr>
          <w:p w14:paraId="5FCBB86A">
            <w:pPr>
              <w:spacing w:after="0" w:line="240" w:lineRule="auto"/>
            </w:pPr>
            <w:r>
              <w:rPr>
                <w:rFonts w:ascii="Times New Roman" w:hAnsi="Times New Roman" w:eastAsia="思源黑体"/>
                <w:b/>
                <w:color w:val="FFFFFF"/>
                <w:sz w:val="21"/>
              </w:rPr>
              <w:t>STM32 端</w:t>
            </w:r>
          </w:p>
        </w:tc>
        <w:tc>
          <w:tcPr>
            <w:tcW w:w="2948" w:type="dxa"/>
            <w:shd w:val="clear" w:color="auto" w:fill="1F497D"/>
          </w:tcPr>
          <w:p w14:paraId="47DE5C59">
            <w:pPr>
              <w:spacing w:after="0" w:line="240" w:lineRule="auto"/>
            </w:pPr>
            <w:r>
              <w:rPr>
                <w:rFonts w:ascii="Times New Roman" w:hAnsi="Times New Roman" w:eastAsia="思源黑体"/>
                <w:b/>
                <w:color w:val="FFFFFF"/>
                <w:sz w:val="21"/>
              </w:rPr>
              <w:t>说明</w:t>
            </w:r>
          </w:p>
        </w:tc>
      </w:tr>
      <w:tr w14:paraId="734D1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</w:tcPr>
          <w:p w14:paraId="44DF0189">
            <w:pPr>
              <w:spacing w:after="0" w:line="240" w:lineRule="auto"/>
            </w:pPr>
            <w:r>
              <w:rPr>
                <w:rFonts w:ascii="Times New Roman" w:hAnsi="Times New Roman" w:eastAsia="思源黑体"/>
                <w:sz w:val="20"/>
              </w:rPr>
              <w:t>TXD（发送）</w:t>
            </w:r>
          </w:p>
        </w:tc>
        <w:tc>
          <w:tcPr>
            <w:tcW w:w="2948" w:type="dxa"/>
          </w:tcPr>
          <w:p w14:paraId="3A8BD139">
            <w:pPr>
              <w:spacing w:after="0" w:line="240" w:lineRule="auto"/>
            </w:pPr>
            <w:r>
              <w:rPr>
                <w:rFonts w:ascii="Times New Roman" w:hAnsi="Times New Roman" w:eastAsia="思源黑体"/>
                <w:sz w:val="20"/>
              </w:rPr>
              <w:t>PA10（USART1_RX）</w:t>
            </w:r>
          </w:p>
        </w:tc>
        <w:tc>
          <w:tcPr>
            <w:tcW w:w="2948" w:type="dxa"/>
          </w:tcPr>
          <w:p w14:paraId="5EB773BA">
            <w:pPr>
              <w:spacing w:after="0" w:line="240" w:lineRule="auto"/>
            </w:pPr>
            <w:r>
              <w:rPr>
                <w:rFonts w:ascii="Times New Roman" w:hAnsi="Times New Roman" w:eastAsia="思源黑体"/>
                <w:sz w:val="20"/>
              </w:rPr>
              <w:t>交叉连接</w:t>
            </w:r>
          </w:p>
        </w:tc>
      </w:tr>
      <w:tr w14:paraId="12E4C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EAF0F7"/>
          </w:tcPr>
          <w:p w14:paraId="7F5C66ED">
            <w:pPr>
              <w:spacing w:after="0" w:line="240" w:lineRule="auto"/>
            </w:pPr>
            <w:r>
              <w:rPr>
                <w:rFonts w:ascii="Times New Roman" w:hAnsi="Times New Roman" w:eastAsia="思源黑体"/>
                <w:sz w:val="20"/>
              </w:rPr>
              <w:t>RXD（接收）</w:t>
            </w:r>
          </w:p>
        </w:tc>
        <w:tc>
          <w:tcPr>
            <w:tcW w:w="2948" w:type="dxa"/>
            <w:shd w:val="clear" w:color="auto" w:fill="EAF0F7"/>
          </w:tcPr>
          <w:p w14:paraId="7E34D939">
            <w:pPr>
              <w:spacing w:after="0" w:line="240" w:lineRule="auto"/>
            </w:pPr>
            <w:r>
              <w:rPr>
                <w:rFonts w:ascii="Times New Roman" w:hAnsi="Times New Roman" w:eastAsia="思源黑体"/>
                <w:sz w:val="20"/>
              </w:rPr>
              <w:t>PA9（USART1_TX）</w:t>
            </w:r>
          </w:p>
        </w:tc>
        <w:tc>
          <w:tcPr>
            <w:tcW w:w="2948" w:type="dxa"/>
            <w:shd w:val="clear" w:color="auto" w:fill="EAF0F7"/>
          </w:tcPr>
          <w:p w14:paraId="0B6DDC14">
            <w:pPr>
              <w:spacing w:after="0" w:line="240" w:lineRule="auto"/>
            </w:pPr>
            <w:r>
              <w:rPr>
                <w:rFonts w:ascii="Times New Roman" w:hAnsi="Times New Roman" w:eastAsia="思源黑体"/>
                <w:sz w:val="20"/>
              </w:rPr>
              <w:t>交叉连接</w:t>
            </w:r>
          </w:p>
        </w:tc>
      </w:tr>
      <w:tr w14:paraId="0E9A9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</w:tcPr>
          <w:p w14:paraId="11E20043">
            <w:pPr>
              <w:spacing w:after="0" w:line="240" w:lineRule="auto"/>
            </w:pPr>
            <w:r>
              <w:rPr>
                <w:rFonts w:ascii="Times New Roman" w:hAnsi="Times New Roman" w:eastAsia="思源黑体"/>
                <w:sz w:val="20"/>
              </w:rPr>
              <w:t>GND</w:t>
            </w:r>
          </w:p>
        </w:tc>
        <w:tc>
          <w:tcPr>
            <w:tcW w:w="2948" w:type="dxa"/>
          </w:tcPr>
          <w:p w14:paraId="60E197F4">
            <w:pPr>
              <w:spacing w:after="0" w:line="240" w:lineRule="auto"/>
            </w:pPr>
            <w:r>
              <w:rPr>
                <w:rFonts w:ascii="Times New Roman" w:hAnsi="Times New Roman" w:eastAsia="思源黑体"/>
                <w:sz w:val="20"/>
              </w:rPr>
              <w:t>GND</w:t>
            </w:r>
          </w:p>
        </w:tc>
        <w:tc>
          <w:tcPr>
            <w:tcW w:w="2948" w:type="dxa"/>
          </w:tcPr>
          <w:p w14:paraId="5D4F7599">
            <w:pPr>
              <w:spacing w:after="0" w:line="240" w:lineRule="auto"/>
            </w:pPr>
            <w:r>
              <w:rPr>
                <w:rFonts w:ascii="Times New Roman" w:hAnsi="Times New Roman" w:eastAsia="思源黑体"/>
                <w:sz w:val="20"/>
              </w:rPr>
              <w:t>务必共地</w:t>
            </w:r>
          </w:p>
        </w:tc>
      </w:tr>
      <w:tr w14:paraId="5A97A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EAF0F7"/>
          </w:tcPr>
          <w:p w14:paraId="2806E046">
            <w:pPr>
              <w:spacing w:after="0" w:line="240" w:lineRule="auto"/>
            </w:pPr>
            <w:r>
              <w:rPr>
                <w:rFonts w:ascii="Times New Roman" w:hAnsi="Times New Roman" w:eastAsia="思源黑体"/>
                <w:sz w:val="20"/>
              </w:rPr>
              <w:t>（供电）</w:t>
            </w:r>
          </w:p>
        </w:tc>
        <w:tc>
          <w:tcPr>
            <w:tcW w:w="2948" w:type="dxa"/>
            <w:shd w:val="clear" w:color="auto" w:fill="EAF0F7"/>
          </w:tcPr>
          <w:p w14:paraId="3A79F00D">
            <w:pPr>
              <w:spacing w:after="0" w:line="240" w:lineRule="auto"/>
            </w:pPr>
            <w:r>
              <w:rPr>
                <w:rFonts w:ascii="Times New Roman" w:hAnsi="Times New Roman" w:eastAsia="思源黑体"/>
                <w:sz w:val="20"/>
              </w:rPr>
              <w:t>开发板 USB 供电</w:t>
            </w:r>
          </w:p>
        </w:tc>
        <w:tc>
          <w:tcPr>
            <w:tcW w:w="2948" w:type="dxa"/>
            <w:shd w:val="clear" w:color="auto" w:fill="EAF0F7"/>
          </w:tcPr>
          <w:p w14:paraId="2E12D3BB">
            <w:pPr>
              <w:spacing w:after="0" w:line="240" w:lineRule="auto"/>
            </w:pPr>
            <w:r>
              <w:rPr>
                <w:rFonts w:ascii="Times New Roman" w:hAnsi="Times New Roman" w:eastAsia="思源黑体"/>
                <w:sz w:val="20"/>
              </w:rPr>
              <w:t>CH340 仅通信不供电</w:t>
            </w:r>
          </w:p>
        </w:tc>
      </w:tr>
      <w:tr w14:paraId="20773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</w:tcPr>
          <w:p w14:paraId="274A0ED4">
            <w:pPr>
              <w:spacing w:after="0" w:line="240" w:lineRule="auto"/>
            </w:pPr>
            <w:r>
              <w:rPr>
                <w:rFonts w:ascii="Times New Roman" w:hAnsi="Times New Roman" w:eastAsia="思源黑体"/>
                <w:sz w:val="20"/>
              </w:rPr>
              <w:t>KEY1 按键</w:t>
            </w:r>
          </w:p>
        </w:tc>
        <w:tc>
          <w:tcPr>
            <w:tcW w:w="2948" w:type="dxa"/>
          </w:tcPr>
          <w:p w14:paraId="604602FD">
            <w:pPr>
              <w:spacing w:after="0" w:line="240" w:lineRule="auto"/>
            </w:pPr>
            <w:r>
              <w:rPr>
                <w:rFonts w:ascii="Times New Roman" w:hAnsi="Times New Roman" w:eastAsia="思源黑体"/>
                <w:sz w:val="20"/>
              </w:rPr>
              <w:t>PC13（示例）</w:t>
            </w:r>
          </w:p>
        </w:tc>
        <w:tc>
          <w:tcPr>
            <w:tcW w:w="2948" w:type="dxa"/>
          </w:tcPr>
          <w:p w14:paraId="2229938B">
            <w:pPr>
              <w:spacing w:after="0" w:line="240" w:lineRule="auto"/>
            </w:pPr>
            <w:r>
              <w:rPr>
                <w:rFonts w:ascii="Times New Roman" w:hAnsi="Times New Roman" w:eastAsia="思源黑体"/>
                <w:sz w:val="20"/>
              </w:rPr>
              <w:t>外部中断检测按下</w:t>
            </w:r>
          </w:p>
        </w:tc>
      </w:tr>
      <w:tr w14:paraId="02045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EAF0F7"/>
          </w:tcPr>
          <w:p w14:paraId="167FB742">
            <w:pPr>
              <w:spacing w:after="0" w:line="240" w:lineRule="auto"/>
            </w:pPr>
            <w:r>
              <w:rPr>
                <w:rFonts w:ascii="Times New Roman" w:hAnsi="Times New Roman" w:eastAsia="思源黑体"/>
                <w:sz w:val="20"/>
              </w:rPr>
              <w:t>OLED（I2C）</w:t>
            </w:r>
          </w:p>
        </w:tc>
        <w:tc>
          <w:tcPr>
            <w:tcW w:w="2948" w:type="dxa"/>
            <w:shd w:val="clear" w:color="auto" w:fill="EAF0F7"/>
          </w:tcPr>
          <w:p w14:paraId="1C6BC24D">
            <w:pPr>
              <w:spacing w:after="0" w:line="240" w:lineRule="auto"/>
            </w:pPr>
            <w:r>
              <w:rPr>
                <w:rFonts w:ascii="Times New Roman" w:hAnsi="Times New Roman" w:eastAsia="思源黑体"/>
                <w:sz w:val="20"/>
              </w:rPr>
              <w:t>PB6/PB7（示例）</w:t>
            </w:r>
          </w:p>
        </w:tc>
        <w:tc>
          <w:tcPr>
            <w:tcW w:w="2948" w:type="dxa"/>
            <w:shd w:val="clear" w:color="auto" w:fill="EAF0F7"/>
          </w:tcPr>
          <w:p w14:paraId="4F101F43">
            <w:pPr>
              <w:spacing w:after="0" w:line="240" w:lineRule="auto"/>
            </w:pPr>
            <w:r>
              <w:rPr>
                <w:rFonts w:ascii="Times New Roman" w:hAnsi="Times New Roman" w:eastAsia="思源黑体"/>
                <w:sz w:val="20"/>
              </w:rPr>
              <w:t>显示系统状态</w:t>
            </w:r>
          </w:p>
        </w:tc>
      </w:tr>
    </w:tbl>
    <w:p w14:paraId="130BFBAA"/>
    <w:p w14:paraId="0CAD005F">
      <w:pPr>
        <w:spacing w:after="80" w:line="336" w:lineRule="auto"/>
        <w:ind w:firstLine="420"/>
      </w:pPr>
      <w:r>
        <w:rPr>
          <w:rFonts w:ascii="Times New Roman" w:hAnsi="Times New Roman" w:eastAsia="思源黑体"/>
          <w:b w:val="0"/>
          <w:sz w:val="22"/>
        </w:rPr>
        <w:t>说明：按键与 OLED 的具体引脚以所用开发板原理图为准；UART 引脚（PA9/PA10）为 STM32F103 的 USART1 固定映射，接线时务必交叉连接并共地。</w:t>
      </w:r>
    </w:p>
    <w:p w14:paraId="4D7965F4">
      <w:pPr>
        <w:spacing w:before="240" w:after="120"/>
      </w:pPr>
      <w:r>
        <w:rPr>
          <w:rFonts w:ascii="Times New Roman" w:hAnsi="Times New Roman" w:eastAsia="思源黑体"/>
          <w:b/>
          <w:color w:val="1F497D"/>
          <w:sz w:val="32"/>
        </w:rPr>
        <w:t>四、功能验证（验收结论）</w:t>
      </w:r>
    </w:p>
    <w:p w14:paraId="46B03526">
      <w:pPr>
        <w:spacing w:after="80" w:line="336" w:lineRule="auto"/>
        <w:ind w:firstLine="420"/>
      </w:pPr>
      <w:r>
        <w:rPr>
          <w:rFonts w:ascii="Times New Roman" w:hAnsi="Times New Roman" w:eastAsia="思源黑体"/>
          <w:b w:val="0"/>
          <w:sz w:val="22"/>
        </w:rPr>
        <w:t>以下验收项均已在硬件上实测通过（验证结论见“结果”列）：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5102"/>
        <w:gridCol w:w="1814"/>
      </w:tblGrid>
      <w:tr w14:paraId="0B2D9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1F497D"/>
          </w:tcPr>
          <w:p w14:paraId="20A1718F">
            <w:pPr>
              <w:spacing w:after="0" w:line="240" w:lineRule="auto"/>
            </w:pPr>
            <w:r>
              <w:rPr>
                <w:rFonts w:ascii="Times New Roman" w:hAnsi="Times New Roman" w:eastAsia="思源黑体"/>
                <w:b/>
                <w:color w:val="FFFFFF"/>
                <w:sz w:val="21"/>
              </w:rPr>
              <w:t>编号</w:t>
            </w:r>
          </w:p>
        </w:tc>
        <w:tc>
          <w:tcPr>
            <w:tcW w:w="5102" w:type="dxa"/>
            <w:shd w:val="clear" w:color="auto" w:fill="1F497D"/>
          </w:tcPr>
          <w:p w14:paraId="5988E5A1">
            <w:pPr>
              <w:spacing w:after="0" w:line="240" w:lineRule="auto"/>
            </w:pPr>
            <w:r>
              <w:rPr>
                <w:rFonts w:ascii="Times New Roman" w:hAnsi="Times New Roman" w:eastAsia="思源黑体"/>
                <w:b/>
                <w:color w:val="FFFFFF"/>
                <w:sz w:val="21"/>
              </w:rPr>
              <w:t>验收项</w:t>
            </w:r>
          </w:p>
        </w:tc>
        <w:tc>
          <w:tcPr>
            <w:tcW w:w="1814" w:type="dxa"/>
            <w:shd w:val="clear" w:color="auto" w:fill="1F497D"/>
          </w:tcPr>
          <w:p w14:paraId="3E05D889">
            <w:pPr>
              <w:spacing w:after="0" w:line="240" w:lineRule="auto"/>
            </w:pPr>
            <w:r>
              <w:rPr>
                <w:rFonts w:ascii="Times New Roman" w:hAnsi="Times New Roman" w:eastAsia="思源黑体"/>
                <w:b/>
                <w:color w:val="FFFFFF"/>
                <w:sz w:val="21"/>
              </w:rPr>
              <w:t>结果</w:t>
            </w:r>
          </w:p>
        </w:tc>
      </w:tr>
      <w:tr w14:paraId="59C9F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71BFD594">
            <w:pPr>
              <w:spacing w:after="0" w:line="240" w:lineRule="auto"/>
            </w:pPr>
            <w:r>
              <w:rPr>
                <w:rFonts w:ascii="Times New Roman" w:hAnsi="Times New Roman" w:eastAsia="思源黑体"/>
                <w:sz w:val="20"/>
              </w:rPr>
              <w:t>1</w:t>
            </w:r>
          </w:p>
        </w:tc>
        <w:tc>
          <w:tcPr>
            <w:tcW w:w="5102" w:type="dxa"/>
          </w:tcPr>
          <w:p w14:paraId="52BAA2C1">
            <w:pPr>
              <w:spacing w:after="0" w:line="240" w:lineRule="auto"/>
            </w:pPr>
            <w:r>
              <w:rPr>
                <w:rFonts w:ascii="Times New Roman" w:hAnsi="Times New Roman" w:eastAsia="思源黑体"/>
                <w:sz w:val="20"/>
              </w:rPr>
              <w:t>上电正常模式：OLED 显示 System OK，周期任务正常运行</w:t>
            </w:r>
          </w:p>
        </w:tc>
        <w:tc>
          <w:tcPr>
            <w:tcW w:w="1814" w:type="dxa"/>
          </w:tcPr>
          <w:p w14:paraId="434C3FB0">
            <w:pPr>
              <w:spacing w:after="0" w:line="240" w:lineRule="auto"/>
            </w:pPr>
            <w:r>
              <w:rPr>
                <w:rFonts w:ascii="Times New Roman" w:hAnsi="Times New Roman" w:eastAsia="思源黑体"/>
                <w:sz w:val="20"/>
              </w:rPr>
              <w:t>通过</w:t>
            </w:r>
          </w:p>
        </w:tc>
      </w:tr>
      <w:tr w14:paraId="587E1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EAF0F7"/>
          </w:tcPr>
          <w:p w14:paraId="7E0229B3">
            <w:pPr>
              <w:spacing w:after="0" w:line="240" w:lineRule="auto"/>
            </w:pPr>
            <w:r>
              <w:rPr>
                <w:rFonts w:ascii="Times New Roman" w:hAnsi="Times New Roman" w:eastAsia="思源黑体"/>
                <w:sz w:val="20"/>
              </w:rPr>
              <w:t>2</w:t>
            </w:r>
          </w:p>
        </w:tc>
        <w:tc>
          <w:tcPr>
            <w:tcW w:w="5102" w:type="dxa"/>
            <w:shd w:val="clear" w:color="auto" w:fill="EAF0F7"/>
          </w:tcPr>
          <w:p w14:paraId="1F9D54B6">
            <w:pPr>
              <w:spacing w:after="0" w:line="240" w:lineRule="auto"/>
            </w:pPr>
            <w:r>
              <w:rPr>
                <w:rFonts w:ascii="Times New Roman" w:hAnsi="Times New Roman" w:eastAsia="思源黑体"/>
                <w:sz w:val="20"/>
              </w:rPr>
              <w:t>单独发送 backroot（不按按键），不触发后门</w:t>
            </w:r>
          </w:p>
        </w:tc>
        <w:tc>
          <w:tcPr>
            <w:tcW w:w="1814" w:type="dxa"/>
            <w:shd w:val="clear" w:color="auto" w:fill="EAF0F7"/>
          </w:tcPr>
          <w:p w14:paraId="48AF12C2">
            <w:pPr>
              <w:spacing w:after="0" w:line="240" w:lineRule="auto"/>
            </w:pPr>
            <w:r>
              <w:rPr>
                <w:rFonts w:ascii="Times New Roman" w:hAnsi="Times New Roman" w:eastAsia="思源黑体"/>
                <w:sz w:val="20"/>
              </w:rPr>
              <w:t>通过</w:t>
            </w:r>
          </w:p>
        </w:tc>
      </w:tr>
      <w:tr w14:paraId="7949B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4CA52E1E">
            <w:pPr>
              <w:spacing w:after="0" w:line="240" w:lineRule="auto"/>
            </w:pPr>
            <w:r>
              <w:rPr>
                <w:rFonts w:ascii="Times New Roman" w:hAnsi="Times New Roman" w:eastAsia="思源黑体"/>
                <w:sz w:val="20"/>
              </w:rPr>
              <w:t>3</w:t>
            </w:r>
          </w:p>
        </w:tc>
        <w:tc>
          <w:tcPr>
            <w:tcW w:w="5102" w:type="dxa"/>
          </w:tcPr>
          <w:p w14:paraId="0DC9BAF8">
            <w:pPr>
              <w:spacing w:after="0" w:line="240" w:lineRule="auto"/>
            </w:pPr>
            <w:r>
              <w:rPr>
                <w:rFonts w:ascii="Times New Roman" w:hAnsi="Times New Roman" w:eastAsia="思源黑体"/>
                <w:sz w:val="20"/>
              </w:rPr>
              <w:t>按住 KEY1 同时发送 backroot，进入后门，OLED 显示 System On</w:t>
            </w:r>
          </w:p>
        </w:tc>
        <w:tc>
          <w:tcPr>
            <w:tcW w:w="1814" w:type="dxa"/>
          </w:tcPr>
          <w:p w14:paraId="35544004">
            <w:pPr>
              <w:spacing w:after="0" w:line="240" w:lineRule="auto"/>
            </w:pPr>
            <w:r>
              <w:rPr>
                <w:rFonts w:ascii="Times New Roman" w:hAnsi="Times New Roman" w:eastAsia="思源黑体"/>
                <w:sz w:val="20"/>
              </w:rPr>
              <w:t>通过</w:t>
            </w:r>
          </w:p>
        </w:tc>
      </w:tr>
      <w:tr w14:paraId="1E40B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EAF0F7"/>
          </w:tcPr>
          <w:p w14:paraId="086D817E">
            <w:pPr>
              <w:spacing w:after="0" w:line="240" w:lineRule="auto"/>
            </w:pPr>
            <w:r>
              <w:rPr>
                <w:rFonts w:ascii="Times New Roman" w:hAnsi="Times New Roman" w:eastAsia="思源黑体"/>
                <w:sz w:val="20"/>
              </w:rPr>
              <w:t>4</w:t>
            </w:r>
          </w:p>
        </w:tc>
        <w:tc>
          <w:tcPr>
            <w:tcW w:w="5102" w:type="dxa"/>
            <w:shd w:val="clear" w:color="auto" w:fill="EAF0F7"/>
          </w:tcPr>
          <w:p w14:paraId="7F0822F0">
            <w:pPr>
              <w:spacing w:after="0" w:line="240" w:lineRule="auto"/>
            </w:pPr>
            <w:r>
              <w:rPr>
                <w:rFonts w:ascii="Times New Roman" w:hAnsi="Times New Roman" w:eastAsia="思源黑体"/>
                <w:sz w:val="20"/>
              </w:rPr>
              <w:t>后门模式下发送 help，串口返回命令列表</w:t>
            </w:r>
          </w:p>
        </w:tc>
        <w:tc>
          <w:tcPr>
            <w:tcW w:w="1814" w:type="dxa"/>
            <w:shd w:val="clear" w:color="auto" w:fill="EAF0F7"/>
          </w:tcPr>
          <w:p w14:paraId="063474A8">
            <w:pPr>
              <w:spacing w:after="0" w:line="240" w:lineRule="auto"/>
            </w:pPr>
            <w:r>
              <w:rPr>
                <w:rFonts w:ascii="Times New Roman" w:hAnsi="Times New Roman" w:eastAsia="思源黑体"/>
                <w:sz w:val="20"/>
              </w:rPr>
              <w:t>通过</w:t>
            </w:r>
          </w:p>
        </w:tc>
      </w:tr>
      <w:tr w14:paraId="654B9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6E8F9EA1">
            <w:pPr>
              <w:spacing w:after="0" w:line="240" w:lineRule="auto"/>
            </w:pPr>
            <w:r>
              <w:rPr>
                <w:rFonts w:ascii="Times New Roman" w:hAnsi="Times New Roman" w:eastAsia="思源黑体"/>
                <w:sz w:val="20"/>
              </w:rPr>
              <w:t>5</w:t>
            </w:r>
          </w:p>
        </w:tc>
        <w:tc>
          <w:tcPr>
            <w:tcW w:w="5102" w:type="dxa"/>
          </w:tcPr>
          <w:p w14:paraId="272491B2">
            <w:pPr>
              <w:spacing w:after="0" w:line="240" w:lineRule="auto"/>
            </w:pPr>
            <w:r>
              <w:rPr>
                <w:rFonts w:ascii="Times New Roman" w:hAnsi="Times New Roman" w:eastAsia="思源黑体"/>
                <w:sz w:val="20"/>
              </w:rPr>
              <w:t>后门模式下发送 led on，对应 LED 点亮</w:t>
            </w:r>
          </w:p>
        </w:tc>
        <w:tc>
          <w:tcPr>
            <w:tcW w:w="1814" w:type="dxa"/>
          </w:tcPr>
          <w:p w14:paraId="7378664B">
            <w:pPr>
              <w:spacing w:after="0" w:line="240" w:lineRule="auto"/>
            </w:pPr>
            <w:r>
              <w:rPr>
                <w:rFonts w:ascii="Times New Roman" w:hAnsi="Times New Roman" w:eastAsia="思源黑体"/>
                <w:sz w:val="20"/>
              </w:rPr>
              <w:t>通过</w:t>
            </w:r>
          </w:p>
        </w:tc>
      </w:tr>
      <w:tr w14:paraId="7BB8E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EAF0F7"/>
          </w:tcPr>
          <w:p w14:paraId="3CED227A">
            <w:pPr>
              <w:spacing w:after="0" w:line="240" w:lineRule="auto"/>
            </w:pPr>
            <w:r>
              <w:rPr>
                <w:rFonts w:ascii="Times New Roman" w:hAnsi="Times New Roman" w:eastAsia="思源黑体"/>
                <w:sz w:val="20"/>
              </w:rPr>
              <w:t>6</w:t>
            </w:r>
          </w:p>
        </w:tc>
        <w:tc>
          <w:tcPr>
            <w:tcW w:w="5102" w:type="dxa"/>
            <w:shd w:val="clear" w:color="auto" w:fill="EAF0F7"/>
          </w:tcPr>
          <w:p w14:paraId="26CE4E9C">
            <w:pPr>
              <w:spacing w:after="0" w:line="240" w:lineRule="auto"/>
            </w:pPr>
            <w:r>
              <w:rPr>
                <w:rFonts w:ascii="Times New Roman" w:hAnsi="Times New Roman" w:eastAsia="思源黑体"/>
                <w:sz w:val="20"/>
              </w:rPr>
              <w:t>后门模式下发送 unlock，退出后门，OLED 恢复 System OK，bk_status 清零</w:t>
            </w:r>
          </w:p>
        </w:tc>
        <w:tc>
          <w:tcPr>
            <w:tcW w:w="1814" w:type="dxa"/>
            <w:shd w:val="clear" w:color="auto" w:fill="EAF0F7"/>
          </w:tcPr>
          <w:p w14:paraId="25BF0B38">
            <w:pPr>
              <w:spacing w:after="0" w:line="240" w:lineRule="auto"/>
            </w:pPr>
            <w:r>
              <w:rPr>
                <w:rFonts w:ascii="Times New Roman" w:hAnsi="Times New Roman" w:eastAsia="思源黑体"/>
                <w:sz w:val="20"/>
              </w:rPr>
              <w:t>通过</w:t>
            </w:r>
          </w:p>
        </w:tc>
      </w:tr>
      <w:tr w14:paraId="31455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0B1E6578">
            <w:pPr>
              <w:spacing w:after="0" w:line="240" w:lineRule="auto"/>
            </w:pPr>
            <w:r>
              <w:rPr>
                <w:rFonts w:ascii="Times New Roman" w:hAnsi="Times New Roman" w:eastAsia="思源黑体"/>
                <w:sz w:val="20"/>
              </w:rPr>
              <w:t>7</w:t>
            </w:r>
          </w:p>
        </w:tc>
        <w:tc>
          <w:tcPr>
            <w:tcW w:w="5102" w:type="dxa"/>
          </w:tcPr>
          <w:p w14:paraId="75845B4E">
            <w:pPr>
              <w:spacing w:after="0" w:line="240" w:lineRule="auto"/>
            </w:pPr>
            <w:r>
              <w:rPr>
                <w:rFonts w:ascii="Times New Roman" w:hAnsi="Times New Roman" w:eastAsia="思源黑体"/>
                <w:sz w:val="20"/>
              </w:rPr>
              <w:t>连续输错密码 3 次，OLED 显示 System Lock，进入锁定</w:t>
            </w:r>
          </w:p>
        </w:tc>
        <w:tc>
          <w:tcPr>
            <w:tcW w:w="1814" w:type="dxa"/>
          </w:tcPr>
          <w:p w14:paraId="09D77AA5">
            <w:pPr>
              <w:spacing w:after="0" w:line="240" w:lineRule="auto"/>
            </w:pPr>
            <w:r>
              <w:rPr>
                <w:rFonts w:ascii="Times New Roman" w:hAnsi="Times New Roman" w:eastAsia="思源黑体"/>
                <w:sz w:val="20"/>
              </w:rPr>
              <w:t>通过</w:t>
            </w:r>
          </w:p>
        </w:tc>
      </w:tr>
      <w:tr w14:paraId="60C6F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EAF0F7"/>
          </w:tcPr>
          <w:p w14:paraId="486DB702">
            <w:pPr>
              <w:spacing w:after="0" w:line="240" w:lineRule="auto"/>
            </w:pPr>
            <w:r>
              <w:rPr>
                <w:rFonts w:ascii="Times New Roman" w:hAnsi="Times New Roman" w:eastAsia="思源黑体"/>
                <w:sz w:val="20"/>
              </w:rPr>
              <w:t>8</w:t>
            </w:r>
          </w:p>
        </w:tc>
        <w:tc>
          <w:tcPr>
            <w:tcW w:w="5102" w:type="dxa"/>
            <w:shd w:val="clear" w:color="auto" w:fill="EAF0F7"/>
          </w:tcPr>
          <w:p w14:paraId="7EA37D30">
            <w:pPr>
              <w:spacing w:after="0" w:line="240" w:lineRule="auto"/>
            </w:pPr>
            <w:r>
              <w:rPr>
                <w:rFonts w:ascii="Times New Roman" w:hAnsi="Times New Roman" w:eastAsia="思源黑体"/>
                <w:sz w:val="20"/>
              </w:rPr>
              <w:t>锁定 10 秒后自动解锁，恢复 System OK</w:t>
            </w:r>
          </w:p>
        </w:tc>
        <w:tc>
          <w:tcPr>
            <w:tcW w:w="1814" w:type="dxa"/>
            <w:shd w:val="clear" w:color="auto" w:fill="EAF0F7"/>
          </w:tcPr>
          <w:p w14:paraId="21C0FECE">
            <w:pPr>
              <w:spacing w:after="0" w:line="240" w:lineRule="auto"/>
            </w:pPr>
            <w:r>
              <w:rPr>
                <w:rFonts w:ascii="Times New Roman" w:hAnsi="Times New Roman" w:eastAsia="思源黑体"/>
                <w:sz w:val="20"/>
              </w:rPr>
              <w:t>通过</w:t>
            </w:r>
          </w:p>
        </w:tc>
      </w:tr>
      <w:tr w14:paraId="0696D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76B9B2BB">
            <w:pPr>
              <w:spacing w:after="0" w:line="240" w:lineRule="auto"/>
            </w:pPr>
            <w:r>
              <w:rPr>
                <w:rFonts w:ascii="Times New Roman" w:hAnsi="Times New Roman" w:eastAsia="思源黑体"/>
                <w:sz w:val="20"/>
              </w:rPr>
              <w:t>9</w:t>
            </w:r>
          </w:p>
        </w:tc>
        <w:tc>
          <w:tcPr>
            <w:tcW w:w="5102" w:type="dxa"/>
          </w:tcPr>
          <w:p w14:paraId="0811D8DD">
            <w:pPr>
              <w:spacing w:after="0" w:line="240" w:lineRule="auto"/>
            </w:pPr>
            <w:r>
              <w:rPr>
                <w:rFonts w:ascii="Times New Roman" w:hAnsi="Times New Roman" w:eastAsia="思源黑体"/>
                <w:sz w:val="20"/>
              </w:rPr>
              <w:t>后门处理不阻塞主循环，周期任务持续运行</w:t>
            </w:r>
          </w:p>
        </w:tc>
        <w:tc>
          <w:tcPr>
            <w:tcW w:w="1814" w:type="dxa"/>
          </w:tcPr>
          <w:p w14:paraId="2459C4E2">
            <w:pPr>
              <w:spacing w:after="0" w:line="240" w:lineRule="auto"/>
            </w:pPr>
            <w:r>
              <w:rPr>
                <w:rFonts w:ascii="Times New Roman" w:hAnsi="Times New Roman" w:eastAsia="思源黑体"/>
                <w:sz w:val="20"/>
              </w:rPr>
              <w:t>通过</w:t>
            </w:r>
          </w:p>
        </w:tc>
      </w:tr>
    </w:tbl>
    <w:p w14:paraId="28D67DE6"/>
    <w:p w14:paraId="3088BC94">
      <w:pPr>
        <w:spacing w:before="240" w:after="120"/>
      </w:pPr>
      <w:r>
        <w:rPr>
          <w:rFonts w:ascii="Times New Roman" w:hAnsi="Times New Roman" w:eastAsia="思源黑体"/>
          <w:b/>
          <w:color w:val="1F497D"/>
          <w:sz w:val="32"/>
        </w:rPr>
        <w:t>五、安全分析</w:t>
      </w:r>
    </w:p>
    <w:p w14:paraId="6A149FD0">
      <w:pPr>
        <w:spacing w:after="80" w:line="336" w:lineRule="auto"/>
        <w:ind w:firstLine="420"/>
      </w:pPr>
      <w:r>
        <w:rPr>
          <w:rFonts w:ascii="Times New Roman" w:hAnsi="Times New Roman" w:eastAsia="思源黑体"/>
          <w:b w:val="0"/>
          <w:sz w:val="22"/>
        </w:rPr>
        <w:t>从攻击链视角看，本实验覆盖了“触发 → 命令执行 → 撤离”三个环节：</w:t>
      </w:r>
    </w:p>
    <w:p w14:paraId="04849A9C">
      <w:pPr>
        <w:pStyle w:val="16"/>
        <w:spacing w:after="40" w:line="324" w:lineRule="auto"/>
      </w:pPr>
      <w:r>
        <w:rPr>
          <w:rFonts w:ascii="Times New Roman" w:hAnsi="Times New Roman" w:eastAsia="思源黑体"/>
          <w:sz w:val="22"/>
        </w:rPr>
        <w:t>触发（Trigger）：密码 + 按键的双重验证模拟了多因子认证，比单因子密码更难被意外或盲目触发；</w:t>
      </w:r>
    </w:p>
    <w:p w14:paraId="40A23E83">
      <w:pPr>
        <w:pStyle w:val="16"/>
        <w:spacing w:after="40" w:line="324" w:lineRule="auto"/>
      </w:pPr>
      <w:r>
        <w:rPr>
          <w:rFonts w:ascii="Times New Roman" w:hAnsi="Times New Roman" w:eastAsia="思源黑体"/>
          <w:sz w:val="22"/>
        </w:rPr>
        <w:t>命令执行（Execute）：当前实现 help / led on / unlock 三个基础命令，验证了命令解析框架；该框架可平滑扩展为 dump（固件读取）、gpio（引脚劫持）、flash（Flash 改写）等更高权限操作；</w:t>
      </w:r>
    </w:p>
    <w:p w14:paraId="79E7C866">
      <w:pPr>
        <w:pStyle w:val="16"/>
        <w:spacing w:after="40" w:line="324" w:lineRule="auto"/>
      </w:pPr>
      <w:r>
        <w:rPr>
          <w:rFonts w:ascii="Times New Roman" w:hAnsi="Times New Roman" w:eastAsia="思源黑体"/>
          <w:sz w:val="22"/>
        </w:rPr>
        <w:t>撤离（Exit）：unlock 命令清零后门状态、恢复 OLED 显示并熄灭指示灯，实现“无痕”退出。</w:t>
      </w:r>
    </w:p>
    <w:p w14:paraId="188648E1">
      <w:pPr>
        <w:spacing w:after="80" w:line="336" w:lineRule="auto"/>
      </w:pPr>
      <w:r>
        <w:rPr>
          <w:rFonts w:ascii="Times New Roman" w:hAnsi="Times New Roman" w:eastAsia="思源黑体"/>
          <w:b/>
          <w:sz w:val="22"/>
        </w:rPr>
        <w:t>局限性与后续工作：</w:t>
      </w:r>
    </w:p>
    <w:p w14:paraId="630F82B9">
      <w:pPr>
        <w:pStyle w:val="16"/>
        <w:spacing w:after="40" w:line="324" w:lineRule="auto"/>
      </w:pPr>
      <w:r>
        <w:rPr>
          <w:rFonts w:ascii="Times New Roman" w:hAnsi="Times New Roman" w:eastAsia="思源黑体"/>
          <w:sz w:val="22"/>
        </w:rPr>
        <w:t>密码以明文硬编码于固件中，后续可结合 Ghidra/IDA 固件逆向练习提取与分析；</w:t>
      </w:r>
    </w:p>
    <w:p w14:paraId="6CDA40F4">
      <w:pPr>
        <w:pStyle w:val="16"/>
        <w:spacing w:after="40" w:line="324" w:lineRule="auto"/>
      </w:pPr>
      <w:r>
        <w:rPr>
          <w:rFonts w:ascii="Times New Roman" w:hAnsi="Times New Roman" w:eastAsia="思源黑体"/>
          <w:sz w:val="22"/>
        </w:rPr>
        <w:t>当前未实现 dump / gpio / flash 等扩展命令，可作为后续“盖隔间”式功能增量；</w:t>
      </w:r>
    </w:p>
    <w:p w14:paraId="2E60EA79">
      <w:pPr>
        <w:pStyle w:val="16"/>
        <w:spacing w:after="40" w:line="324" w:lineRule="auto"/>
      </w:pPr>
      <w:r>
        <w:rPr>
          <w:rFonts w:ascii="Times New Roman" w:hAnsi="Times New Roman" w:eastAsia="思源黑体"/>
          <w:sz w:val="22"/>
        </w:rPr>
        <w:t>可进一步引入看门狗喂狗维持、命令超时退出、串口输入回显抑制等隐蔽性优化；</w:t>
      </w:r>
    </w:p>
    <w:p w14:paraId="77DC7B2D">
      <w:pPr>
        <w:pStyle w:val="16"/>
        <w:spacing w:after="40" w:line="324" w:lineRule="auto"/>
      </w:pPr>
      <w:r>
        <w:rPr>
          <w:rFonts w:ascii="Times New Roman" w:hAnsi="Times New Roman" w:eastAsia="思源黑体"/>
          <w:sz w:val="22"/>
        </w:rPr>
        <w:t>后续可转向 BLE/WiFi 等无线接口的固件安全研究，拓展 IoT 安全覆盖面。</w:t>
      </w:r>
    </w:p>
    <w:p w14:paraId="7650CFE1">
      <w:pPr>
        <w:spacing w:before="240" w:after="120"/>
      </w:pPr>
      <w:r>
        <w:rPr>
          <w:rFonts w:ascii="Times New Roman" w:hAnsi="Times New Roman" w:eastAsia="思源黑体"/>
          <w:b/>
          <w:color w:val="1F497D"/>
          <w:sz w:val="32"/>
        </w:rPr>
        <w:t>六、遇到的问题与解决</w:t>
      </w:r>
    </w:p>
    <w:p w14:paraId="6379A685">
      <w:pPr>
        <w:spacing w:after="80" w:line="336" w:lineRule="auto"/>
        <w:ind w:firstLine="420"/>
      </w:pPr>
      <w:r>
        <w:rPr>
          <w:rFonts w:ascii="Times New Roman" w:hAnsi="Times New Roman" w:eastAsia="思源黑体"/>
          <w:b w:val="0"/>
          <w:sz w:val="22"/>
        </w:rPr>
        <w:t>开发过程中依次遇到并解决了三个典型问题：串口资源被后门处理独占（串口争夺）、等待接收缓冲区收满引入不必要延时，以及进入后门功能模式后死循环卡住主循环。这三处问题的解决直接推动了整体架构从“功能可用”向“状态机架构”演进。</w:t>
      </w:r>
    </w:p>
    <w:p w14:paraId="295126AC">
      <w:pPr>
        <w:pStyle w:val="16"/>
        <w:spacing w:after="40" w:line="324" w:lineRule="auto"/>
      </w:pPr>
      <w:r>
        <w:rPr>
          <w:rFonts w:ascii="Times New Roman" w:hAnsi="Times New Roman" w:eastAsia="思源黑体"/>
          <w:sz w:val="22"/>
        </w:rPr>
        <w:t>困难一—串口争夺（UART 资源竞争）：初版中后门处理与主循环共用同一路 USART1，后门激活期间串口打印（OLED/调试信息）与命令接收互相抢占，出现输出混乱、命令被截断或丢失的情况。解决方式是统一串口的“生产者—消费者”边界：UART 空闲中断只负责把数据填入 RxBuf，所有 printf/OLED 输出走独立通道或缓冲，后门命令由主循环统一调度消费 RxBuf，避免后门处理与主循环同时长时间占用串口资源。</w:t>
      </w:r>
    </w:p>
    <w:p w14:paraId="41D57D47">
      <w:pPr>
        <w:pStyle w:val="16"/>
        <w:spacing w:after="40" w:line="324" w:lineRule="auto"/>
      </w:pPr>
      <w:r>
        <w:rPr>
          <w:rFonts w:ascii="Times New Roman" w:hAnsi="Times New Roman" w:eastAsia="思源黑体"/>
          <w:sz w:val="22"/>
        </w:rPr>
        <w:t>困难二—缓冲区未接收完全而引入延时：最初为“等一帧收完”在接收侧加入 HAL_Delay 等待缓冲区填满或字符串结束符到位，既拖慢了命令响应，又让主循环的周期任务（LED 闪烁、喂狗）被人为延时阻塞。解决方式是改用 HAL_UARTEx_ReceiveToIdle_IT 空闲中断接收：总线空闲即触发回调，数据到达即被消费，彻底去掉为等待缓冲区而引入的阻塞延时，命令响应与主循环周期均恢复正常。</w:t>
      </w:r>
    </w:p>
    <w:p w14:paraId="5AACB663">
      <w:pPr>
        <w:pStyle w:val="16"/>
        <w:spacing w:after="40" w:line="324" w:lineRule="auto"/>
      </w:pPr>
      <w:r>
        <w:rPr>
          <w:rFonts w:ascii="Times New Roman" w:hAnsi="Times New Roman" w:eastAsia="思源黑体"/>
          <w:sz w:val="22"/>
        </w:rPr>
        <w:t>困难三—进入功能模式后卡住主循环，由此引入状态机：初版后门激活后用 while(1) 死循环持续等待并解析串口命令，导致 CPU 被独占，正常模式下的 LED 闪烁、OLED 刷新、喂狗等周期任务全部停滞，系统如同“死机”。解决方式是引入 bk_status 状态变量，将后门处理改为“状态机 + 主循环调度”：后门命令每次仅处理一条即返回，主循环可继续执行其余任务。这正是本实验“不阻塞其他循环”设计目标的最终落点。</w:t>
      </w:r>
    </w:p>
    <w:p w14:paraId="655A27A5">
      <w:pPr>
        <w:spacing w:after="80" w:line="336" w:lineRule="auto"/>
      </w:pPr>
      <w:r>
        <w:rPr>
          <w:rFonts w:ascii="Times New Roman" w:hAnsi="Times New Roman" w:eastAsia="思源黑体"/>
          <w:b/>
          <w:sz w:val="22"/>
        </w:rPr>
        <w:t>小结：</w:t>
      </w:r>
      <w:r>
        <w:rPr>
          <w:rFonts w:ascii="Times New Roman" w:hAnsi="Times New Roman" w:eastAsia="思源黑体"/>
          <w:b w:val="0"/>
          <w:sz w:val="22"/>
        </w:rPr>
        <w:t>串口争夺的解决明确了“中断只填缓冲、主循环消费”的协作边界；空闲中断接收消除了为等缓冲区而引入的阻塞延时；状态机架构则最终保证了主循环不被后门处理独占。三者共同促成了当前“触发—命令执行”框架的稳定与可扩展，也为后续追加 dump / gpio / flash 等命令打下了可靠基础。</w:t>
      </w:r>
    </w:p>
    <w:p w14:paraId="4762B487">
      <w:pPr>
        <w:spacing w:before="240" w:after="120"/>
      </w:pPr>
      <w:r>
        <w:rPr>
          <w:rFonts w:ascii="Times New Roman" w:hAnsi="Times New Roman" w:eastAsia="思源黑体"/>
          <w:b/>
          <w:color w:val="1F497D"/>
          <w:sz w:val="32"/>
        </w:rPr>
        <w:t>七、结论</w:t>
      </w:r>
    </w:p>
    <w:p w14:paraId="4F285A10">
      <w:pPr>
        <w:spacing w:after="80" w:line="336" w:lineRule="auto"/>
        <w:ind w:firstLine="420"/>
      </w:pPr>
      <w:r>
        <w:rPr>
          <w:rFonts w:ascii="Times New Roman" w:hAnsi="Times New Roman" w:eastAsia="思源黑体"/>
          <w:b w:val="0"/>
          <w:sz w:val="22"/>
        </w:rPr>
        <w:t>本实验在 STM32 上实现了一个基于 UART 的双重触发后门，采用状态机设计避免了后门处理阻塞主循环，完成了密码+按键触发、错误锁定与自动解锁、命令解析框架及基础命令（help / led on / unlock）的硬件验证。实验验证了嵌入式后门从触发、命令执行到撤离的完整攻击链，为后续固件逆向分析与防护研究提供了可扩展的实验底座。</w:t>
      </w:r>
    </w:p>
    <w:p w14:paraId="2B384B48">
      <w:pPr>
        <w:spacing w:before="240" w:after="120"/>
      </w:pPr>
      <w:r>
        <w:rPr>
          <w:rFonts w:ascii="Times New Roman" w:hAnsi="Times New Roman" w:eastAsia="思源黑体"/>
          <w:b/>
          <w:color w:val="1F497D"/>
          <w:sz w:val="32"/>
        </w:rPr>
        <w:t>附录：仓库目录结构</w:t>
      </w:r>
    </w:p>
    <w:p w14:paraId="1A2F6A3C">
      <w:pPr>
        <w:spacing w:after="80" w:line="336" w:lineRule="auto"/>
        <w:ind w:firstLine="420"/>
      </w:pPr>
      <w:r>
        <w:rPr>
          <w:rFonts w:ascii="Times New Roman" w:hAnsi="Times New Roman" w:eastAsia="思源黑体"/>
          <w:b w:val="0"/>
          <w:sz w:val="22"/>
        </w:rPr>
        <w:t>建议将实验代码按以下结构组织并提交至 GitHub，配合本报告的精简版 README 使用：</w:t>
      </w:r>
    </w:p>
    <w:p w14:paraId="502EAA33">
      <w:pPr>
        <w:pStyle w:val="16"/>
        <w:spacing w:after="40" w:line="324" w:lineRule="auto"/>
      </w:pPr>
      <w:r>
        <w:rPr>
          <w:rFonts w:ascii="Times New Roman" w:hAnsi="Times New Roman" w:eastAsia="思源黑体"/>
          <w:sz w:val="22"/>
        </w:rPr>
        <w:t>5_UART_Backdoor/Core</w:t>
      </w:r>
      <w:r>
        <w:rPr>
          <w:rFonts w:hint="eastAsia" w:ascii="Times New Roman" w:hAnsi="Times New Roman" w:eastAsia="思源黑体"/>
          <w:sz w:val="22"/>
          <w:lang w:val="en-US" w:eastAsia="zh-CN"/>
        </w:rPr>
        <w:t xml:space="preserve"> code</w:t>
      </w:r>
      <w:r>
        <w:rPr>
          <w:rFonts w:ascii="Times New Roman" w:hAnsi="Times New Roman" w:eastAsia="思源黑体"/>
          <w:sz w:val="22"/>
        </w:rPr>
        <w:t>—— 主循环、USART 初始化与中断回调；</w:t>
      </w:r>
    </w:p>
    <w:p w14:paraId="521CFEAC">
      <w:pPr>
        <w:pStyle w:val="16"/>
        <w:spacing w:after="40" w:line="324" w:lineRule="auto"/>
      </w:pPr>
      <w:r>
        <w:rPr>
          <w:rFonts w:ascii="Times New Roman" w:hAnsi="Times New Roman" w:eastAsia="思源黑体"/>
          <w:sz w:val="22"/>
        </w:rPr>
        <w:t>5_UART_Backdoor/Core</w:t>
      </w:r>
      <w:r>
        <w:rPr>
          <w:rFonts w:hint="eastAsia" w:ascii="Times New Roman" w:hAnsi="Times New Roman" w:eastAsia="思源黑体"/>
          <w:sz w:val="22"/>
          <w:lang w:val="en-US" w:eastAsia="zh-CN"/>
        </w:rPr>
        <w:t xml:space="preserve"> code</w:t>
      </w:r>
      <w:r>
        <w:rPr>
          <w:rFonts w:ascii="Times New Roman" w:hAnsi="Times New Roman" w:eastAsia="思源黑体"/>
          <w:sz w:val="22"/>
        </w:rPr>
        <w:t xml:space="preserve"> —— 后门模块（Back_Root / UART_BKROOT）；</w:t>
      </w:r>
    </w:p>
    <w:p w14:paraId="66313927">
      <w:pPr>
        <w:pStyle w:val="16"/>
        <w:spacing w:after="40" w:line="324" w:lineRule="auto"/>
      </w:pPr>
      <w:r>
        <w:rPr>
          <w:rFonts w:ascii="Times New Roman" w:hAnsi="Times New Roman" w:eastAsia="思源黑体"/>
          <w:sz w:val="22"/>
        </w:rPr>
        <w:t>5_UART_Backdoor/</w:t>
      </w:r>
      <w:r>
        <w:rPr>
          <w:rFonts w:hint="eastAsia" w:ascii="Times New Roman" w:hAnsi="Times New Roman" w:eastAsia="思源黑体"/>
          <w:sz w:val="22"/>
          <w:lang w:val="en-US" w:eastAsia="zh-CN"/>
        </w:rPr>
        <w:t>Photos</w:t>
      </w:r>
      <w:r>
        <w:rPr>
          <w:rFonts w:ascii="Times New Roman" w:hAnsi="Times New Roman" w:eastAsia="思源黑体"/>
          <w:sz w:val="22"/>
        </w:rPr>
        <w:t xml:space="preserve">—— </w:t>
      </w:r>
      <w:r>
        <w:rPr>
          <w:rFonts w:hint="eastAsia" w:ascii="Times New Roman" w:hAnsi="Times New Roman" w:eastAsia="思源黑体"/>
          <w:sz w:val="22"/>
          <w:lang w:val="en-US" w:eastAsia="zh-CN"/>
        </w:rPr>
        <w:t>实验部分现象</w:t>
      </w:r>
      <w:bookmarkStart w:id="0" w:name="_GoBack"/>
      <w:bookmarkEnd w:id="0"/>
      <w:r>
        <w:rPr>
          <w:rFonts w:ascii="Times New Roman" w:hAnsi="Times New Roman" w:eastAsia="思源黑体"/>
          <w:sz w:val="22"/>
        </w:rPr>
        <w:t>；</w:t>
      </w:r>
    </w:p>
    <w:p w14:paraId="0307FD14">
      <w:pPr>
        <w:pStyle w:val="16"/>
        <w:spacing w:after="40" w:line="324" w:lineRule="auto"/>
      </w:pPr>
      <w:r>
        <w:rPr>
          <w:rFonts w:ascii="Times New Roman" w:hAnsi="Times New Roman" w:eastAsia="思源黑体"/>
          <w:sz w:val="22"/>
        </w:rPr>
        <w:t>5_UART_Backdoor/README.md —— 实验说明、触发方式与命令列表；</w:t>
      </w:r>
    </w:p>
    <w:p w14:paraId="1983BF36">
      <w:pPr>
        <w:pStyle w:val="16"/>
        <w:spacing w:after="40" w:line="324" w:lineRule="auto"/>
      </w:pPr>
      <w:r>
        <w:rPr>
          <w:rFonts w:ascii="Times New Roman" w:hAnsi="Times New Roman" w:eastAsia="思源黑体"/>
          <w:sz w:val="22"/>
        </w:rPr>
        <w:t>5_UART_Backdoor/</w:t>
      </w:r>
      <w:r>
        <w:rPr>
          <w:rFonts w:hint="eastAsia" w:ascii="Times New Roman" w:hAnsi="Times New Roman" w:eastAsia="思源黑体"/>
          <w:sz w:val="22"/>
          <w:lang w:val="en-US" w:eastAsia="zh-CN"/>
        </w:rPr>
        <w:t>Docs/</w:t>
      </w:r>
      <w:r>
        <w:rPr>
          <w:rFonts w:ascii="Times New Roman" w:hAnsi="Times New Roman" w:eastAsia="思源黑体"/>
          <w:sz w:val="22"/>
        </w:rPr>
        <w:t>实验报告.docx —— 本报告（正式归档版）。</w:t>
      </w:r>
    </w:p>
    <w:sectPr>
      <w:pgSz w:w="12240" w:h="15840"/>
      <w:pgMar w:top="1247" w:right="1304" w:bottom="1134" w:left="13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思源黑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665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2752</Words>
  <Characters>3565</Characters>
  <Lines>0</Lines>
  <Paragraphs>0</Paragraphs>
  <TotalTime>2</TotalTime>
  <ScaleCrop>false</ScaleCrop>
  <LinksUpToDate>false</LinksUpToDate>
  <CharactersWithSpaces>3775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WPS_1755402149</cp:lastModifiedBy>
  <dcterms:modified xsi:type="dcterms:W3CDTF">2026-08-27T10:03:22Z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{"Label":"1","ContentProducer":"001191440300708461136T1WFUO","ProduceID":"c317c952440be5194cee3fed38ecf88f-vN01","ReservedCode1":"{\"Type\":\" TC260PG\",\"Version\":1,\"Bindings\":[{\"Type\":\"soft\",\"AlgID\":\"sm3\",\"Value\":\"f963e5afa91386b3f108392cca17c9ece17ebedbf97815a4ff3de3bffd380be6\"},{\"Type\":\"hash\",\"AlgID\":\"sm3\",\"Value\":\"030920770300700698a5ac5626acb11af3e9bbca60679b2e537f84f0a43c1f44\"}],\"PubSD\":[{\"Type\":\"DS\",\"AlgID\":\"sm2\",\"TBSData\":{\"Type\":\"Binding\",\"BType\":\"hash\"},\"Signature\":\"3046022100fb4d2ea2a9ca3fd67c36275a920a27aaad65244521653184db428fede7fc93a7022100dace1b04c9c0ddf5e5d651f4d6591c0f8d17ee81243d8410ab5aa771ad8219cd\"},{\"Type\":\"PubKey\",\"AlgID\":\"sm2\",\"KeyValue\":\"0407f79b28a17a752b3aae4305c98b48978213832729a2571850b1310b2bc9fe8fee039ccf25ebfeac27502414d9fcef792d777183c98893d226171c2f7a3289a2\"}],\"Extension\":{\"Timestamp\":1787824429,\"KeyVersion\":\"v1-TxLeOmf7bqU223\"}}","ContentPropagator":"001191440300708461136T1WFUO","PropagateID":"c317c952440be5194cee3fed38ecf88f-vN01","ReservedCode2":"{\"Type\":\" TC260PG\",\"Version\":1,\"Bindings\":[{\"Type\":\"soft\",\"AlgID\":\"sm3\",\"Value\":\"f963e5afa91386b3f108392cca17c9ece17ebedbf97815a4ff3de3bffd380be6\"},{\"Type\":\"hash\",\"AlgID\":\"sm3\",\"Value\":\"030920770300700698a5ac5626acb11af3e9bbca60679b2e537f84f0a43c1f44\"}],\"PubSD\":[{\"Type\":\"DS\",\"AlgID\":\"sm2\",\"TBSData\":{\"Type\":\"Binding\",\"BType\":\"hash\"},\"Signature\":\"3046022100f13162a518e1e1ef385baeb28d9813b77362432a71023a8cd75bba2fde0644820221009216f4153dff99ca0897ddf5551fd83502602c30c689d0f97ff6b6cadaa9e15c\"},{\"Type\":\"PubKey\",\"AlgID\":\"sm2\",\"KeyValue\":\"0407f79b28a17a752b3aae4305c98b48978213832729a2571850b1310b2bc9fe8fee039ccf25ebfeac27502414d9fcef792d777183c98893d226171c2f7a3289a2\"}],\"Extension\":{\"Timestamp\":1787824429,\"KeyVersion\":\"v1-TxLeOmf7bqU223\"}}"}</vt:lpwstr>
  </property>
  <property fmtid="{D5CDD505-2E9C-101B-9397-08002B2CF9AE}" pid="3" name="KSOTemplateDocerSaveRecord">
    <vt:lpwstr>eyJoZGlkIjoiNDM2MTg2OGE1MGE2OGUyZWJiOTUzNmM5YzljYzRmZDMiLCJ1c2VySWQiOiIxNzI5NTA3NDUyIn0=</vt:lpwstr>
  </property>
  <property fmtid="{D5CDD505-2E9C-101B-9397-08002B2CF9AE}" pid="4" name="KSOProductBuildVer">
    <vt:lpwstr>2052-12.1.0.28043</vt:lpwstr>
  </property>
  <property fmtid="{D5CDD505-2E9C-101B-9397-08002B2CF9AE}" pid="5" name="ICV">
    <vt:lpwstr>3E22A6CBCC1746BFA7387E6E515B26FD_12</vt:lpwstr>
  </property>
</Properties>
</file>