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C4D10">
      <w:pPr>
        <w:pStyle w:val="2"/>
        <w:keepNext w:val="0"/>
        <w:keepLines w:val="0"/>
        <w:widowControl/>
        <w:suppressLineNumbers w:val="0"/>
        <w:jc w:val="center"/>
        <w:rPr>
          <w:rFonts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u w:val="none"/>
        </w:rPr>
        <w:t xml:space="preserve">实验报告：基于STM32的CAN总线攻击与现象验证 </w:t>
      </w:r>
    </w:p>
    <w:p w14:paraId="04F9BEC4">
      <w:pPr>
        <w:pStyle w:val="3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 xml:space="preserve">一、实验目的 </w:t>
      </w:r>
    </w:p>
    <w:p w14:paraId="583DD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熟悉STM32与TJA1050的硬件接线方法 </w:t>
      </w:r>
    </w:p>
    <w:p w14:paraId="7E2A08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通过实际操作观察CAN总线正常通信状态 </w:t>
      </w:r>
    </w:p>
    <w:p w14:paraId="6B81D6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模拟三种CAN总线攻击（重放、伪造、洪泛），记录攻击现象 </w:t>
      </w:r>
    </w:p>
    <w:p w14:paraId="77B209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在接收端部署基于白名单的入侵检测系统（IDS），验证其对伪造和洪泛攻击的检测能力 </w:t>
      </w:r>
    </w:p>
    <w:p w14:paraId="0588BA5C">
      <w:pPr>
        <w:pStyle w:val="3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 xml:space="preserve">二、实验环境与器材 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8"/>
        <w:gridCol w:w="705"/>
        <w:gridCol w:w="4470"/>
      </w:tblGrid>
      <w:tr w14:paraId="35E9F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C01EC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硬件</w:t>
            </w:r>
          </w:p>
        </w:tc>
        <w:tc>
          <w:tcPr>
            <w:tcW w:w="0" w:type="auto"/>
            <w:shd w:val="clear"/>
            <w:vAlign w:val="center"/>
          </w:tcPr>
          <w:p w14:paraId="0CB0A9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</w:t>
            </w:r>
          </w:p>
        </w:tc>
        <w:tc>
          <w:tcPr>
            <w:tcW w:w="4425" w:type="dxa"/>
            <w:shd w:val="clear"/>
            <w:vAlign w:val="center"/>
          </w:tcPr>
          <w:p w14:paraId="712FB6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30D90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10BDA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STM32F103C8T6 开发板</w:t>
            </w:r>
          </w:p>
        </w:tc>
        <w:tc>
          <w:tcPr>
            <w:tcW w:w="0" w:type="auto"/>
            <w:shd w:val="clear"/>
            <w:vAlign w:val="center"/>
          </w:tcPr>
          <w:p w14:paraId="0BC7E9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2块</w:t>
            </w:r>
          </w:p>
        </w:tc>
        <w:tc>
          <w:tcPr>
            <w:tcW w:w="4425" w:type="dxa"/>
            <w:shd w:val="clear"/>
            <w:vAlign w:val="center"/>
          </w:tcPr>
          <w:p w14:paraId="3E9FF7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攻击节点（A）/ 接收节点（B）</w:t>
            </w:r>
          </w:p>
        </w:tc>
      </w:tr>
      <w:tr w14:paraId="44BA5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22A26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TJA1050 CAN收发器</w:t>
            </w:r>
          </w:p>
        </w:tc>
        <w:tc>
          <w:tcPr>
            <w:tcW w:w="0" w:type="auto"/>
            <w:shd w:val="clear"/>
            <w:vAlign w:val="center"/>
          </w:tcPr>
          <w:p w14:paraId="239A51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2个</w:t>
            </w:r>
          </w:p>
        </w:tc>
        <w:tc>
          <w:tcPr>
            <w:tcW w:w="4425" w:type="dxa"/>
            <w:shd w:val="clear"/>
            <w:vAlign w:val="center"/>
          </w:tcPr>
          <w:p w14:paraId="10241E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TTL与差分信号转换</w:t>
            </w:r>
          </w:p>
        </w:tc>
      </w:tr>
      <w:tr w14:paraId="36D9E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121BB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0.96寸OLED（I2C）</w:t>
            </w:r>
          </w:p>
        </w:tc>
        <w:tc>
          <w:tcPr>
            <w:tcW w:w="0" w:type="auto"/>
            <w:shd w:val="clear"/>
            <w:vAlign w:val="center"/>
          </w:tcPr>
          <w:p w14:paraId="2FB3B1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4425" w:type="dxa"/>
            <w:shd w:val="clear"/>
            <w:vAlign w:val="center"/>
          </w:tcPr>
          <w:p w14:paraId="590BC0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接收节点状态显示</w:t>
            </w:r>
          </w:p>
        </w:tc>
      </w:tr>
      <w:tr w14:paraId="68DBD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7F7BC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/蓝色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LED </w:t>
            </w:r>
          </w:p>
        </w:tc>
        <w:tc>
          <w:tcPr>
            <w:tcW w:w="0" w:type="auto"/>
            <w:shd w:val="clear"/>
            <w:vAlign w:val="center"/>
          </w:tcPr>
          <w:p w14:paraId="794D63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1套</w:t>
            </w:r>
          </w:p>
        </w:tc>
        <w:tc>
          <w:tcPr>
            <w:tcW w:w="4425" w:type="dxa"/>
            <w:shd w:val="clear"/>
            <w:vAlign w:val="center"/>
          </w:tcPr>
          <w:p w14:paraId="587AAC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攻击报警</w:t>
            </w:r>
          </w:p>
        </w:tc>
      </w:tr>
      <w:tr w14:paraId="3C8E6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173" w:type="dxa"/>
            <w:shd w:val="clear"/>
            <w:vAlign w:val="center"/>
          </w:tcPr>
          <w:p w14:paraId="4E1D45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CH340串口模块</w:t>
            </w:r>
          </w:p>
        </w:tc>
        <w:tc>
          <w:tcPr>
            <w:tcW w:w="675" w:type="dxa"/>
            <w:shd w:val="clear"/>
            <w:vAlign w:val="center"/>
          </w:tcPr>
          <w:p w14:paraId="259F31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1个</w:t>
            </w:r>
          </w:p>
        </w:tc>
        <w:tc>
          <w:tcPr>
            <w:tcW w:w="4425" w:type="dxa"/>
            <w:shd w:val="clear"/>
            <w:vAlign w:val="center"/>
          </w:tcPr>
          <w:p w14:paraId="1BBFB2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调试日志输出</w:t>
            </w:r>
          </w:p>
        </w:tc>
      </w:tr>
    </w:tbl>
    <w:p w14:paraId="2E067801">
      <w:pPr>
        <w:pStyle w:val="3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 xml:space="preserve">三、实验步骤与现象记录 </w:t>
      </w:r>
    </w:p>
    <w:p w14:paraId="6E29F9C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eastAsia="宋体"/>
          <w:b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u w:val="none"/>
        </w:rPr>
        <w:t xml:space="preserve">1. 硬件接线 </w:t>
      </w:r>
    </w:p>
    <w:p w14:paraId="4AEFA7C2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两块STM32各接一个TJA1050，CAN_H接CAN_H，CAN_L接CAN_L，总线两端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无需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各接120Ω终端电阻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（收发器已经自带）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。接收节点额外接OLED和LED</w:t>
      </w:r>
    </w:p>
    <w:p w14:paraId="5119800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eastAsia="宋体"/>
          <w:b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u w:val="none"/>
        </w:rPr>
        <w:t xml:space="preserve">2. 正常通信 </w:t>
      </w:r>
    </w:p>
    <w:p w14:paraId="7E9FFD77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攻击节点每500ms发送一帧ID=0x123、Data=0A（代表10km/h）的报文。接收节点OLED显示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报文信息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蓝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灯常亮。</w:t>
      </w:r>
    </w:p>
    <w:p w14:paraId="74DF794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eastAsia="宋体"/>
          <w:b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u w:val="none"/>
        </w:rPr>
        <w:t xml:space="preserve">3. 重放攻击 </w:t>
      </w:r>
    </w:p>
    <w:p w14:paraId="1B542DAD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7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代码说明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：攻击节点代码中包含重放攻击逻辑（按键触发，发送与上一帧完全相同的数据）。但在最终版本的完整攻防系统中，重放攻击代码已被注释掉，原因见第五节。</w:t>
      </w:r>
    </w:p>
    <w:p w14:paraId="04409BDB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7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现象记录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（单独测试时）：攻击节点连续按两次按键，接收节点OLED依次显示Frame #1和Frame #2，两帧数据完全一致（均为0A）。接收节点无法区分哪一帧是原始帧、哪一帧是重放帧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（注释代码可见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）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。</w:t>
      </w:r>
    </w:p>
    <w:p w14:paraId="0A07029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eastAsia="宋体"/>
          <w:b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u w:val="none"/>
        </w:rPr>
        <w:t xml:space="preserve">4. 节点伪造攻击 </w:t>
      </w:r>
    </w:p>
    <w:p w14:paraId="0CE0E96C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攻击节点按下KEY1，发送一帧ID=0x123、Data=FF（255km/h）的报文。接收节点OLED立即显示“ATTACK - Spoof”，红灯亮起。松开按键后恢复“Normal”，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蓝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灯亮。</w:t>
      </w:r>
    </w:p>
    <w:p w14:paraId="5695638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eastAsia="宋体"/>
          <w:b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u w:val="none"/>
        </w:rPr>
        <w:t xml:space="preserve">5. DoS洪泛攻击 </w:t>
      </w:r>
    </w:p>
    <w:p w14:paraId="0A316D4D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攻击节点按住KEY2，进入死循环全速发送ID=0x123的报文。接收节点OLED显示“ATTACK - Flood”，红灯亮，OLED停止刷新。松开按键后恢复正常通信。</w:t>
      </w:r>
    </w:p>
    <w:p w14:paraId="7272F9D1">
      <w:pPr>
        <w:pStyle w:val="3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 xml:space="preserve">四、防御系统（IDS）说明 </w:t>
      </w:r>
    </w:p>
    <w:p w14:paraId="43E7CB9E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接收节点部署了基于白名单的轻量级IDS，检测逻辑如下：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2589"/>
        <w:gridCol w:w="3939"/>
      </w:tblGrid>
      <w:tr w14:paraId="47922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0B686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规则</w:t>
            </w:r>
          </w:p>
        </w:tc>
        <w:tc>
          <w:tcPr>
            <w:tcW w:w="0" w:type="auto"/>
            <w:shd w:val="clear"/>
            <w:vAlign w:val="center"/>
          </w:tcPr>
          <w:p w14:paraId="44D3E6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检测对象</w:t>
            </w:r>
          </w:p>
        </w:tc>
        <w:tc>
          <w:tcPr>
            <w:tcW w:w="3894" w:type="dxa"/>
            <w:shd w:val="clear"/>
            <w:vAlign w:val="center"/>
          </w:tcPr>
          <w:p w14:paraId="69F1FC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判定条件</w:t>
            </w:r>
          </w:p>
        </w:tc>
      </w:tr>
      <w:tr w14:paraId="76693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24FBE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数据越界检测</w:t>
            </w:r>
          </w:p>
        </w:tc>
        <w:tc>
          <w:tcPr>
            <w:tcW w:w="0" w:type="auto"/>
            <w:shd w:val="clear"/>
            <w:vAlign w:val="center"/>
          </w:tcPr>
          <w:p w14:paraId="178E6D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数据域中的速度值</w:t>
            </w:r>
          </w:p>
        </w:tc>
        <w:tc>
          <w:tcPr>
            <w:tcW w:w="3894" w:type="dxa"/>
            <w:shd w:val="clear"/>
            <w:vAlign w:val="center"/>
          </w:tcPr>
          <w:p w14:paraId="278B37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速度值 &gt; 120 km/h → Spoof</w:t>
            </w:r>
          </w:p>
        </w:tc>
      </w:tr>
      <w:tr w14:paraId="23298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20" w:type="dxa"/>
            <w:shd w:val="clear"/>
            <w:vAlign w:val="center"/>
          </w:tcPr>
          <w:p w14:paraId="70AF73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频率阈值检测</w:t>
            </w:r>
          </w:p>
        </w:tc>
        <w:tc>
          <w:tcPr>
            <w:tcW w:w="2559" w:type="dxa"/>
            <w:shd w:val="clear"/>
            <w:vAlign w:val="center"/>
          </w:tcPr>
          <w:p w14:paraId="58E461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同一ID的报文频率</w:t>
            </w:r>
          </w:p>
        </w:tc>
        <w:tc>
          <w:tcPr>
            <w:tcW w:w="3894" w:type="dxa"/>
            <w:shd w:val="clear"/>
            <w:vAlign w:val="center"/>
          </w:tcPr>
          <w:p w14:paraId="3E2345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1秒内 &gt;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0帧 → Flood</w:t>
            </w:r>
          </w:p>
        </w:tc>
      </w:tr>
    </w:tbl>
    <w:p w14:paraId="5B7EFA91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两种检测规则分别检查数据内容和报文频率两个独立维度，互不冲突。</w:t>
      </w:r>
    </w:p>
    <w:p w14:paraId="78A1FB28">
      <w:pPr>
        <w:pStyle w:val="3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 xml:space="preserve">五、关于重放攻击的说明 </w:t>
      </w:r>
    </w:p>
    <w:p w14:paraId="58B1CBBA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重放攻击的代码在项目中是独立存在的（位于单独的测试文件夹中），用于验证CAN总线缺乏报文新鲜度校验的漏洞。但在完整的攻防系统（IDS）中，重放攻击代码已被注释掉，原因如下：</w:t>
      </w:r>
    </w:p>
    <w:p w14:paraId="318AE9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基于白名单的IDS无法检测重放攻击——因为重放的数据内容合法、ID合法、频率正常，所有特征均在白名单范围内 </w:t>
      </w:r>
    </w:p>
    <w:p w14:paraId="4B28C8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为避免在演示时产生歧义（攻击触发但防御不报警），完整系统中将重放攻击代码注释，仅保留IDS能够有效检测的伪造攻击和洪泛攻击 </w:t>
      </w:r>
    </w:p>
    <w:p w14:paraId="640CAB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重放攻击的防御需要更复杂的机制（如报文时间戳、计数器、行为基线等），这超出了本次实验的范围，留作后续工作 </w:t>
      </w:r>
    </w:p>
    <w:p w14:paraId="24459037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代码注释位置：</w:t>
      </w:r>
      <w:r>
        <w:rPr>
          <w:rStyle w:val="8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Core code/Attack/main_attack.c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 xml:space="preserve"> 第88-112行，重放攻击相关函数已被注释，并附有上述说明。</w:t>
      </w:r>
    </w:p>
    <w:p w14:paraId="79D1DE93">
      <w:pPr>
        <w:pStyle w:val="3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 xml:space="preserve">六、实验结论 </w:t>
      </w:r>
    </w:p>
    <w:p w14:paraId="1ED3B4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重放攻击：攻击者可重放合法报文，接收节点无法区分原始帧与重放帧 </w:t>
      </w:r>
    </w:p>
    <w:p w14:paraId="6E3B04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节点伪造：攻击者可冒充合法ID发送越界数据，接收节点无能力鉴别真伪 </w:t>
      </w:r>
    </w:p>
    <w:p w14:paraId="700675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DoS洪泛：全速发送高优先级报文可占满总线，导致合法通信瘫痪 </w:t>
      </w:r>
    </w:p>
    <w:p w14:paraId="6FF4A8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白名单IDS能有效检测伪造攻击（数据越界）和洪泛攻击（频率异常），但对重放攻击无效 </w:t>
      </w:r>
    </w:p>
    <w:p w14:paraId="2F1542B2">
      <w:pPr>
        <w:pStyle w:val="3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 xml:space="preserve">七、局限性与后续工作 </w:t>
      </w:r>
    </w:p>
    <w:p w14:paraId="2F7CB1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本实验的IDS基于静态白名单，无法检测重放攻击。后续可引入基于报文周期统计特征的异常检测，或结合时间戳/计数器机制防御重放 </w:t>
      </w:r>
    </w:p>
    <w:p w14:paraId="0E118A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900" w:leftChars="20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攻击流量为自建实验流量，后续可在真实车载CAN数据集上验证检测方案 </w:t>
      </w:r>
    </w:p>
    <w:p w14:paraId="649C2B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EC7B7"/>
    <w:multiLevelType w:val="multilevel"/>
    <w:tmpl w:val="9E6EC7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4B8D33"/>
    <w:multiLevelType w:val="multilevel"/>
    <w:tmpl w:val="A54B8D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60226F8"/>
    <w:multiLevelType w:val="multilevel"/>
    <w:tmpl w:val="D6022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E20459E"/>
    <w:multiLevelType w:val="multilevel"/>
    <w:tmpl w:val="FE204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7A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2026-08-23T09:48:45Z</dcterms:created>
  <dc:creator>ZI DONG</dc:creator>
  <cp:lastModifiedBy>WPS_1755402149</cp:lastModifiedBy>
  <dcterms:modified xsi:type="dcterms:W3CDTF">2026-08-23T09:55:02Z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eyJoZGlkIjoiNDM2MTg2OGE1MGE2OGUyZWJiOTUzNmM5YzljYzRmZDMiLCJ1c2VySWQiOiIxNzI5NTA3NDUyIn0=</vt:lpwstr>
  </property>
  <property fmtid="{D5CDD505-2E9C-101B-9397-08002B2CF9AE}" pid="4" name="ICV">
    <vt:lpwstr>CE499C8E6A444538BF7FCB38C74F418C_12</vt:lpwstr>
  </property>
</Properties>
</file>