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7B944" w14:textId="77777777" w:rsidR="00E35EEA" w:rsidRPr="00C845D9" w:rsidRDefault="00000000">
      <w:pPr>
        <w:spacing w:after="80"/>
        <w:jc w:val="center"/>
        <w:rPr>
          <w:rFonts w:ascii="Times New Roman" w:hAnsi="Times New Roman" w:cs="Times New Roman"/>
          <w:color w:val="000000" w:themeColor="text1"/>
        </w:rPr>
      </w:pPr>
      <w:r w:rsidRPr="00C845D9">
        <w:rPr>
          <w:rFonts w:ascii="Times New Roman" w:hAnsi="Times New Roman" w:cs="Times New Roman"/>
          <w:b/>
          <w:bCs/>
          <w:color w:val="000000" w:themeColor="text1"/>
          <w:sz w:val="26"/>
          <w:szCs w:val="26"/>
        </w:rPr>
        <w:t>Artificial Intelligence for Brain-to-Speech Decoding:</w:t>
      </w:r>
    </w:p>
    <w:p w14:paraId="27BB6036" w14:textId="77777777" w:rsidR="00E35EEA" w:rsidRPr="00C845D9" w:rsidRDefault="00000000">
      <w:pPr>
        <w:spacing w:after="80"/>
        <w:jc w:val="center"/>
        <w:rPr>
          <w:rFonts w:ascii="Times New Roman" w:hAnsi="Times New Roman" w:cs="Times New Roman"/>
          <w:color w:val="000000" w:themeColor="text1"/>
        </w:rPr>
      </w:pPr>
      <w:r w:rsidRPr="00C845D9">
        <w:rPr>
          <w:rFonts w:ascii="Times New Roman" w:hAnsi="Times New Roman" w:cs="Times New Roman"/>
          <w:b/>
          <w:bCs/>
          <w:color w:val="000000" w:themeColor="text1"/>
        </w:rPr>
        <w:t>A Systematic Review of Methods, Performance Benchmarks, and Generalization</w:t>
      </w:r>
    </w:p>
    <w:p w14:paraId="5A66D0DB" w14:textId="77777777" w:rsidR="00E35EEA" w:rsidRPr="00C845D9" w:rsidRDefault="00000000">
      <w:pPr>
        <w:spacing w:after="80"/>
        <w:jc w:val="center"/>
        <w:rPr>
          <w:rFonts w:ascii="Times New Roman" w:hAnsi="Times New Roman" w:cs="Times New Roman"/>
          <w:color w:val="000000" w:themeColor="text1"/>
        </w:rPr>
      </w:pPr>
      <w:r w:rsidRPr="00C845D9">
        <w:rPr>
          <w:rFonts w:ascii="Times New Roman" w:hAnsi="Times New Roman" w:cs="Times New Roman"/>
          <w:b/>
          <w:bCs/>
          <w:color w:val="000000" w:themeColor="text1"/>
        </w:rPr>
        <w:t>Across Neural Recording Modalities (2015–2026)</w:t>
      </w:r>
    </w:p>
    <w:p w14:paraId="35674836" w14:textId="77777777" w:rsidR="00E35EEA" w:rsidRPr="00C845D9" w:rsidRDefault="00000000">
      <w:pPr>
        <w:spacing w:after="240"/>
        <w:jc w:val="center"/>
        <w:rPr>
          <w:rFonts w:ascii="Times New Roman" w:hAnsi="Times New Roman" w:cs="Times New Roman"/>
          <w:color w:val="000000" w:themeColor="text1"/>
        </w:rPr>
      </w:pPr>
      <w:r w:rsidRPr="00C845D9">
        <w:rPr>
          <w:rFonts w:ascii="Times New Roman" w:hAnsi="Times New Roman" w:cs="Times New Roman"/>
          <w:i/>
          <w:iCs/>
          <w:color w:val="000000" w:themeColor="text1"/>
          <w:sz w:val="20"/>
          <w:szCs w:val="20"/>
        </w:rPr>
        <w:t xml:space="preserve">Blessing Isoyiza Adeika &amp; Dr. Onyema </w:t>
      </w:r>
      <w:proofErr w:type="gramStart"/>
      <w:r w:rsidRPr="00C845D9">
        <w:rPr>
          <w:rFonts w:ascii="Times New Roman" w:hAnsi="Times New Roman" w:cs="Times New Roman"/>
          <w:i/>
          <w:iCs/>
          <w:color w:val="000000" w:themeColor="text1"/>
          <w:sz w:val="20"/>
          <w:szCs w:val="20"/>
        </w:rPr>
        <w:t>Osuagwu  |</w:t>
      </w:r>
      <w:proofErr w:type="gramEnd"/>
      <w:r w:rsidRPr="00C845D9">
        <w:rPr>
          <w:rFonts w:ascii="Times New Roman" w:hAnsi="Times New Roman" w:cs="Times New Roman"/>
          <w:i/>
          <w:iCs/>
          <w:color w:val="000000" w:themeColor="text1"/>
          <w:sz w:val="20"/>
          <w:szCs w:val="20"/>
        </w:rPr>
        <w:t xml:space="preserve">  Morgan State University</w:t>
      </w:r>
    </w:p>
    <w:p w14:paraId="564A139C" w14:textId="77777777" w:rsidR="00E35EEA" w:rsidRPr="00C845D9" w:rsidRDefault="00E35EEA">
      <w:pPr>
        <w:pBdr>
          <w:bottom w:val="single" w:sz="4" w:space="1" w:color="BDD7EE"/>
        </w:pBdr>
        <w:spacing w:after="200"/>
        <w:rPr>
          <w:rFonts w:ascii="Times New Roman" w:hAnsi="Times New Roman" w:cs="Times New Roman"/>
          <w:color w:val="000000" w:themeColor="text1"/>
        </w:rPr>
      </w:pPr>
    </w:p>
    <w:p w14:paraId="72DF3943" w14:textId="77777777" w:rsidR="00E35EEA" w:rsidRPr="00C845D9" w:rsidRDefault="00000000">
      <w:pPr>
        <w:spacing w:after="160"/>
        <w:rPr>
          <w:rFonts w:ascii="Times New Roman" w:hAnsi="Times New Roman" w:cs="Times New Roman"/>
          <w:color w:val="000000" w:themeColor="text1"/>
        </w:rPr>
      </w:pPr>
      <w:r w:rsidRPr="00C845D9">
        <w:rPr>
          <w:rFonts w:ascii="Times New Roman" w:hAnsi="Times New Roman" w:cs="Times New Roman"/>
          <w:b/>
          <w:bCs/>
          <w:color w:val="000000" w:themeColor="text1"/>
          <w:sz w:val="24"/>
          <w:szCs w:val="24"/>
        </w:rPr>
        <w:t>TABLE OF CONTENTS</w:t>
      </w:r>
    </w:p>
    <w:p w14:paraId="78A4A743" w14:textId="77777777" w:rsidR="00E35EEA" w:rsidRPr="00C845D9" w:rsidRDefault="00000000">
      <w:pPr>
        <w:spacing w:after="200"/>
        <w:rPr>
          <w:rFonts w:ascii="Times New Roman" w:hAnsi="Times New Roman" w:cs="Times New Roman"/>
          <w:color w:val="000000" w:themeColor="text1"/>
        </w:rPr>
      </w:pPr>
      <w:r w:rsidRPr="00C845D9">
        <w:rPr>
          <w:rFonts w:ascii="Times New Roman" w:hAnsi="Times New Roman" w:cs="Times New Roman"/>
          <w:i/>
          <w:iCs/>
          <w:color w:val="000000" w:themeColor="text1"/>
          <w:sz w:val="17"/>
          <w:szCs w:val="17"/>
        </w:rPr>
        <w:t>Target journal: IEEE Transactions on Neural Systems and Rehabilitation Engineering (</w:t>
      </w:r>
      <w:proofErr w:type="gramStart"/>
      <w:r w:rsidRPr="00C845D9">
        <w:rPr>
          <w:rFonts w:ascii="Times New Roman" w:hAnsi="Times New Roman" w:cs="Times New Roman"/>
          <w:i/>
          <w:iCs/>
          <w:color w:val="000000" w:themeColor="text1"/>
          <w:sz w:val="17"/>
          <w:szCs w:val="17"/>
        </w:rPr>
        <w:t>TNSRE)  |</w:t>
      </w:r>
      <w:proofErr w:type="gramEnd"/>
      <w:r w:rsidRPr="00C845D9">
        <w:rPr>
          <w:rFonts w:ascii="Times New Roman" w:hAnsi="Times New Roman" w:cs="Times New Roman"/>
          <w:i/>
          <w:iCs/>
          <w:color w:val="000000" w:themeColor="text1"/>
          <w:sz w:val="17"/>
          <w:szCs w:val="17"/>
        </w:rPr>
        <w:t xml:space="preserve">  Review article (12 pages max, excl. </w:t>
      </w:r>
      <w:proofErr w:type="gramStart"/>
      <w:r w:rsidRPr="00C845D9">
        <w:rPr>
          <w:rFonts w:ascii="Times New Roman" w:hAnsi="Times New Roman" w:cs="Times New Roman"/>
          <w:i/>
          <w:iCs/>
          <w:color w:val="000000" w:themeColor="text1"/>
          <w:sz w:val="17"/>
          <w:szCs w:val="17"/>
        </w:rPr>
        <w:t>references)  |</w:t>
      </w:r>
      <w:proofErr w:type="gramEnd"/>
      <w:r w:rsidRPr="00C845D9">
        <w:rPr>
          <w:rFonts w:ascii="Times New Roman" w:hAnsi="Times New Roman" w:cs="Times New Roman"/>
          <w:i/>
          <w:iCs/>
          <w:color w:val="000000" w:themeColor="text1"/>
          <w:sz w:val="17"/>
          <w:szCs w:val="17"/>
        </w:rPr>
        <w:t xml:space="preserve">  PRISMA 2020 </w:t>
      </w:r>
      <w:proofErr w:type="gramStart"/>
      <w:r w:rsidRPr="00C845D9">
        <w:rPr>
          <w:rFonts w:ascii="Times New Roman" w:hAnsi="Times New Roman" w:cs="Times New Roman"/>
          <w:i/>
          <w:iCs/>
          <w:color w:val="000000" w:themeColor="text1"/>
          <w:sz w:val="17"/>
          <w:szCs w:val="17"/>
        </w:rPr>
        <w:t>compliant  |</w:t>
      </w:r>
      <w:proofErr w:type="gramEnd"/>
      <w:r w:rsidRPr="00C845D9">
        <w:rPr>
          <w:rFonts w:ascii="Times New Roman" w:hAnsi="Times New Roman" w:cs="Times New Roman"/>
          <w:i/>
          <w:iCs/>
          <w:color w:val="000000" w:themeColor="text1"/>
          <w:sz w:val="17"/>
          <w:szCs w:val="17"/>
        </w:rPr>
        <w:t xml:space="preserve">  PROSPERO </w:t>
      </w:r>
      <w:proofErr w:type="gramStart"/>
      <w:r w:rsidRPr="00C845D9">
        <w:rPr>
          <w:rFonts w:ascii="Times New Roman" w:hAnsi="Times New Roman" w:cs="Times New Roman"/>
          <w:i/>
          <w:iCs/>
          <w:color w:val="000000" w:themeColor="text1"/>
          <w:sz w:val="17"/>
          <w:szCs w:val="17"/>
        </w:rPr>
        <w:t>registered  |</w:t>
      </w:r>
      <w:proofErr w:type="gramEnd"/>
      <w:r w:rsidRPr="00C845D9">
        <w:rPr>
          <w:rFonts w:ascii="Times New Roman" w:hAnsi="Times New Roman" w:cs="Times New Roman"/>
          <w:i/>
          <w:iCs/>
          <w:color w:val="000000" w:themeColor="text1"/>
          <w:sz w:val="17"/>
          <w:szCs w:val="17"/>
        </w:rPr>
        <w:t xml:space="preserve">  n = 71 included studies, 2015–2026</w:t>
      </w:r>
    </w:p>
    <w:tbl>
      <w:tblPr>
        <w:tblW w:w="1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000"/>
        <w:gridCol w:w="2200"/>
        <w:gridCol w:w="2200"/>
      </w:tblGrid>
      <w:tr w:rsidR="00C845D9" w:rsidRPr="00C845D9" w14:paraId="6E85D692" w14:textId="77777777">
        <w:tblPrEx>
          <w:tblCellMar>
            <w:top w:w="0" w:type="dxa"/>
            <w:bottom w:w="0" w:type="dxa"/>
          </w:tblCellMar>
        </w:tblPrEx>
        <w:trPr>
          <w:tblHeader/>
        </w:trPr>
        <w:tc>
          <w:tcPr>
            <w:tcW w:w="5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5FB1B32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Section</w:t>
            </w:r>
          </w:p>
        </w:tc>
        <w:tc>
          <w:tcPr>
            <w:tcW w:w="30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3F326B6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Title</w:t>
            </w:r>
          </w:p>
        </w:tc>
        <w:tc>
          <w:tcPr>
            <w:tcW w:w="2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0C4E596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Est. pages</w:t>
            </w:r>
          </w:p>
        </w:tc>
        <w:tc>
          <w:tcPr>
            <w:tcW w:w="2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34C7C2B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Figures / Tables</w:t>
            </w:r>
          </w:p>
        </w:tc>
      </w:tr>
      <w:tr w:rsidR="00C845D9" w:rsidRPr="00C845D9" w14:paraId="62B3F0DB"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1F85950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FRONT MATTER</w:t>
            </w:r>
          </w:p>
        </w:tc>
      </w:tr>
      <w:tr w:rsidR="00C845D9" w:rsidRPr="00C845D9" w14:paraId="59D82346"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C2BF94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Abstract</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E07962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Structured abstract (Background / Methods / Results / Conclusions)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417285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~0.3</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773357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25A8FA1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3CE21F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Index Terms</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5FA3CB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Brain-computer interface, neural decoding, EEG, ECoG, deep learning, transformer, SSL, generalization, systematic review</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BF87B4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69ED04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1EB4E59C"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E8E934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1 — INTRODUCTION</w:t>
            </w:r>
          </w:p>
        </w:tc>
      </w:tr>
      <w:tr w:rsidR="00C845D9" w:rsidRPr="00C845D9" w14:paraId="5807FCC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1CD94AD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1.</w:t>
            </w:r>
          </w:p>
        </w:tc>
        <w:tc>
          <w:tcPr>
            <w:tcW w:w="30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57190AA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Introduction</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6BA556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~1.9</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656B14C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35A65C5D"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78BE1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1.1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20B4B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The Clinical Imperative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5C0E9AE"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D189F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7AF4D64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A3225E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1.2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0E467F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The Modality and AI Landscape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574EA75"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1537D2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31C5B3AD"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DCE03F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1.3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37BF92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Why a Systematic Review Now</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612D4EA"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B7EFD3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0F95C91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88AB54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1.4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C5894C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 xml:space="preserve">Scope and </w:t>
            </w:r>
            <w:proofErr w:type="spellStart"/>
            <w:r w:rsidRPr="00C845D9">
              <w:rPr>
                <w:rFonts w:ascii="Times New Roman" w:hAnsi="Times New Roman" w:cs="Times New Roman"/>
                <w:color w:val="000000" w:themeColor="text1"/>
                <w:sz w:val="20"/>
                <w:szCs w:val="20"/>
              </w:rPr>
              <w:t>Organisation</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D5023B4"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6769DF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28836C15"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00506D7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2 — METHODOLOGY</w:t>
            </w:r>
          </w:p>
        </w:tc>
      </w:tr>
      <w:tr w:rsidR="00C845D9" w:rsidRPr="00C845D9" w14:paraId="3768B74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54D627E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2.</w:t>
            </w:r>
          </w:p>
        </w:tc>
        <w:tc>
          <w:tcPr>
            <w:tcW w:w="30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36C60C6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Methodology</w:t>
            </w:r>
          </w:p>
        </w:tc>
        <w:tc>
          <w:tcPr>
            <w:tcW w:w="2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66D6C7C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~2.1</w:t>
            </w:r>
          </w:p>
        </w:tc>
        <w:tc>
          <w:tcPr>
            <w:tcW w:w="22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58BBCB0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1 (PRISMA flow)</w:t>
            </w:r>
          </w:p>
        </w:tc>
      </w:tr>
      <w:tr w:rsidR="00C845D9" w:rsidRPr="00C845D9" w14:paraId="64C57F5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74C735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AF29CB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Review Protocol and Registration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871E6FA"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4B6D2E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44AB3E8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7B433B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7316D1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Eligibility Criteria (PICOS Framework)</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3200BD"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532B2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7624DDF6"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8898B5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B3767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Information Sources and Search Strategy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2D3FE8F"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9D9733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47B7F40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F642B4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lastRenderedPageBreak/>
              <w:t>2.4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0DD989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Study Selection Process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032AEB2"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364A91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Fig. 1 here</w:t>
            </w:r>
          </w:p>
        </w:tc>
      </w:tr>
      <w:tr w:rsidR="00C845D9" w:rsidRPr="00C845D9" w14:paraId="7D1F42BA"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719A97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878D9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Data Extraction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1503685"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D48638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79D73CB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4FD01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2.6</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7EF834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Quality Assessment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A8C5B70"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59CC24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5CF5814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142426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2.7</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5F958B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Data Synthesis Approach</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9CDE16F"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A4E67E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144511D7"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16E6C7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3 — NEURAL SIGNAL MODALITIES</w:t>
            </w:r>
          </w:p>
        </w:tc>
      </w:tr>
      <w:tr w:rsidR="00C845D9" w:rsidRPr="00C845D9" w14:paraId="6C91F69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38CA267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3.</w:t>
            </w:r>
          </w:p>
        </w:tc>
        <w:tc>
          <w:tcPr>
            <w:tcW w:w="30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3E31A5E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Neural Signal Modalities: Landscape and Characteristics</w:t>
            </w:r>
          </w:p>
        </w:tc>
        <w:tc>
          <w:tcPr>
            <w:tcW w:w="22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11B560A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~2.8</w:t>
            </w:r>
          </w:p>
        </w:tc>
        <w:tc>
          <w:tcPr>
            <w:tcW w:w="22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7649140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5, Table 1</w:t>
            </w:r>
          </w:p>
        </w:tc>
      </w:tr>
      <w:tr w:rsidR="00C845D9" w:rsidRPr="00C845D9" w14:paraId="7FAEE19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6AE7CA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EF05B7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Invasive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F10346"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A176C9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Fig. 5 here (study distribution)</w:t>
            </w:r>
          </w:p>
        </w:tc>
      </w:tr>
      <w:tr w:rsidR="00C845D9" w:rsidRPr="00C845D9" w14:paraId="155AF38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310F87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3.1.1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D18668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Electrocorticography (ECoG)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C2375DB"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76D40C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0899683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D3E393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3.1.2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72600B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Intracortical Microelectrode Arrays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7F76C57"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A040DF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20E694E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04006F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3.1.3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56C97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Stereotactic EEG and Depth Electrodes (sEEG)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37B3DB0"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9FA42E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65785C0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8EC3A9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9907B5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Non-Invasive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6D77857"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30780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6C5B2F4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56F9C6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3.2.1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5D04B8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Scalp EEG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2ED41CC"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01EFD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0A1AB073"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131694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3.2.2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FA14C6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Magnetoencephalography (MEG)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9FD8D79"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F292FC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794CA5D1"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CEFE65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3.2.3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A65A5F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Functional MRI (fMRI)</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89E1F87"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52C232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2F3520C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C82344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A1CF45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Hybrid and Emerging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3D6984E"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A9DB4F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121F535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376E7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3.4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D950AC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Modality Comparison Summary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9CBDF7E"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D49C53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Table 1 here</w:t>
            </w:r>
          </w:p>
        </w:tc>
      </w:tr>
      <w:tr w:rsidR="00C845D9" w:rsidRPr="00C845D9" w14:paraId="7F2B2E82"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6CC858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4 — AI ARCHITECTURES AND METHODS</w:t>
            </w:r>
          </w:p>
        </w:tc>
      </w:tr>
      <w:tr w:rsidR="00C845D9" w:rsidRPr="00C845D9" w14:paraId="1D106B94"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36A4205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4.</w:t>
            </w:r>
          </w:p>
        </w:tc>
        <w:tc>
          <w:tcPr>
            <w:tcW w:w="30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5179B83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AI Architectures and Methods</w:t>
            </w:r>
          </w:p>
        </w:tc>
        <w:tc>
          <w:tcPr>
            <w:tcW w:w="22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459C230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~1.5</w:t>
            </w:r>
          </w:p>
        </w:tc>
        <w:tc>
          <w:tcPr>
            <w:tcW w:w="2200" w:type="dxa"/>
            <w:tcBorders>
              <w:top w:val="single" w:sz="1" w:space="0" w:color="DDDDDD"/>
              <w:left w:val="single" w:sz="1" w:space="0" w:color="DDDDDD"/>
              <w:bottom w:val="single" w:sz="1" w:space="0" w:color="DDDDDD"/>
              <w:right w:val="single" w:sz="1" w:space="0" w:color="DDDDDD"/>
            </w:tcBorders>
            <w:shd w:val="clear" w:color="auto" w:fill="EAD1F5"/>
            <w:tcMar>
              <w:top w:w="60" w:type="dxa"/>
              <w:left w:w="100" w:type="dxa"/>
              <w:bottom w:w="60" w:type="dxa"/>
              <w:right w:w="80" w:type="dxa"/>
            </w:tcMar>
          </w:tcPr>
          <w:p w14:paraId="11F91E6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2, Table 3</w:t>
            </w:r>
          </w:p>
        </w:tc>
      </w:tr>
      <w:tr w:rsidR="00C845D9" w:rsidRPr="00C845D9" w14:paraId="327890C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9FBC08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A165BA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Traditional Machine Learning (2015–2018)</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6C7EB1D"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E93AD9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2D6CEC18"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657821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6270EC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Convolutional Neural Networks (2017–2022)</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36F3213"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BE0E2E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6B7E837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6AA0F1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511ABF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Recurrent Networks and LSTM (2018–2023)</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1FDF413"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689473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16EBEAB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F864EA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lastRenderedPageBreak/>
              <w:t>4.4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E85835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Encoder-Decoder Architectures (2019–2022)</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0C6C82"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EAB912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5BFC9A6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3986A2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92E890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Transformer Architecture (2022–present)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94AD5D6"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6FA50D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75855B9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4BD42A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4.6</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BB1FE1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Self-Supervised Learning (2021–present)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66CBB61"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45D2C9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4EC94F2C"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17F14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4.7</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98ED0A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LLM-Integrated Decoding and Foundation Models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6E89867"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2B5E3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6A72FF6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BEF2ED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4.8</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1E5B2F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Architecture Evolution and Key Observations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10AAE5"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E78C6E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Fig. 2 + Table 3 here</w:t>
            </w:r>
          </w:p>
        </w:tc>
      </w:tr>
      <w:tr w:rsidR="00C845D9" w:rsidRPr="00C845D9" w14:paraId="6694A58C"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8BD05C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5 — PERFORMANCE BENCHMARKS</w:t>
            </w:r>
          </w:p>
        </w:tc>
      </w:tr>
      <w:tr w:rsidR="00C845D9" w:rsidRPr="00C845D9" w14:paraId="0D701941"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6F9FD36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5.</w:t>
            </w:r>
          </w:p>
        </w:tc>
        <w:tc>
          <w:tcPr>
            <w:tcW w:w="30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617E3E0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Performance Benchmarks</w:t>
            </w:r>
          </w:p>
        </w:tc>
        <w:tc>
          <w:tcPr>
            <w:tcW w:w="22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431E9F7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~2.3</w:t>
            </w:r>
          </w:p>
        </w:tc>
        <w:tc>
          <w:tcPr>
            <w:tcW w:w="22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08D9251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3, Fig. 4, Table 2, Table 5</w:t>
            </w:r>
          </w:p>
        </w:tc>
      </w:tr>
      <w:tr w:rsidR="00C845D9" w:rsidRPr="00C845D9" w14:paraId="19A3FD01"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08593C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5.1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F83FA5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Setting the Scene: What Progress Actually Looks Like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2881EC"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E0D272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Fig. 3 here</w:t>
            </w:r>
          </w:p>
        </w:tc>
      </w:tr>
      <w:tr w:rsidR="00C845D9" w:rsidRPr="00C845D9" w14:paraId="6C4AA0E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32DD02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5.2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982CC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Invasive System Performance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BF9E339"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C8EC5E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Table 2 here</w:t>
            </w:r>
          </w:p>
        </w:tc>
      </w:tr>
      <w:tr w:rsidR="00C845D9" w:rsidRPr="00C845D9" w14:paraId="75774C4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60BBF6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5.3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BBA5AB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Non-Invasive System Performance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737BE5C"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08E7DA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Fig. 4 here</w:t>
            </w:r>
          </w:p>
        </w:tc>
      </w:tr>
      <w:tr w:rsidR="00C845D9" w:rsidRPr="00C845D9" w14:paraId="0CCF5EC2"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CB62D1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5.4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3ED975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The Language Model Effect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CD49EED"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3E1E9B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2102BB70"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A72ED1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5.5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5FDDF5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Benchmark Comparability: Why the Numbers Cannot Be Compared Directly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76F27D0"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E572A6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Table 5 here</w:t>
            </w:r>
          </w:p>
        </w:tc>
      </w:tr>
      <w:tr w:rsidR="00C845D9" w:rsidRPr="00C845D9" w14:paraId="4CBD9564"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00DD817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6 — GENERALIZATION</w:t>
            </w:r>
          </w:p>
        </w:tc>
      </w:tr>
      <w:tr w:rsidR="00C845D9" w:rsidRPr="00C845D9" w14:paraId="0C1A3C67"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2018F64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6.</w:t>
            </w:r>
          </w:p>
        </w:tc>
        <w:tc>
          <w:tcPr>
            <w:tcW w:w="30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8AC8B4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Generalization Across Participants, Sessions, Languages, and Modalities</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0E69322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~2.1</w:t>
            </w:r>
          </w:p>
        </w:tc>
        <w:tc>
          <w:tcPr>
            <w:tcW w:w="22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4B62E4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6, Table 4</w:t>
            </w:r>
          </w:p>
        </w:tc>
      </w:tr>
      <w:tr w:rsidR="00C845D9" w:rsidRPr="00C845D9" w14:paraId="20614E09"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58BF06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6.1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492164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The Generalization Gap: A Field-Level Finding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6D757D"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941122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Fig. 6 here</w:t>
            </w:r>
          </w:p>
        </w:tc>
      </w:tr>
      <w:tr w:rsidR="00C845D9" w:rsidRPr="00C845D9" w14:paraId="130CEC01"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FB852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6.2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F2F6FB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Cross-Participant Generalization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9DCF3A7"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C7C2E6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Table 4 here</w:t>
            </w:r>
          </w:p>
        </w:tc>
      </w:tr>
      <w:tr w:rsidR="00C845D9" w:rsidRPr="00C845D9" w14:paraId="1E0E7206"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1C699E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6.3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B0A63C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Cross-Session, Cross-Language, and Cross-Modal Evidence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8A343C8"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A6C0BD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60FC087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B3917E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6.4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85632C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What Generalization Actually Requires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DE72243"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71A24A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4D878D5B"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3FDE484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lastRenderedPageBreak/>
              <w:t>SECTION 7 — DISCUSSION</w:t>
            </w:r>
          </w:p>
        </w:tc>
      </w:tr>
      <w:tr w:rsidR="00C845D9" w:rsidRPr="00C845D9" w14:paraId="5642964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6446B36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7.</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75E2E8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Discussion</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32A861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~2.6</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166226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74B25A4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38CA30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7.1</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556E69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What the Evidence Actually Shows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1D9C8D1"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AF99AB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02E4A12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93ED5F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7.2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AA38C7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Three Priority Research Directions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F51B249"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C3185B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00A6685B"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07AB9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7.3</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94F7A5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The Clinical Translation Gap</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914E69E"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1E0303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3D7613D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AFE0B4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7.4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F0380A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Foundation Models: Promising but Not Yet Demonstrated</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46C690A"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E06945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25C2BF1C"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5E4F6F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7.5</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BE2B72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Limitations of This Review</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399E63A" w14:textId="77777777" w:rsidR="00E35EEA" w:rsidRPr="00C845D9" w:rsidRDefault="00E35EEA">
            <w:pPr>
              <w:rPr>
                <w:rFonts w:ascii="Times New Roman" w:hAnsi="Times New Roman" w:cs="Times New Roman"/>
                <w:color w:val="000000" w:themeColor="text1"/>
              </w:rPr>
            </w:pP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22237C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r>
      <w:tr w:rsidR="00C845D9" w:rsidRPr="00C845D9" w14:paraId="65731D73"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3B2A6BB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SECTION 8 — CONCLUSION</w:t>
            </w:r>
          </w:p>
        </w:tc>
      </w:tr>
      <w:tr w:rsidR="00C845D9" w:rsidRPr="00C845D9" w14:paraId="562848BE"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C3DBA0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8.</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716F5B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Conclusion</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6DE20E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~0.9</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12A16EE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36789E35"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627B7D0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BACK MATTER</w:t>
            </w:r>
          </w:p>
        </w:tc>
      </w:tr>
      <w:tr w:rsidR="00C845D9" w:rsidRPr="00C845D9" w14:paraId="7FE05C61"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C5A2C3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References</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A5F5FC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Sequential IEEE-numbered reference list [1]–[n]</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7EAEDD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Not counted</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AB293E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76EDE565"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D44EB2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Appendix A</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37FEF37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 xml:space="preserve">Full PubMed search string with </w:t>
            </w:r>
            <w:proofErr w:type="spellStart"/>
            <w:r w:rsidRPr="00C845D9">
              <w:rPr>
                <w:rFonts w:ascii="Times New Roman" w:hAnsi="Times New Roman" w:cs="Times New Roman"/>
                <w:color w:val="000000" w:themeColor="text1"/>
                <w:sz w:val="20"/>
                <w:szCs w:val="20"/>
              </w:rPr>
              <w:t>MeSH</w:t>
            </w:r>
            <w:proofErr w:type="spellEnd"/>
            <w:r w:rsidRPr="00C845D9">
              <w:rPr>
                <w:rFonts w:ascii="Times New Roman" w:hAnsi="Times New Roman" w:cs="Times New Roman"/>
                <w:color w:val="000000" w:themeColor="text1"/>
                <w:sz w:val="20"/>
                <w:szCs w:val="20"/>
              </w:rPr>
              <w:t xml:space="preserve"> terms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4ACE049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5C92630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46CC3363"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1F865C7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Appendix B</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0094FB3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Complete performance benchmark table (all 71 studies)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6E75841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D58E81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2D78342C" w14:textId="77777777">
        <w:tblPrEx>
          <w:tblCellMar>
            <w:top w:w="0" w:type="dxa"/>
            <w:bottom w:w="0" w:type="dxa"/>
          </w:tblCellMar>
        </w:tblPrEx>
        <w:tc>
          <w:tcPr>
            <w:tcW w:w="58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22DC3AE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Appendix D</w:t>
            </w:r>
          </w:p>
        </w:tc>
        <w:tc>
          <w:tcPr>
            <w:tcW w:w="30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75CD676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Full quality assessment scores (all 71 studies)</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64046A9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0F4FB"/>
            <w:tcMar>
              <w:top w:w="60" w:type="dxa"/>
              <w:left w:w="100" w:type="dxa"/>
              <w:bottom w:w="60" w:type="dxa"/>
              <w:right w:w="80" w:type="dxa"/>
            </w:tcMar>
          </w:tcPr>
          <w:p w14:paraId="187A78C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t>
            </w:r>
          </w:p>
        </w:tc>
      </w:tr>
      <w:tr w:rsidR="00C845D9" w:rsidRPr="00C845D9" w14:paraId="12570ADC" w14:textId="77777777">
        <w:tblPrEx>
          <w:tblCellMar>
            <w:top w:w="0" w:type="dxa"/>
            <w:bottom w:w="0" w:type="dxa"/>
          </w:tblCellMar>
        </w:tblPrEx>
        <w:tc>
          <w:tcPr>
            <w:tcW w:w="13200" w:type="dxa"/>
            <w:gridSpan w:val="4"/>
            <w:tcBorders>
              <w:top w:val="single" w:sz="4" w:space="0" w:color="1F4E79"/>
              <w:left w:val="single" w:sz="1" w:space="0" w:color="DDDDDD"/>
              <w:bottom w:val="single" w:sz="4" w:space="0" w:color="1F4E79"/>
              <w:right w:val="single" w:sz="1" w:space="0" w:color="DDDDDD"/>
            </w:tcBorders>
            <w:shd w:val="clear" w:color="auto" w:fill="1F4E79"/>
            <w:tcMar>
              <w:top w:w="80" w:type="dxa"/>
              <w:left w:w="120" w:type="dxa"/>
              <w:bottom w:w="80" w:type="dxa"/>
              <w:right w:w="80" w:type="dxa"/>
            </w:tcMar>
          </w:tcPr>
          <w:p w14:paraId="7776599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 xml:space="preserve">TOTALS:  ~16.5 estimated pages body text (before formatting to 2-column IEEE </w:t>
            </w:r>
            <w:proofErr w:type="gramStart"/>
            <w:r w:rsidRPr="00C845D9">
              <w:rPr>
                <w:rFonts w:ascii="Times New Roman" w:hAnsi="Times New Roman" w:cs="Times New Roman"/>
                <w:b/>
                <w:bCs/>
                <w:color w:val="000000" w:themeColor="text1"/>
                <w:sz w:val="19"/>
                <w:szCs w:val="19"/>
              </w:rPr>
              <w:t>template)  |</w:t>
            </w:r>
            <w:proofErr w:type="gramEnd"/>
            <w:r w:rsidRPr="00C845D9">
              <w:rPr>
                <w:rFonts w:ascii="Times New Roman" w:hAnsi="Times New Roman" w:cs="Times New Roman"/>
                <w:b/>
                <w:bCs/>
                <w:color w:val="000000" w:themeColor="text1"/>
                <w:sz w:val="19"/>
                <w:szCs w:val="19"/>
              </w:rPr>
              <w:t xml:space="preserve"> 6 </w:t>
            </w:r>
            <w:proofErr w:type="gramStart"/>
            <w:r w:rsidRPr="00C845D9">
              <w:rPr>
                <w:rFonts w:ascii="Times New Roman" w:hAnsi="Times New Roman" w:cs="Times New Roman"/>
                <w:b/>
                <w:bCs/>
                <w:color w:val="000000" w:themeColor="text1"/>
                <w:sz w:val="19"/>
                <w:szCs w:val="19"/>
              </w:rPr>
              <w:t>Figures  |</w:t>
            </w:r>
            <w:proofErr w:type="gramEnd"/>
            <w:r w:rsidRPr="00C845D9">
              <w:rPr>
                <w:rFonts w:ascii="Times New Roman" w:hAnsi="Times New Roman" w:cs="Times New Roman"/>
                <w:b/>
                <w:bCs/>
                <w:color w:val="000000" w:themeColor="text1"/>
                <w:sz w:val="19"/>
                <w:szCs w:val="19"/>
              </w:rPr>
              <w:t xml:space="preserve">  5 </w:t>
            </w:r>
            <w:proofErr w:type="gramStart"/>
            <w:r w:rsidRPr="00C845D9">
              <w:rPr>
                <w:rFonts w:ascii="Times New Roman" w:hAnsi="Times New Roman" w:cs="Times New Roman"/>
                <w:b/>
                <w:bCs/>
                <w:color w:val="000000" w:themeColor="text1"/>
                <w:sz w:val="19"/>
                <w:szCs w:val="19"/>
              </w:rPr>
              <w:t>Tables  |</w:t>
            </w:r>
            <w:proofErr w:type="gramEnd"/>
            <w:r w:rsidRPr="00C845D9">
              <w:rPr>
                <w:rFonts w:ascii="Times New Roman" w:hAnsi="Times New Roman" w:cs="Times New Roman"/>
                <w:b/>
                <w:bCs/>
                <w:color w:val="000000" w:themeColor="text1"/>
                <w:sz w:val="19"/>
                <w:szCs w:val="19"/>
              </w:rPr>
              <w:t xml:space="preserve">  ~10,437 body </w:t>
            </w:r>
            <w:proofErr w:type="gramStart"/>
            <w:r w:rsidRPr="00C845D9">
              <w:rPr>
                <w:rFonts w:ascii="Times New Roman" w:hAnsi="Times New Roman" w:cs="Times New Roman"/>
                <w:b/>
                <w:bCs/>
                <w:color w:val="000000" w:themeColor="text1"/>
                <w:sz w:val="19"/>
                <w:szCs w:val="19"/>
              </w:rPr>
              <w:t>words  |</w:t>
            </w:r>
            <w:proofErr w:type="gramEnd"/>
            <w:r w:rsidRPr="00C845D9">
              <w:rPr>
                <w:rFonts w:ascii="Times New Roman" w:hAnsi="Times New Roman" w:cs="Times New Roman"/>
                <w:b/>
                <w:bCs/>
                <w:color w:val="000000" w:themeColor="text1"/>
                <w:sz w:val="19"/>
                <w:szCs w:val="19"/>
              </w:rPr>
              <w:t xml:space="preserve"> ~95–110 references (to be finalized in sequential numbering pass)</w:t>
            </w:r>
          </w:p>
        </w:tc>
      </w:tr>
    </w:tbl>
    <w:p w14:paraId="30486514" w14:textId="77777777" w:rsidR="00E35EEA" w:rsidRPr="00C845D9" w:rsidRDefault="00000000">
      <w:pPr>
        <w:spacing w:before="400" w:after="160"/>
        <w:rPr>
          <w:rFonts w:ascii="Times New Roman" w:hAnsi="Times New Roman" w:cs="Times New Roman"/>
          <w:color w:val="000000" w:themeColor="text1"/>
        </w:rPr>
      </w:pPr>
      <w:r w:rsidRPr="00C845D9">
        <w:rPr>
          <w:rFonts w:ascii="Times New Roman" w:hAnsi="Times New Roman" w:cs="Times New Roman"/>
          <w:b/>
          <w:bCs/>
          <w:color w:val="000000" w:themeColor="text1"/>
        </w:rPr>
        <w:t>FIGURE AND TABLE PLACEMENT GUIDE</w:t>
      </w:r>
    </w:p>
    <w:p w14:paraId="645A6ADC" w14:textId="77777777" w:rsidR="00E35EEA" w:rsidRPr="00C845D9" w:rsidRDefault="00000000">
      <w:pPr>
        <w:spacing w:after="200"/>
        <w:rPr>
          <w:rFonts w:ascii="Times New Roman" w:hAnsi="Times New Roman" w:cs="Times New Roman"/>
          <w:color w:val="000000" w:themeColor="text1"/>
        </w:rPr>
      </w:pPr>
      <w:r w:rsidRPr="00C845D9">
        <w:rPr>
          <w:rFonts w:ascii="Times New Roman" w:hAnsi="Times New Roman" w:cs="Times New Roman"/>
          <w:i/>
          <w:iCs/>
          <w:color w:val="000000" w:themeColor="text1"/>
          <w:sz w:val="18"/>
          <w:szCs w:val="18"/>
        </w:rPr>
        <w:t>IEEE TNSRE requirement: figures and tables must be interspersed within the text, numbered sequentially in order of first citation, with detailed legends. The table below specifies the exact section and paragraph after which each item should appear.</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4200"/>
        <w:gridCol w:w="2400"/>
      </w:tblGrid>
      <w:tr w:rsidR="00C845D9" w:rsidRPr="00C845D9" w14:paraId="0D60A805" w14:textId="77777777">
        <w:tblPrEx>
          <w:tblCellMar>
            <w:top w:w="0" w:type="dxa"/>
            <w:bottom w:w="0" w:type="dxa"/>
          </w:tblCellMar>
        </w:tblPrEx>
        <w:trPr>
          <w:tblHeader/>
        </w:trPr>
        <w:tc>
          <w:tcPr>
            <w:tcW w:w="1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7BC2556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Item</w:t>
            </w:r>
          </w:p>
        </w:tc>
        <w:tc>
          <w:tcPr>
            <w:tcW w:w="4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69536EA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Title</w:t>
            </w:r>
          </w:p>
        </w:tc>
        <w:tc>
          <w:tcPr>
            <w:tcW w:w="42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40C9619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Placement — insert AFTER this paragraph</w:t>
            </w:r>
          </w:p>
        </w:tc>
        <w:tc>
          <w:tcPr>
            <w:tcW w:w="24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08B11AE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Status</w:t>
            </w:r>
          </w:p>
        </w:tc>
      </w:tr>
      <w:tr w:rsidR="00C845D9" w:rsidRPr="00C845D9" w14:paraId="21F329B0" w14:textId="77777777">
        <w:tblPrEx>
          <w:tblCellMar>
            <w:top w:w="0" w:type="dxa"/>
            <w:bottom w:w="0" w:type="dxa"/>
          </w:tblCellMar>
        </w:tblPrEx>
        <w:tc>
          <w:tcPr>
            <w:tcW w:w="126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501A747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FIGURES</w:t>
            </w:r>
          </w:p>
        </w:tc>
      </w:tr>
      <w:tr w:rsidR="00C845D9" w:rsidRPr="00C845D9" w14:paraId="142CB48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089315B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1</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DB4B99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PRISMA 2020 Flow Diagram</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6941955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2.4 — after paragraph ending '…documented in the PRISMA 2020 flow diagram (Fig. 1).'</w:t>
            </w:r>
          </w:p>
        </w:tc>
        <w:tc>
          <w:tcPr>
            <w:tcW w:w="24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140B64F5"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Pending — needs April 13th search numbers</w:t>
            </w:r>
          </w:p>
        </w:tc>
      </w:tr>
      <w:tr w:rsidR="00C845D9" w:rsidRPr="00C845D9" w14:paraId="7C26BE3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1215F78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lastRenderedPageBreak/>
              <w:t>Fig. 2</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FC6E6F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AI Architecture Evolution Timeline (2015–2026)</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3C986109"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4.8 — after paragraph ending '…80% of the literature currently operating without it.'</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3CCF6A1D"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PNG + SVG + PPTX + XLSX</w:t>
            </w:r>
          </w:p>
        </w:tc>
      </w:tr>
      <w:tr w:rsidR="00C845D9" w:rsidRPr="00C845D9" w14:paraId="30CE68B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55B279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3</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0B3C0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WER Performance Trajectory (Invasive Systems)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5B09ABF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5.1 — after paragraph ending '…one of the most compelling trend lines in modern biomedical engineering.'</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1D17B02D"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PNG + SVG + PPTX + XLSX</w:t>
            </w:r>
          </w:p>
        </w:tc>
      </w:tr>
      <w:tr w:rsidR="00C845D9" w:rsidRPr="00C845D9" w14:paraId="1FB3EEA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7994216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4</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2D3307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Modality × Task Performance Heatmap</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3AF7CF7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5.3 — after paragraph ending '…the lowest character error rate of any non-invasive approach in this review.'</w:t>
            </w:r>
          </w:p>
        </w:tc>
        <w:tc>
          <w:tcPr>
            <w:tcW w:w="24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4FDE56C7"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Pending — needs 30-min synthesis pass</w:t>
            </w:r>
          </w:p>
        </w:tc>
      </w:tr>
      <w:tr w:rsidR="00C845D9" w:rsidRPr="00C845D9" w14:paraId="13F05CD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54D6644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5</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FD14D0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Study Distribution Chart (71 studies by year / modality)</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5B842A6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3 — at the start of §3.1, after introductory paragraph ending '…Table 1.'</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785C9C98"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PNG + SVG + PPTX + XLSX</w:t>
            </w:r>
          </w:p>
        </w:tc>
      </w:tr>
      <w:tr w:rsidR="00C845D9" w:rsidRPr="00C845D9" w14:paraId="26E5752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EEAF1"/>
            <w:tcMar>
              <w:top w:w="60" w:type="dxa"/>
              <w:left w:w="100" w:type="dxa"/>
              <w:bottom w:w="60" w:type="dxa"/>
              <w:right w:w="80" w:type="dxa"/>
            </w:tcMar>
          </w:tcPr>
          <w:p w14:paraId="07278ED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Fig. 6</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39F679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Generalization Evidence Map (21 studies × 4 generalization types)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65558FA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6.1 — after paragraph with bold sentence '40 — 56% — demonstrate no generalization…'</w:t>
            </w:r>
          </w:p>
        </w:tc>
        <w:tc>
          <w:tcPr>
            <w:tcW w:w="2400" w:type="dxa"/>
            <w:tcBorders>
              <w:top w:val="single" w:sz="1" w:space="0" w:color="DDDDDD"/>
              <w:left w:val="single" w:sz="1" w:space="0" w:color="DDDDDD"/>
              <w:bottom w:val="single" w:sz="1" w:space="0" w:color="DDDDDD"/>
              <w:right w:val="single" w:sz="1" w:space="0" w:color="DDDDDD"/>
            </w:tcBorders>
            <w:shd w:val="clear" w:color="auto" w:fill="FFF2CC"/>
            <w:tcMar>
              <w:top w:w="60" w:type="dxa"/>
              <w:left w:w="100" w:type="dxa"/>
              <w:bottom w:w="60" w:type="dxa"/>
              <w:right w:w="80" w:type="dxa"/>
            </w:tcMar>
          </w:tcPr>
          <w:p w14:paraId="1E75C3CE"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Pending — ready to build</w:t>
            </w:r>
          </w:p>
        </w:tc>
      </w:tr>
      <w:tr w:rsidR="00C845D9" w:rsidRPr="00C845D9" w14:paraId="70D9A769" w14:textId="77777777">
        <w:tblPrEx>
          <w:tblCellMar>
            <w:top w:w="0" w:type="dxa"/>
            <w:bottom w:w="0" w:type="dxa"/>
          </w:tblCellMar>
        </w:tblPrEx>
        <w:tc>
          <w:tcPr>
            <w:tcW w:w="12600" w:type="dxa"/>
            <w:gridSpan w:val="4"/>
            <w:tcBorders>
              <w:top w:val="single" w:sz="4" w:space="0" w:color="1F4E79"/>
              <w:left w:val="single" w:sz="1" w:space="0" w:color="DDDDDD"/>
              <w:bottom w:val="single" w:sz="4" w:space="0" w:color="1F4E79"/>
              <w:right w:val="single" w:sz="1" w:space="0" w:color="DDDDDD"/>
            </w:tcBorders>
            <w:shd w:val="clear" w:color="auto" w:fill="2E75B6"/>
            <w:tcMar>
              <w:top w:w="50" w:type="dxa"/>
              <w:left w:w="120" w:type="dxa"/>
              <w:bottom w:w="50" w:type="dxa"/>
              <w:right w:w="80" w:type="dxa"/>
            </w:tcMar>
          </w:tcPr>
          <w:p w14:paraId="4BCC1F4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TABLES</w:t>
            </w:r>
          </w:p>
        </w:tc>
      </w:tr>
      <w:tr w:rsidR="00C845D9" w:rsidRPr="00C845D9" w14:paraId="21EE3AE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68F84A3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Table 1</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843655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Modality Comparison Matrix (8 modality groups × 9 characteristics)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6C927F4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3.4 — after opening sentence 'Table 1 presents a structured technical and performance comparison…'</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4B29E976"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Word docx</w:t>
            </w:r>
          </w:p>
        </w:tc>
      </w:tr>
      <w:tr w:rsidR="00C845D9" w:rsidRPr="00C845D9" w14:paraId="7CC1311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4B5633A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Table 2</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508DDB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Core Performance Benchmarks (28 key studies × 10 variables)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002FABD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5.2 — after opening sentence 'Invasive systems dominate the upper performance range…'</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3FDF8369"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Word docx</w:t>
            </w:r>
          </w:p>
        </w:tc>
      </w:tr>
      <w:tr w:rsidR="00C845D9" w:rsidRPr="00C845D9" w14:paraId="5269E14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1A85B87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Table 3</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170391F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AI Architecture Summary (8 architecture classes × 7 dimensions)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7F03828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4.8 — after opening sentence 'Fig. 2 illustrates the chronological transition…'</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44B4428C"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Word docx</w:t>
            </w:r>
          </w:p>
        </w:tc>
      </w:tr>
      <w:tr w:rsidR="00C845D9" w:rsidRPr="00C845D9" w14:paraId="70D6958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42F45AA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Table 4</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345934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Generalization Evidence Summary (21 studies × 4 generalization types)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0F30CF6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6.2 — after opening sentence 'Eighteen of the 71 included studies provide some evidence…'</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5E90B758"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Word docx</w:t>
            </w:r>
          </w:p>
        </w:tc>
      </w:tr>
      <w:tr w:rsidR="00C845D9" w:rsidRPr="00C845D9" w14:paraId="33D8CEB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CE4D6"/>
            <w:tcMar>
              <w:top w:w="60" w:type="dxa"/>
              <w:left w:w="100" w:type="dxa"/>
              <w:bottom w:w="60" w:type="dxa"/>
              <w:right w:w="80" w:type="dxa"/>
            </w:tcMar>
          </w:tcPr>
          <w:p w14:paraId="7332CE0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20"/>
                <w:szCs w:val="20"/>
              </w:rPr>
              <w:t>Table 5</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F16E417"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20"/>
                <w:szCs w:val="20"/>
              </w:rPr>
              <w:t>Benchmark Comparability Analysis (8 dimensions)</w:t>
            </w:r>
          </w:p>
        </w:tc>
        <w:tc>
          <w:tcPr>
            <w:tcW w:w="42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00" w:type="dxa"/>
              <w:bottom w:w="60" w:type="dxa"/>
              <w:right w:w="80" w:type="dxa"/>
            </w:tcMar>
          </w:tcPr>
          <w:p w14:paraId="2C3948C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Section 5.5 — after opening sentence 'Table 5 documents eight dimensions that limit cross-study comparison…'</w:t>
            </w:r>
          </w:p>
        </w:tc>
        <w:tc>
          <w:tcPr>
            <w:tcW w:w="2400" w:type="dxa"/>
            <w:tcBorders>
              <w:top w:val="single" w:sz="1" w:space="0" w:color="DDDDDD"/>
              <w:left w:val="single" w:sz="1" w:space="0" w:color="DDDDDD"/>
              <w:bottom w:val="single" w:sz="1" w:space="0" w:color="DDDDDD"/>
              <w:right w:val="single" w:sz="1" w:space="0" w:color="DDDDDD"/>
            </w:tcBorders>
            <w:shd w:val="clear" w:color="auto" w:fill="E2EFDA"/>
            <w:tcMar>
              <w:top w:w="60" w:type="dxa"/>
              <w:left w:w="100" w:type="dxa"/>
              <w:bottom w:w="60" w:type="dxa"/>
              <w:right w:w="80" w:type="dxa"/>
            </w:tcMar>
          </w:tcPr>
          <w:p w14:paraId="2CAAE9D1" w14:textId="77777777" w:rsidR="00E35EEA" w:rsidRPr="00C845D9" w:rsidRDefault="00000000">
            <w:pPr>
              <w:rPr>
                <w:rFonts w:ascii="Times New Roman" w:hAnsi="Times New Roman" w:cs="Times New Roman"/>
                <w:color w:val="000000" w:themeColor="text1"/>
              </w:rPr>
            </w:pPr>
            <w:r w:rsidRPr="00C845D9">
              <w:rPr>
                <w:rFonts w:ascii="Apple Color Emoji" w:hAnsi="Apple Color Emoji" w:cs="Apple Color Emoji"/>
                <w:color w:val="000000" w:themeColor="text1"/>
                <w:sz w:val="18"/>
                <w:szCs w:val="18"/>
              </w:rPr>
              <w:t>✅</w:t>
            </w:r>
            <w:r w:rsidRPr="00C845D9">
              <w:rPr>
                <w:rFonts w:ascii="Times New Roman" w:hAnsi="Times New Roman" w:cs="Times New Roman"/>
                <w:color w:val="000000" w:themeColor="text1"/>
                <w:sz w:val="18"/>
                <w:szCs w:val="18"/>
              </w:rPr>
              <w:t xml:space="preserve"> Built — Word docx</w:t>
            </w:r>
          </w:p>
        </w:tc>
      </w:tr>
    </w:tbl>
    <w:p w14:paraId="1F80245E" w14:textId="77777777" w:rsidR="00E35EEA" w:rsidRPr="00C845D9" w:rsidRDefault="00000000">
      <w:pPr>
        <w:spacing w:before="400" w:after="160"/>
        <w:rPr>
          <w:rFonts w:ascii="Times New Roman" w:hAnsi="Times New Roman" w:cs="Times New Roman"/>
          <w:color w:val="000000" w:themeColor="text1"/>
        </w:rPr>
      </w:pPr>
      <w:r w:rsidRPr="00C845D9">
        <w:rPr>
          <w:rFonts w:ascii="Times New Roman" w:hAnsi="Times New Roman" w:cs="Times New Roman"/>
          <w:b/>
          <w:bCs/>
          <w:color w:val="000000" w:themeColor="text1"/>
        </w:rPr>
        <w:t>CURRENT DELIVERABLE STATUS</w:t>
      </w:r>
    </w:p>
    <w:tbl>
      <w:tblPr>
        <w:tblW w:w="1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2865"/>
        <w:gridCol w:w="2865"/>
        <w:gridCol w:w="2164"/>
        <w:gridCol w:w="1637"/>
      </w:tblGrid>
      <w:tr w:rsidR="00C845D9" w:rsidRPr="00C845D9" w14:paraId="5E7E8C8F" w14:textId="77777777">
        <w:tblPrEx>
          <w:tblCellMar>
            <w:top w:w="0" w:type="dxa"/>
            <w:bottom w:w="0" w:type="dxa"/>
          </w:tblCellMar>
        </w:tblPrEx>
        <w:trPr>
          <w:tblHeader/>
        </w:trPr>
        <w:tc>
          <w:tcPr>
            <w:tcW w:w="30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11FFFFB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Category</w:t>
            </w:r>
          </w:p>
        </w:tc>
        <w:tc>
          <w:tcPr>
            <w:tcW w:w="2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2501F9F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Items complete</w:t>
            </w:r>
          </w:p>
        </w:tc>
        <w:tc>
          <w:tcPr>
            <w:tcW w:w="28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57DEE3C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Items pending</w:t>
            </w:r>
          </w:p>
        </w:tc>
        <w:tc>
          <w:tcPr>
            <w:tcW w:w="20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1CD41BF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Raw files provided</w:t>
            </w:r>
          </w:p>
        </w:tc>
        <w:tc>
          <w:tcPr>
            <w:tcW w:w="1600" w:type="dxa"/>
            <w:tcBorders>
              <w:top w:val="single" w:sz="4" w:space="0" w:color="1F4E79"/>
              <w:left w:val="single" w:sz="1" w:space="0" w:color="DDDDDD"/>
              <w:bottom w:val="single" w:sz="4" w:space="0" w:color="1F4E79"/>
              <w:right w:val="single" w:sz="1" w:space="0" w:color="DDDDDD"/>
            </w:tcBorders>
            <w:shd w:val="clear" w:color="auto" w:fill="1F4E79"/>
            <w:tcMar>
              <w:top w:w="70" w:type="dxa"/>
              <w:left w:w="100" w:type="dxa"/>
              <w:bottom w:w="70" w:type="dxa"/>
              <w:right w:w="80" w:type="dxa"/>
            </w:tcMar>
          </w:tcPr>
          <w:p w14:paraId="1042673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b/>
                <w:bCs/>
                <w:color w:val="000000" w:themeColor="text1"/>
                <w:sz w:val="19"/>
                <w:szCs w:val="19"/>
              </w:rPr>
              <w:t>Notes</w:t>
            </w:r>
          </w:p>
        </w:tc>
      </w:tr>
      <w:tr w:rsidR="00C845D9" w:rsidRPr="00C845D9" w14:paraId="001C02D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7E3332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Paper sections (1–8)</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22E138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xml:space="preserve">8 / 8 </w:t>
            </w:r>
            <w:r w:rsidRPr="00C845D9">
              <w:rPr>
                <w:rFonts w:ascii="Apple Color Emoji" w:hAnsi="Apple Color Emoji" w:cs="Apple Color Emoji"/>
                <w:color w:val="000000" w:themeColor="text1"/>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CB0940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7D2CF81C"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Word docx (each section)</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137434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Trimmed S1–S3; S4–S8 on budget</w:t>
            </w:r>
          </w:p>
        </w:tc>
      </w:tr>
      <w:tr w:rsidR="00C845D9" w:rsidRPr="00C845D9" w14:paraId="71D7E28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4DA586A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Abstract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622AEC36"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xml:space="preserve">1 / 1 </w:t>
            </w:r>
            <w:r w:rsidRPr="00C845D9">
              <w:rPr>
                <w:rFonts w:ascii="Apple Color Emoji" w:hAnsi="Apple Color Emoji" w:cs="Apple Color Emoji"/>
                <w:color w:val="000000" w:themeColor="text1"/>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23B4C968"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699F62EF"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Word docx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22A367F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266 words — ~16 over limit; trim 1 sentence</w:t>
            </w:r>
          </w:p>
        </w:tc>
      </w:tr>
      <w:tr w:rsidR="00C845D9" w:rsidRPr="00C845D9" w14:paraId="7ACD68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219CAD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lastRenderedPageBreak/>
              <w:t>Tables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287F26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xml:space="preserve">5 / 5 </w:t>
            </w:r>
            <w:r w:rsidRPr="00C845D9">
              <w:rPr>
                <w:rFonts w:ascii="Apple Color Emoji" w:hAnsi="Apple Color Emoji" w:cs="Apple Color Emoji"/>
                <w:color w:val="000000" w:themeColor="text1"/>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46C024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EA08E5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Word docx (each table)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080DDE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All landscape, color-coded, IEEE format</w:t>
            </w:r>
          </w:p>
        </w:tc>
      </w:tr>
      <w:tr w:rsidR="00C845D9" w:rsidRPr="00C845D9" w14:paraId="378BDC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35315C5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Figures — built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41B145F5"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xml:space="preserve">3 / 6 </w:t>
            </w:r>
            <w:r w:rsidRPr="00C845D9">
              <w:rPr>
                <w:rFonts w:ascii="Apple Color Emoji" w:hAnsi="Apple Color Emoji" w:cs="Apple Color Emoji"/>
                <w:color w:val="000000" w:themeColor="text1"/>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48D5B09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3 pending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48E4F3A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PNG+SVG+PPTX+XLSX each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126493E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Fig. 2,3,5 complete</w:t>
            </w:r>
          </w:p>
        </w:tc>
      </w:tr>
      <w:tr w:rsidR="00C845D9" w:rsidRPr="00C845D9" w14:paraId="1CF2F4C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BA113BD"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Figures — pending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D7EE68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485F34C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Fig. 1, 4, 6</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07782DF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888A371"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Fig.1 needs search counts; Fig.4 needs synthesis; Fig.6 ready to build</w:t>
            </w:r>
          </w:p>
        </w:tc>
      </w:tr>
      <w:tr w:rsidR="00C845D9" w:rsidRPr="00C845D9" w14:paraId="68EF0E8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2FA632A4"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Data extraction register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15F19313"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 xml:space="preserve">1 </w:t>
            </w:r>
            <w:r w:rsidRPr="00C845D9">
              <w:rPr>
                <w:rFonts w:ascii="Apple Color Emoji" w:hAnsi="Apple Color Emoji" w:cs="Apple Color Emoji"/>
                <w:color w:val="000000" w:themeColor="text1"/>
                <w:sz w:val="18"/>
                <w:szCs w:val="18"/>
              </w:rPr>
              <w: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6FA3FD0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012F713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Excel (3 sheets)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80" w:type="dxa"/>
            </w:tcMar>
          </w:tcPr>
          <w:p w14:paraId="14179D0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v2 corrected, 71 studies</w:t>
            </w:r>
          </w:p>
        </w:tc>
      </w:tr>
      <w:tr w:rsidR="00C845D9" w:rsidRPr="00C845D9" w14:paraId="6A0C031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60D03E2"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Reference numbering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2C5AC520"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Pending</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3149362A"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Final pass only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60AFC56B"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80" w:type="dxa"/>
            </w:tcMar>
          </w:tcPr>
          <w:p w14:paraId="523583BE" w14:textId="77777777" w:rsidR="00E35EEA" w:rsidRPr="00C845D9" w:rsidRDefault="00000000">
            <w:pPr>
              <w:rPr>
                <w:rFonts w:ascii="Times New Roman" w:hAnsi="Times New Roman" w:cs="Times New Roman"/>
                <w:color w:val="000000" w:themeColor="text1"/>
              </w:rPr>
            </w:pPr>
            <w:r w:rsidRPr="00C845D9">
              <w:rPr>
                <w:rFonts w:ascii="Times New Roman" w:hAnsi="Times New Roman" w:cs="Times New Roman"/>
                <w:color w:val="000000" w:themeColor="text1"/>
                <w:sz w:val="18"/>
                <w:szCs w:val="18"/>
              </w:rPr>
              <w:t>Sequential [n] assigned after all sections assembled</w:t>
            </w:r>
          </w:p>
        </w:tc>
      </w:tr>
    </w:tbl>
    <w:p w14:paraId="69E0495F" w14:textId="77777777" w:rsidR="00E35EEA" w:rsidRPr="00C845D9" w:rsidRDefault="00000000">
      <w:pPr>
        <w:spacing w:before="200"/>
        <w:rPr>
          <w:rFonts w:ascii="Times New Roman" w:hAnsi="Times New Roman" w:cs="Times New Roman"/>
          <w:color w:val="000000" w:themeColor="text1"/>
        </w:rPr>
      </w:pPr>
      <w:r w:rsidRPr="00C845D9">
        <w:rPr>
          <w:rFonts w:ascii="Times New Roman" w:hAnsi="Times New Roman" w:cs="Times New Roman"/>
          <w:i/>
          <w:iCs/>
          <w:color w:val="000000" w:themeColor="text1"/>
          <w:sz w:val="17"/>
          <w:szCs w:val="17"/>
        </w:rPr>
        <w:t xml:space="preserve">Next steps: (1) Build Fig. 6 — Generalization Evidence </w:t>
      </w:r>
      <w:proofErr w:type="gramStart"/>
      <w:r w:rsidRPr="00C845D9">
        <w:rPr>
          <w:rFonts w:ascii="Times New Roman" w:hAnsi="Times New Roman" w:cs="Times New Roman"/>
          <w:i/>
          <w:iCs/>
          <w:color w:val="000000" w:themeColor="text1"/>
          <w:sz w:val="17"/>
          <w:szCs w:val="17"/>
        </w:rPr>
        <w:t>Map  |</w:t>
      </w:r>
      <w:proofErr w:type="gramEnd"/>
      <w:r w:rsidRPr="00C845D9">
        <w:rPr>
          <w:rFonts w:ascii="Times New Roman" w:hAnsi="Times New Roman" w:cs="Times New Roman"/>
          <w:i/>
          <w:iCs/>
          <w:color w:val="000000" w:themeColor="text1"/>
          <w:sz w:val="17"/>
          <w:szCs w:val="17"/>
        </w:rPr>
        <w:t xml:space="preserve">  (2) Synthesis pass for Fig. 4 — </w:t>
      </w:r>
      <w:proofErr w:type="spellStart"/>
      <w:r w:rsidRPr="00C845D9">
        <w:rPr>
          <w:rFonts w:ascii="Times New Roman" w:hAnsi="Times New Roman" w:cs="Times New Roman"/>
          <w:i/>
          <w:iCs/>
          <w:color w:val="000000" w:themeColor="text1"/>
          <w:sz w:val="17"/>
          <w:szCs w:val="17"/>
        </w:rPr>
        <w:t>Modality×Task</w:t>
      </w:r>
      <w:proofErr w:type="spellEnd"/>
      <w:r w:rsidRPr="00C845D9">
        <w:rPr>
          <w:rFonts w:ascii="Times New Roman" w:hAnsi="Times New Roman" w:cs="Times New Roman"/>
          <w:i/>
          <w:iCs/>
          <w:color w:val="000000" w:themeColor="text1"/>
          <w:sz w:val="17"/>
          <w:szCs w:val="17"/>
        </w:rPr>
        <w:t xml:space="preserve"> </w:t>
      </w:r>
      <w:proofErr w:type="gramStart"/>
      <w:r w:rsidRPr="00C845D9">
        <w:rPr>
          <w:rFonts w:ascii="Times New Roman" w:hAnsi="Times New Roman" w:cs="Times New Roman"/>
          <w:i/>
          <w:iCs/>
          <w:color w:val="000000" w:themeColor="text1"/>
          <w:sz w:val="17"/>
          <w:szCs w:val="17"/>
        </w:rPr>
        <w:t>Heatmap  |</w:t>
      </w:r>
      <w:proofErr w:type="gramEnd"/>
      <w:r w:rsidRPr="00C845D9">
        <w:rPr>
          <w:rFonts w:ascii="Times New Roman" w:hAnsi="Times New Roman" w:cs="Times New Roman"/>
          <w:i/>
          <w:iCs/>
          <w:color w:val="000000" w:themeColor="text1"/>
          <w:sz w:val="17"/>
          <w:szCs w:val="17"/>
        </w:rPr>
        <w:t xml:space="preserve">  (3) Obtain April 13th search record counts for Fig. 1 PRISMA </w:t>
      </w:r>
      <w:proofErr w:type="gramStart"/>
      <w:r w:rsidRPr="00C845D9">
        <w:rPr>
          <w:rFonts w:ascii="Times New Roman" w:hAnsi="Times New Roman" w:cs="Times New Roman"/>
          <w:i/>
          <w:iCs/>
          <w:color w:val="000000" w:themeColor="text1"/>
          <w:sz w:val="17"/>
          <w:szCs w:val="17"/>
        </w:rPr>
        <w:t>flow  |</w:t>
      </w:r>
      <w:proofErr w:type="gramEnd"/>
      <w:r w:rsidRPr="00C845D9">
        <w:rPr>
          <w:rFonts w:ascii="Times New Roman" w:hAnsi="Times New Roman" w:cs="Times New Roman"/>
          <w:i/>
          <w:iCs/>
          <w:color w:val="000000" w:themeColor="text1"/>
          <w:sz w:val="17"/>
          <w:szCs w:val="17"/>
        </w:rPr>
        <w:t xml:space="preserve">  (4) Final sequential reference numbering </w:t>
      </w:r>
      <w:proofErr w:type="gramStart"/>
      <w:r w:rsidRPr="00C845D9">
        <w:rPr>
          <w:rFonts w:ascii="Times New Roman" w:hAnsi="Times New Roman" w:cs="Times New Roman"/>
          <w:i/>
          <w:iCs/>
          <w:color w:val="000000" w:themeColor="text1"/>
          <w:sz w:val="17"/>
          <w:szCs w:val="17"/>
        </w:rPr>
        <w:t>pass  |</w:t>
      </w:r>
      <w:proofErr w:type="gramEnd"/>
      <w:r w:rsidRPr="00C845D9">
        <w:rPr>
          <w:rFonts w:ascii="Times New Roman" w:hAnsi="Times New Roman" w:cs="Times New Roman"/>
          <w:i/>
          <w:iCs/>
          <w:color w:val="000000" w:themeColor="text1"/>
          <w:sz w:val="17"/>
          <w:szCs w:val="17"/>
        </w:rPr>
        <w:t xml:space="preserve">  (5) Assemble complete manuscript in single Word </w:t>
      </w:r>
      <w:proofErr w:type="gramStart"/>
      <w:r w:rsidRPr="00C845D9">
        <w:rPr>
          <w:rFonts w:ascii="Times New Roman" w:hAnsi="Times New Roman" w:cs="Times New Roman"/>
          <w:i/>
          <w:iCs/>
          <w:color w:val="000000" w:themeColor="text1"/>
          <w:sz w:val="17"/>
          <w:szCs w:val="17"/>
        </w:rPr>
        <w:t>document  |</w:t>
      </w:r>
      <w:proofErr w:type="gramEnd"/>
      <w:r w:rsidRPr="00C845D9">
        <w:rPr>
          <w:rFonts w:ascii="Times New Roman" w:hAnsi="Times New Roman" w:cs="Times New Roman"/>
          <w:i/>
          <w:iCs/>
          <w:color w:val="000000" w:themeColor="text1"/>
          <w:sz w:val="17"/>
          <w:szCs w:val="17"/>
        </w:rPr>
        <w:t xml:space="preserve">  (6) Final page count check against IEEE TNSRE 12-page limit</w:t>
      </w:r>
    </w:p>
    <w:sectPr w:rsidR="00E35EEA" w:rsidRPr="00C845D9">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970A6" w14:textId="77777777" w:rsidR="00E94272" w:rsidRDefault="00E94272">
      <w:r>
        <w:separator/>
      </w:r>
    </w:p>
  </w:endnote>
  <w:endnote w:type="continuationSeparator" w:id="0">
    <w:p w14:paraId="4310553A" w14:textId="77777777" w:rsidR="00E94272" w:rsidRDefault="00E94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1838" w14:textId="77777777" w:rsidR="00E35EEA" w:rsidRDefault="00000000">
    <w:pPr>
      <w:pBdr>
        <w:top w:val="single" w:sz="4" w:space="1" w:color="2E75B6"/>
      </w:pBdr>
      <w:tabs>
        <w:tab w:val="right" w:pos="9026"/>
      </w:tabs>
      <w:spacing w:before="80"/>
    </w:pPr>
    <w:r>
      <w:rPr>
        <w:color w:val="595959"/>
        <w:sz w:val="17"/>
        <w:szCs w:val="17"/>
      </w:rPr>
      <w:t xml:space="preserve">Adeika &amp; </w:t>
    </w:r>
    <w:proofErr w:type="gramStart"/>
    <w:r>
      <w:rPr>
        <w:color w:val="595959"/>
        <w:sz w:val="17"/>
        <w:szCs w:val="17"/>
      </w:rPr>
      <w:t>Osuagwu  |</w:t>
    </w:r>
    <w:proofErr w:type="gramEnd"/>
    <w:r>
      <w:rPr>
        <w:color w:val="595959"/>
        <w:sz w:val="17"/>
        <w:szCs w:val="17"/>
      </w:rPr>
      <w:t xml:space="preserve">  Morgan State </w:t>
    </w:r>
    <w:proofErr w:type="gramStart"/>
    <w:r>
      <w:rPr>
        <w:color w:val="595959"/>
        <w:sz w:val="17"/>
        <w:szCs w:val="17"/>
      </w:rPr>
      <w:t>University  |</w:t>
    </w:r>
    <w:proofErr w:type="gramEnd"/>
    <w:r>
      <w:rPr>
        <w:color w:val="595959"/>
        <w:sz w:val="17"/>
        <w:szCs w:val="17"/>
      </w:rPr>
      <w:t xml:space="preserve">  IEEE TNSRE Systematic Review</w:t>
    </w:r>
    <w:r>
      <w:rPr>
        <w:color w:val="595959"/>
        <w:sz w:val="17"/>
        <w:szCs w:val="17"/>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79BB" w14:textId="77777777" w:rsidR="00E94272" w:rsidRDefault="00E94272">
      <w:r>
        <w:separator/>
      </w:r>
    </w:p>
  </w:footnote>
  <w:footnote w:type="continuationSeparator" w:id="0">
    <w:p w14:paraId="375D5932" w14:textId="77777777" w:rsidR="00E94272" w:rsidRDefault="00E94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8336" w14:textId="77777777" w:rsidR="00E35EEA" w:rsidRDefault="00000000">
    <w:pPr>
      <w:pBdr>
        <w:bottom w:val="single" w:sz="4" w:space="1" w:color="2E75B6"/>
      </w:pBdr>
      <w:tabs>
        <w:tab w:val="right" w:pos="9026"/>
      </w:tabs>
      <w:spacing w:after="80"/>
    </w:pPr>
    <w:r>
      <w:rPr>
        <w:color w:val="595959"/>
        <w:sz w:val="17"/>
        <w:szCs w:val="17"/>
      </w:rPr>
      <w:t xml:space="preserve">AI for Brain-to-Speech </w:t>
    </w:r>
    <w:proofErr w:type="gramStart"/>
    <w:r>
      <w:rPr>
        <w:color w:val="595959"/>
        <w:sz w:val="17"/>
        <w:szCs w:val="17"/>
      </w:rPr>
      <w:t>Decoding  |</w:t>
    </w:r>
    <w:proofErr w:type="gramEnd"/>
    <w:r>
      <w:rPr>
        <w:color w:val="595959"/>
        <w:sz w:val="17"/>
        <w:szCs w:val="17"/>
      </w:rPr>
      <w:t xml:space="preserve">  Table of Contents &amp; Figure/Table Placement Guide</w:t>
    </w:r>
    <w:r>
      <w:rPr>
        <w:color w:val="595959"/>
        <w:sz w:val="17"/>
        <w:szCs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3280A"/>
    <w:multiLevelType w:val="hybridMultilevel"/>
    <w:tmpl w:val="7BA2909C"/>
    <w:lvl w:ilvl="0" w:tplc="4D30AA34">
      <w:start w:val="1"/>
      <w:numFmt w:val="bullet"/>
      <w:lvlText w:val="●"/>
      <w:lvlJc w:val="left"/>
      <w:pPr>
        <w:ind w:left="720" w:hanging="360"/>
      </w:pPr>
    </w:lvl>
    <w:lvl w:ilvl="1" w:tplc="2D187006">
      <w:start w:val="1"/>
      <w:numFmt w:val="bullet"/>
      <w:lvlText w:val="○"/>
      <w:lvlJc w:val="left"/>
      <w:pPr>
        <w:ind w:left="1440" w:hanging="360"/>
      </w:pPr>
    </w:lvl>
    <w:lvl w:ilvl="2" w:tplc="F2589B78">
      <w:start w:val="1"/>
      <w:numFmt w:val="bullet"/>
      <w:lvlText w:val="■"/>
      <w:lvlJc w:val="left"/>
      <w:pPr>
        <w:ind w:left="2160" w:hanging="360"/>
      </w:pPr>
    </w:lvl>
    <w:lvl w:ilvl="3" w:tplc="C33EB09C">
      <w:start w:val="1"/>
      <w:numFmt w:val="bullet"/>
      <w:lvlText w:val="●"/>
      <w:lvlJc w:val="left"/>
      <w:pPr>
        <w:ind w:left="2880" w:hanging="360"/>
      </w:pPr>
    </w:lvl>
    <w:lvl w:ilvl="4" w:tplc="ED06B018">
      <w:start w:val="1"/>
      <w:numFmt w:val="bullet"/>
      <w:lvlText w:val="○"/>
      <w:lvlJc w:val="left"/>
      <w:pPr>
        <w:ind w:left="3600" w:hanging="360"/>
      </w:pPr>
    </w:lvl>
    <w:lvl w:ilvl="5" w:tplc="33B04084">
      <w:start w:val="1"/>
      <w:numFmt w:val="bullet"/>
      <w:lvlText w:val="■"/>
      <w:lvlJc w:val="left"/>
      <w:pPr>
        <w:ind w:left="4320" w:hanging="360"/>
      </w:pPr>
    </w:lvl>
    <w:lvl w:ilvl="6" w:tplc="832826D0">
      <w:start w:val="1"/>
      <w:numFmt w:val="bullet"/>
      <w:lvlText w:val="●"/>
      <w:lvlJc w:val="left"/>
      <w:pPr>
        <w:ind w:left="5040" w:hanging="360"/>
      </w:pPr>
    </w:lvl>
    <w:lvl w:ilvl="7" w:tplc="8696B9F8">
      <w:start w:val="1"/>
      <w:numFmt w:val="bullet"/>
      <w:lvlText w:val="●"/>
      <w:lvlJc w:val="left"/>
      <w:pPr>
        <w:ind w:left="5760" w:hanging="360"/>
      </w:pPr>
    </w:lvl>
    <w:lvl w:ilvl="8" w:tplc="D8F6E938">
      <w:start w:val="1"/>
      <w:numFmt w:val="bullet"/>
      <w:lvlText w:val="●"/>
      <w:lvlJc w:val="left"/>
      <w:pPr>
        <w:ind w:left="6480" w:hanging="360"/>
      </w:pPr>
    </w:lvl>
  </w:abstractNum>
  <w:num w:numId="1" w16cid:durableId="1066998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EEA"/>
    <w:rsid w:val="00C845D9"/>
    <w:rsid w:val="00E35EEA"/>
    <w:rsid w:val="00E94272"/>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5551D"/>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2026-05-01T16:03:00Z</dcterms:created>
  <dcterms:modified xsi:type="dcterms:W3CDTF">2026-05-01T16:35:00Z</dcterms:modified>
</cp:coreProperties>
</file>