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8F2F7" w14:textId="77777777" w:rsidR="00820F60" w:rsidRPr="00820F60" w:rsidRDefault="00820F60" w:rsidP="00820F60">
      <w:pPr>
        <w:rPr>
          <w:b/>
          <w:bCs/>
        </w:rPr>
      </w:pPr>
      <w:r w:rsidRPr="00820F60">
        <w:rPr>
          <w:b/>
          <w:bCs/>
        </w:rPr>
        <w:t>The Complete Visual Plan for Paper 1</w:t>
      </w:r>
    </w:p>
    <w:p w14:paraId="20FBB52D" w14:textId="77777777" w:rsidR="00820F60" w:rsidRPr="00820F60" w:rsidRDefault="00A75620" w:rsidP="00820F60">
      <w:r>
        <w:rPr>
          <w:noProof/>
        </w:rPr>
        <w:pict w14:anchorId="23A893F2">
          <v:rect id="_x0000_i1026" alt="" style="width:468pt;height:.05pt;mso-width-percent:0;mso-height-percent:0;mso-width-percent:0;mso-height-percent:0" o:hralign="center" o:hrstd="t" o:hr="t" fillcolor="#a0a0a0" stroked="f"/>
        </w:pict>
      </w:r>
    </w:p>
    <w:p w14:paraId="7362554A" w14:textId="77777777" w:rsidR="00820F60" w:rsidRPr="00820F60" w:rsidRDefault="00820F60" w:rsidP="00820F60">
      <w:pPr>
        <w:rPr>
          <w:b/>
          <w:bCs/>
        </w:rPr>
      </w:pPr>
      <w:r w:rsidRPr="00820F60">
        <w:rPr>
          <w:b/>
          <w:bCs/>
        </w:rPr>
        <w:t>FIGURES (New — Not in Original Paper)</w:t>
      </w:r>
    </w:p>
    <w:p w14:paraId="1E6EDED6" w14:textId="77777777" w:rsidR="00820F60" w:rsidRPr="00820F60" w:rsidRDefault="00820F60" w:rsidP="00820F60">
      <w:r w:rsidRPr="00820F60">
        <w:rPr>
          <w:b/>
          <w:bCs/>
        </w:rPr>
        <w:t>Figure 1 — PRISMA 2020 Flow Diagram</w:t>
      </w:r>
      <w:r w:rsidRPr="00820F60">
        <w:t xml:space="preserve"> The standard four-box PRISMA flow showing records identified, screened, assessed for eligibility, and included. This is mandatory for any PRISMA-compliant review. We build this from your actual numbers — 71 included studies from approximately 500+ initial records. Goes in Section 2.</w:t>
      </w:r>
    </w:p>
    <w:p w14:paraId="1E678140" w14:textId="77777777" w:rsidR="00820F60" w:rsidRPr="00820F60" w:rsidRDefault="00820F60" w:rsidP="00820F60">
      <w:r w:rsidRPr="00820F60">
        <w:rPr>
          <w:b/>
          <w:bCs/>
        </w:rPr>
        <w:t>Figure 2 — AI Architecture Evolution Timeline (2015–2026)</w:t>
      </w:r>
      <w:r w:rsidRPr="00820F60">
        <w:t xml:space="preserve"> A horizontal timeline showing which architecture classes dominated each period. Five eras clearly marked: Traditional ML era (2015–2017), CNN/RNN era (2017–2019), Encoder-Decoder/Seq2Seq era (2019–2021), Transformer era (2021–2023), SSL + LLM + Foundation Model era (2023–2026). Landmark papers marked at each transition point — Herff 2015, Angrick 2019, Makin 2020, Willett 2023, Card 2024, </w:t>
      </w:r>
      <w:proofErr w:type="spellStart"/>
      <w:r w:rsidRPr="00820F60">
        <w:t>d'Ascoli</w:t>
      </w:r>
      <w:proofErr w:type="spellEnd"/>
      <w:r w:rsidRPr="00820F60">
        <w:t xml:space="preserve"> 2025. This single figure tells the story of Section 4 better than any paragraph can. Goes at the end of Section 4.</w:t>
      </w:r>
    </w:p>
    <w:p w14:paraId="03D62EFF" w14:textId="77777777" w:rsidR="00820F60" w:rsidRPr="00820F60" w:rsidRDefault="00820F60" w:rsidP="00820F60">
      <w:r w:rsidRPr="00820F60">
        <w:rPr>
          <w:b/>
          <w:bCs/>
        </w:rPr>
        <w:t>Figure 3 — WER Performance Trajectory (Invasive Systems, 2015–2026)</w:t>
      </w:r>
      <w:r w:rsidRPr="00820F60">
        <w:t xml:space="preserve"> A line chart or scatter plot with year on the x-axis and WER on the y-axis, showing only invasive systems where WER is the primary metric. Points labeled with study names. The downward trajectory from Herff 2015 (high WER) through Moses 2021 (26%), Willett 2023 (9%), to Card 2024 (2.5%) is one of the most compelling visual arguments in the entire field. This figure will be cited by other papers. Goes in Section 5.</w:t>
      </w:r>
    </w:p>
    <w:p w14:paraId="4AD5AFB2" w14:textId="77777777" w:rsidR="00820F60" w:rsidRPr="00820F60" w:rsidRDefault="00820F60" w:rsidP="00820F60">
      <w:r w:rsidRPr="00820F60">
        <w:rPr>
          <w:b/>
          <w:bCs/>
        </w:rPr>
        <w:t>Figure 4 — Modality × Task Performance Heatmap</w:t>
      </w:r>
      <w:r w:rsidRPr="00820F60">
        <w:t xml:space="preserve"> A grid with modality groups on the rows (Invasive ECoG/Intracortical, sEEG, EEG, MEG, fMRI, Hybrid/sEMG) and decoding task types on the columns (Overt, Imagined, Attempted, Perceived, Silent). Each cell color-coded by achievable performance range — green for strong, yellow for moderate, red for weak/not demonstrated. This is the single most scannable summary of the field's current state. Goes in Section 5.</w:t>
      </w:r>
    </w:p>
    <w:p w14:paraId="02C22F50" w14:textId="77777777" w:rsidR="00820F60" w:rsidRPr="00820F60" w:rsidRDefault="00820F60" w:rsidP="00820F60">
      <w:r w:rsidRPr="00820F60">
        <w:rPr>
          <w:b/>
          <w:bCs/>
        </w:rPr>
        <w:t>Figure 5 — Study Distribution Chart</w:t>
      </w:r>
      <w:r w:rsidRPr="00820F60">
        <w:t xml:space="preserve"> A bubble chart or grouped bar chart showing how the 71 studies distribute across modality groups and publication year. Immediately shows the reader that invasive studies dominate early years, EEG studies have grown consistently, and foundation model studies are entirely post-2022. Goes in Section 2 or as an opening figure for Section 3.</w:t>
      </w:r>
    </w:p>
    <w:p w14:paraId="6E9DB5E6" w14:textId="77777777" w:rsidR="00820F60" w:rsidRPr="00820F60" w:rsidRDefault="00820F60" w:rsidP="00820F60">
      <w:r w:rsidRPr="00820F60">
        <w:rPr>
          <w:b/>
          <w:bCs/>
        </w:rPr>
        <w:t>Figure 6 — Generalization Evidence Map</w:t>
      </w:r>
      <w:r w:rsidRPr="00820F60">
        <w:t xml:space="preserve"> A structured visual showing which included studies demonstrate which type of generalization — cross-participant, cross-session, cross-language, cross-modal. Each study is a row, each generalization type is a column, </w:t>
      </w:r>
      <w:r w:rsidRPr="00820F60">
        <w:lastRenderedPageBreak/>
        <w:t xml:space="preserve">filled circles indicate evidence. Shows at </w:t>
      </w:r>
      <w:proofErr w:type="gramStart"/>
      <w:r w:rsidRPr="00820F60">
        <w:t>a glance how sparse generalization evidence</w:t>
      </w:r>
      <w:proofErr w:type="gramEnd"/>
      <w:r w:rsidRPr="00820F60">
        <w:t xml:space="preserve"> is across the field. Goes in Section 6.</w:t>
      </w:r>
    </w:p>
    <w:p w14:paraId="33582E58" w14:textId="77777777" w:rsidR="00820F60" w:rsidRPr="00820F60" w:rsidRDefault="00A75620" w:rsidP="00820F60">
      <w:r>
        <w:rPr>
          <w:noProof/>
        </w:rPr>
        <w:pict w14:anchorId="15405EFE">
          <v:rect id="_x0000_i1025" alt="" style="width:468pt;height:.05pt;mso-width-percent:0;mso-height-percent:0;mso-width-percent:0;mso-height-percent:0" o:hralign="center" o:hrstd="t" o:hr="t" fillcolor="#a0a0a0" stroked="f"/>
        </w:pict>
      </w:r>
    </w:p>
    <w:p w14:paraId="58F6C50D" w14:textId="77777777" w:rsidR="00820F60" w:rsidRPr="00820F60" w:rsidRDefault="00820F60" w:rsidP="00820F60">
      <w:pPr>
        <w:rPr>
          <w:b/>
          <w:bCs/>
        </w:rPr>
      </w:pPr>
      <w:r w:rsidRPr="00820F60">
        <w:rPr>
          <w:b/>
          <w:bCs/>
        </w:rPr>
        <w:t>TABLES (Rebuilt from Original — Significantly Upgraded for Paper 1)</w:t>
      </w:r>
    </w:p>
    <w:p w14:paraId="0DF270D2" w14:textId="77777777" w:rsidR="00820F60" w:rsidRDefault="00820F60" w:rsidP="00820F60">
      <w:r w:rsidRPr="00820F60">
        <w:rPr>
          <w:b/>
          <w:bCs/>
        </w:rPr>
        <w:t>Table 1 — Modality Comparison Matrix</w:t>
      </w:r>
      <w:r w:rsidRPr="00820F60">
        <w:t xml:space="preserve"> Rebuilt from Table 3 in the original — but stripped of all trust dimension columns. Paper 1 version focuses purely on: Modality, Invasiveness, Spatial Resolution, Temporal Resolution, Typical SNR, Participant Burden, Representative Performance Range, Number of Studies in This Review. Clean, technical, no ethics language.</w:t>
      </w:r>
    </w:p>
    <w:p w14:paraId="2E6079AF" w14:textId="77777777" w:rsidR="00466CBC" w:rsidRDefault="00466CBC" w:rsidP="00820F60"/>
    <w:p w14:paraId="2DD30C17" w14:textId="77777777" w:rsidR="00466CBC" w:rsidRDefault="00466CBC" w:rsidP="00820F60"/>
    <w:p w14:paraId="1540ACBC" w14:textId="127B4BF8" w:rsidR="00466CBC" w:rsidRPr="00820F60" w:rsidRDefault="00466CBC" w:rsidP="00820F60"/>
    <w:p w14:paraId="28DEEDC0" w14:textId="77777777" w:rsidR="00820F60" w:rsidRPr="00820F60" w:rsidRDefault="00820F60" w:rsidP="00820F60">
      <w:r w:rsidRPr="00820F60">
        <w:rPr>
          <w:b/>
          <w:bCs/>
        </w:rPr>
        <w:t>Table 2 — Core Performance Benchmarks (25–30 Key Studies)</w:t>
      </w:r>
      <w:r w:rsidRPr="00820F60">
        <w:t xml:space="preserve"> The </w:t>
      </w:r>
      <w:proofErr w:type="spellStart"/>
      <w:r w:rsidRPr="00820F60">
        <w:t>centrepiece</w:t>
      </w:r>
      <w:proofErr w:type="spellEnd"/>
      <w:r w:rsidRPr="00820F60">
        <w:t xml:space="preserve"> table. Rebuilt from Tables 1 and 2 in the original but dramatically expanded and restructured. Columns: Authors/Year, Modality, Participants (n), Clinical Status, Decoding Task, Output Type, Vocabulary (Closed/Open/Size), Architecture Class, Primary Metric, Value, LM Integration (Y/N). This does not exist anywhere in the literature in this form. It is the primary quantitative contribution of Paper 1.</w:t>
      </w:r>
    </w:p>
    <w:p w14:paraId="0B53A0D7" w14:textId="77777777" w:rsidR="00820F60" w:rsidRPr="00820F60" w:rsidRDefault="00820F60" w:rsidP="00820F60">
      <w:r w:rsidRPr="00820F60">
        <w:rPr>
          <w:b/>
          <w:bCs/>
        </w:rPr>
        <w:t>Table 3 — AI Architecture Summary</w:t>
      </w:r>
      <w:r w:rsidRPr="00820F60">
        <w:t xml:space="preserve"> New table not in original. Architecture Class, Representative Studies, Input Representation, Typical Modality, Strengths, Limitations, Peak Reported Performance. Spans the full 2015–2026 period. Goes in Section 4.</w:t>
      </w:r>
    </w:p>
    <w:p w14:paraId="224E1387" w14:textId="77777777" w:rsidR="00820F60" w:rsidRPr="00820F60" w:rsidRDefault="00820F60" w:rsidP="00820F60">
      <w:r w:rsidRPr="00820F60">
        <w:rPr>
          <w:b/>
          <w:bCs/>
        </w:rPr>
        <w:t>Table 4 — Generalization Evidence Summary</w:t>
      </w:r>
      <w:r w:rsidRPr="00820F60">
        <w:t xml:space="preserve"> Rebuilt from scratch — the original had nothing like this. Columns: Study, Generalization Type, Method Used, Performance Gain/Change, Participant Count, Modality. Shows in structured form all evidence for generalization across the 71 studies. Goes in Section 6.</w:t>
      </w:r>
    </w:p>
    <w:p w14:paraId="284FD718" w14:textId="77777777" w:rsidR="00820F60" w:rsidRPr="00820F60" w:rsidRDefault="00820F60" w:rsidP="00820F60">
      <w:r w:rsidRPr="00820F60">
        <w:rPr>
          <w:b/>
          <w:bCs/>
        </w:rPr>
        <w:t>Table 5 — Benchmark Comparability Analysis</w:t>
      </w:r>
      <w:r w:rsidRPr="00820F60">
        <w:t xml:space="preserve"> New table. Rows are key comparability dimensions — vocabulary size, task type, evaluation methodology, participant type, language. For each dimension shows the range of variation across included studies and its effect on cross-study comparability. This is the analytical table that answers RQ2's second part — are these benchmarks </w:t>
      </w:r>
      <w:proofErr w:type="gramStart"/>
      <w:r w:rsidRPr="00820F60">
        <w:t>actually comparable</w:t>
      </w:r>
      <w:proofErr w:type="gramEnd"/>
      <w:r w:rsidRPr="00820F60">
        <w:t>? Goes in Section 5</w:t>
      </w:r>
    </w:p>
    <w:p w14:paraId="77FC67E9" w14:textId="77777777" w:rsidR="00D71A37" w:rsidRDefault="00D71A37"/>
    <w:sectPr w:rsidR="00D71A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F60"/>
    <w:rsid w:val="003F3487"/>
    <w:rsid w:val="00466CBC"/>
    <w:rsid w:val="005162D1"/>
    <w:rsid w:val="00820F60"/>
    <w:rsid w:val="00892D11"/>
    <w:rsid w:val="008D0966"/>
    <w:rsid w:val="00920DA6"/>
    <w:rsid w:val="00A75620"/>
    <w:rsid w:val="00C06DB0"/>
    <w:rsid w:val="00C62E08"/>
    <w:rsid w:val="00D71A37"/>
    <w:rsid w:val="00DB2B3D"/>
    <w:rsid w:val="00DB56CE"/>
    <w:rsid w:val="00E635C3"/>
    <w:rsid w:val="00EB0A58"/>
    <w:rsid w:val="00EB46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99D8"/>
  <w15:chartTrackingRefBased/>
  <w15:docId w15:val="{9B01C199-5C94-7043-B2AD-D788A0800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F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F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F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F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F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F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F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F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F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F60"/>
    <w:rPr>
      <w:rFonts w:eastAsiaTheme="majorEastAsia" w:cstheme="majorBidi"/>
      <w:color w:val="272727" w:themeColor="text1" w:themeTint="D8"/>
    </w:rPr>
  </w:style>
  <w:style w:type="paragraph" w:styleId="Title">
    <w:name w:val="Title"/>
    <w:basedOn w:val="Normal"/>
    <w:next w:val="Normal"/>
    <w:link w:val="TitleChar"/>
    <w:uiPriority w:val="10"/>
    <w:qFormat/>
    <w:rsid w:val="00820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F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F60"/>
    <w:pPr>
      <w:spacing w:before="160"/>
      <w:jc w:val="center"/>
    </w:pPr>
    <w:rPr>
      <w:i/>
      <w:iCs/>
      <w:color w:val="404040" w:themeColor="text1" w:themeTint="BF"/>
    </w:rPr>
  </w:style>
  <w:style w:type="character" w:customStyle="1" w:styleId="QuoteChar">
    <w:name w:val="Quote Char"/>
    <w:basedOn w:val="DefaultParagraphFont"/>
    <w:link w:val="Quote"/>
    <w:uiPriority w:val="29"/>
    <w:rsid w:val="00820F60"/>
    <w:rPr>
      <w:i/>
      <w:iCs/>
      <w:color w:val="404040" w:themeColor="text1" w:themeTint="BF"/>
    </w:rPr>
  </w:style>
  <w:style w:type="paragraph" w:styleId="ListParagraph">
    <w:name w:val="List Paragraph"/>
    <w:basedOn w:val="Normal"/>
    <w:uiPriority w:val="34"/>
    <w:qFormat/>
    <w:rsid w:val="00820F60"/>
    <w:pPr>
      <w:ind w:left="720"/>
      <w:contextualSpacing/>
    </w:pPr>
  </w:style>
  <w:style w:type="character" w:styleId="IntenseEmphasis">
    <w:name w:val="Intense Emphasis"/>
    <w:basedOn w:val="DefaultParagraphFont"/>
    <w:uiPriority w:val="21"/>
    <w:qFormat/>
    <w:rsid w:val="00820F60"/>
    <w:rPr>
      <w:i/>
      <w:iCs/>
      <w:color w:val="0F4761" w:themeColor="accent1" w:themeShade="BF"/>
    </w:rPr>
  </w:style>
  <w:style w:type="paragraph" w:styleId="IntenseQuote">
    <w:name w:val="Intense Quote"/>
    <w:basedOn w:val="Normal"/>
    <w:next w:val="Normal"/>
    <w:link w:val="IntenseQuoteChar"/>
    <w:uiPriority w:val="30"/>
    <w:qFormat/>
    <w:rsid w:val="00820F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F60"/>
    <w:rPr>
      <w:i/>
      <w:iCs/>
      <w:color w:val="0F4761" w:themeColor="accent1" w:themeShade="BF"/>
    </w:rPr>
  </w:style>
  <w:style w:type="character" w:styleId="IntenseReference">
    <w:name w:val="Intense Reference"/>
    <w:basedOn w:val="DefaultParagraphFont"/>
    <w:uiPriority w:val="32"/>
    <w:qFormat/>
    <w:rsid w:val="00820F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110801">
      <w:bodyDiv w:val="1"/>
      <w:marLeft w:val="0"/>
      <w:marRight w:val="0"/>
      <w:marTop w:val="0"/>
      <w:marBottom w:val="0"/>
      <w:divBdr>
        <w:top w:val="none" w:sz="0" w:space="0" w:color="auto"/>
        <w:left w:val="none" w:sz="0" w:space="0" w:color="auto"/>
        <w:bottom w:val="none" w:sz="0" w:space="0" w:color="auto"/>
        <w:right w:val="none" w:sz="0" w:space="0" w:color="auto"/>
      </w:divBdr>
    </w:div>
    <w:div w:id="1526820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Blessing I Adeika</dc:creator>
  <cp:keywords/>
  <dc:description/>
  <cp:lastModifiedBy>Blessing I Adeika</cp:lastModifiedBy>
  <cp:revision>2</cp:revision>
  <dcterms:created xsi:type="dcterms:W3CDTF">2026-04-14T18:33:00Z</dcterms:created>
  <dcterms:modified xsi:type="dcterms:W3CDTF">2026-05-01T05:26:00Z</dcterms:modified>
</cp:coreProperties>
</file>