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D5A7" w14:textId="77777777" w:rsidR="00C33053" w:rsidRDefault="00000000" w:rsidP="00C33053">
      <w:pPr>
        <w:pStyle w:val="Heading1"/>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1. Introduction</w:t>
      </w:r>
    </w:p>
    <w:p w14:paraId="3AAF6CF7" w14:textId="01FB806F" w:rsidR="00C92A2C" w:rsidRPr="00C33053" w:rsidRDefault="00000000" w:rsidP="00C33053">
      <w:pPr>
        <w:pStyle w:val="Heading1"/>
        <w:rPr>
          <w:rFonts w:ascii="Times New Roman" w:hAnsi="Times New Roman" w:cs="Times New Roman"/>
          <w:color w:val="000000" w:themeColor="text1"/>
          <w:sz w:val="20"/>
          <w:szCs w:val="20"/>
        </w:rPr>
      </w:pPr>
      <w:proofErr w:type="gramStart"/>
      <w:r w:rsidRPr="00C33053">
        <w:rPr>
          <w:rFonts w:ascii="Times New Roman" w:hAnsi="Times New Roman" w:cs="Times New Roman"/>
          <w:color w:val="000000" w:themeColor="text1"/>
          <w:sz w:val="20"/>
          <w:szCs w:val="20"/>
        </w:rPr>
        <w:t>1.1  The</w:t>
      </w:r>
      <w:proofErr w:type="gramEnd"/>
      <w:r w:rsidRPr="00C33053">
        <w:rPr>
          <w:rFonts w:ascii="Times New Roman" w:hAnsi="Times New Roman" w:cs="Times New Roman"/>
          <w:color w:val="000000" w:themeColor="text1"/>
          <w:sz w:val="20"/>
          <w:szCs w:val="20"/>
        </w:rPr>
        <w:t xml:space="preserve"> Clinical Imperative</w:t>
      </w:r>
    </w:p>
    <w:p w14:paraId="76F403B0"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Consider, for a moment, what it means to lose the ability to speak. Not to lose one's thoughts, not one's memory, not even one's desires — but simply the ability to give them voice. For individuals living with amyotrophic lateral sclerosis (ALS), severe brainstem stroke, locked-in syndrome (LIS), or anarthria following spinal cord injury, this is not a hypothetical. It is a daily reality. Motor neuron degeneration, cortical infarction, or spinal cord damage can sever the pathway from intention to articulation, leaving cognitive function largely intact whilst stripping away the most fundamental form of human communication — the spoken word.</w:t>
      </w:r>
    </w:p>
    <w:p w14:paraId="0A3E6D7A"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The scale of this burden is considerable. ALS alone affects approximately 4–6 individuals per 100,000 worldwide, with progressive paralysis eventually rendering the vast majority non-verbal </w:t>
      </w:r>
      <w:r w:rsidRPr="00C33053">
        <w:rPr>
          <w:rFonts w:ascii="Times New Roman" w:hAnsi="Times New Roman" w:cs="Times New Roman"/>
          <w:color w:val="000000" w:themeColor="text1"/>
          <w:sz w:val="20"/>
          <w:szCs w:val="20"/>
          <w:vertAlign w:val="superscript"/>
        </w:rPr>
        <w:t>[1]</w:t>
      </w:r>
      <w:r w:rsidRPr="00C33053">
        <w:rPr>
          <w:rFonts w:ascii="Times New Roman" w:hAnsi="Times New Roman" w:cs="Times New Roman"/>
          <w:color w:val="000000" w:themeColor="text1"/>
          <w:sz w:val="20"/>
          <w:szCs w:val="20"/>
        </w:rPr>
        <w:t xml:space="preserve">. Severe stroke leaves a significant proportion of survivors with lasting aphasia or dysarthria. Conditions such as LIS — where near-total paralysis coexists with preserved consciousness — represent the extreme of communicative isolation: patients are alert, aware, and cognitively engaged, yet entirely unable to signal their inner life to those around them </w:t>
      </w:r>
      <w:r w:rsidRPr="00C33053">
        <w:rPr>
          <w:rFonts w:ascii="Times New Roman" w:hAnsi="Times New Roman" w:cs="Times New Roman"/>
          <w:color w:val="000000" w:themeColor="text1"/>
          <w:sz w:val="20"/>
          <w:szCs w:val="20"/>
          <w:vertAlign w:val="superscript"/>
        </w:rPr>
        <w:t>[1]</w:t>
      </w:r>
      <w:r w:rsidRPr="00C33053">
        <w:rPr>
          <w:rFonts w:ascii="Times New Roman" w:hAnsi="Times New Roman" w:cs="Times New Roman"/>
          <w:color w:val="000000" w:themeColor="text1"/>
          <w:sz w:val="20"/>
          <w:szCs w:val="20"/>
        </w:rPr>
        <w:t>. For these populations, the consequences extend beyond communication itself. Loss of voice accelerates social withdrawal, compromises medical decision-making, and profoundly affects psychological wellbeing. Conventional augmentative and alternative communication (AAC) approaches — eye-tracking interfaces, switch scanning, and symbol-based systems — provide partial relief, but each requires preserved residual motor function that late-stage ALS and LIS patients may no longer possess.</w:t>
      </w:r>
    </w:p>
    <w:p w14:paraId="17FAA270"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Brain-computer interface (BCI) technology offers a fundamentally different pathway. By reading neural signals directly from the brain — bypassing the broken motor pathways entirely — a BCI can, in principle, translate the intention to speak into speech itself, without requiring any muscular output whatsoever. The prospect of restoring natural, fluent communication to individuals who have lost it entirely is one of the most consequential applications of modern neuroscience and artificial intelligence. It is this prospect, and the urgency it carries, that motivates the present systematic review.</w:t>
      </w:r>
    </w:p>
    <w:p w14:paraId="0536503F"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What was once purely speculative has, in the past decade, become demonstrably achievable. In 2021, Moses and colleagues reported the first real-time sentence decoding in a person with anarthria — a paralyzed individual who had not been able to speak for years — achieving 15 words per minute from intracortical signals </w:t>
      </w:r>
      <w:r w:rsidRPr="00C33053">
        <w:rPr>
          <w:rFonts w:ascii="Times New Roman" w:hAnsi="Times New Roman" w:cs="Times New Roman"/>
          <w:color w:val="000000" w:themeColor="text1"/>
          <w:sz w:val="20"/>
          <w:szCs w:val="20"/>
          <w:vertAlign w:val="superscript"/>
        </w:rPr>
        <w:t>[2]</w:t>
      </w:r>
      <w:r w:rsidRPr="00C33053">
        <w:rPr>
          <w:rFonts w:ascii="Times New Roman" w:hAnsi="Times New Roman" w:cs="Times New Roman"/>
          <w:color w:val="000000" w:themeColor="text1"/>
          <w:sz w:val="20"/>
          <w:szCs w:val="20"/>
        </w:rPr>
        <w:t xml:space="preserve">. By 2023, Willett and colleagues extended this to 62 words per minute at </w:t>
      </w:r>
      <w:proofErr w:type="gramStart"/>
      <w:r w:rsidRPr="00C33053">
        <w:rPr>
          <w:rFonts w:ascii="Times New Roman" w:hAnsi="Times New Roman" w:cs="Times New Roman"/>
          <w:color w:val="000000" w:themeColor="text1"/>
          <w:sz w:val="20"/>
          <w:szCs w:val="20"/>
        </w:rPr>
        <w:t>9% word</w:t>
      </w:r>
      <w:proofErr w:type="gramEnd"/>
      <w:r w:rsidRPr="00C33053">
        <w:rPr>
          <w:rFonts w:ascii="Times New Roman" w:hAnsi="Times New Roman" w:cs="Times New Roman"/>
          <w:color w:val="000000" w:themeColor="text1"/>
          <w:sz w:val="20"/>
          <w:szCs w:val="20"/>
        </w:rPr>
        <w:t xml:space="preserve"> error rate (WER) in an individual with ALS tetraplegia </w:t>
      </w:r>
      <w:r w:rsidRPr="00C33053">
        <w:rPr>
          <w:rFonts w:ascii="Times New Roman" w:hAnsi="Times New Roman" w:cs="Times New Roman"/>
          <w:color w:val="000000" w:themeColor="text1"/>
          <w:sz w:val="20"/>
          <w:szCs w:val="20"/>
          <w:vertAlign w:val="superscript"/>
        </w:rPr>
        <w:t>[3]</w:t>
      </w:r>
      <w:r w:rsidRPr="00C33053">
        <w:rPr>
          <w:rFonts w:ascii="Times New Roman" w:hAnsi="Times New Roman" w:cs="Times New Roman"/>
          <w:color w:val="000000" w:themeColor="text1"/>
          <w:sz w:val="20"/>
          <w:szCs w:val="20"/>
        </w:rPr>
        <w:t xml:space="preserve">, and Metzger and colleagues simultaneously restored synthesized speech and avatar facial animation at 78 words per minute </w:t>
      </w:r>
      <w:r w:rsidRPr="00C33053">
        <w:rPr>
          <w:rFonts w:ascii="Times New Roman" w:hAnsi="Times New Roman" w:cs="Times New Roman"/>
          <w:color w:val="000000" w:themeColor="text1"/>
          <w:sz w:val="20"/>
          <w:szCs w:val="20"/>
          <w:vertAlign w:val="superscript"/>
        </w:rPr>
        <w:t>[4]</w:t>
      </w:r>
      <w:r w:rsidRPr="00C33053">
        <w:rPr>
          <w:rFonts w:ascii="Times New Roman" w:hAnsi="Times New Roman" w:cs="Times New Roman"/>
          <w:color w:val="000000" w:themeColor="text1"/>
          <w:sz w:val="20"/>
          <w:szCs w:val="20"/>
        </w:rPr>
        <w:t xml:space="preserve">. The following year, Card and colleagues reported a WER of 2.5% — approaching the intelligibility of typical dysarthric speech — sustained over eight months of daily use in an ALS patient </w:t>
      </w:r>
      <w:r w:rsidRPr="00C33053">
        <w:rPr>
          <w:rFonts w:ascii="Times New Roman" w:hAnsi="Times New Roman" w:cs="Times New Roman"/>
          <w:color w:val="000000" w:themeColor="text1"/>
          <w:sz w:val="20"/>
          <w:szCs w:val="20"/>
          <w:vertAlign w:val="superscript"/>
        </w:rPr>
        <w:t>[5]</w:t>
      </w:r>
      <w:r w:rsidRPr="00C33053">
        <w:rPr>
          <w:rFonts w:ascii="Times New Roman" w:hAnsi="Times New Roman" w:cs="Times New Roman"/>
          <w:color w:val="000000" w:themeColor="text1"/>
          <w:sz w:val="20"/>
          <w:szCs w:val="20"/>
        </w:rPr>
        <w:t>. These are not incremental engineering achievements. They are, for the people who receive them, transformative.</w:t>
      </w:r>
    </w:p>
    <w:p w14:paraId="0FB14526" w14:textId="77777777" w:rsidR="00C92A2C" w:rsidRPr="00C33053" w:rsidRDefault="00000000">
      <w:pPr>
        <w:pStyle w:val="Heading2"/>
        <w:rPr>
          <w:rFonts w:ascii="Times New Roman" w:hAnsi="Times New Roman" w:cs="Times New Roman"/>
          <w:color w:val="000000" w:themeColor="text1"/>
          <w:sz w:val="20"/>
          <w:szCs w:val="20"/>
        </w:rPr>
      </w:pPr>
      <w:proofErr w:type="gramStart"/>
      <w:r w:rsidRPr="00C33053">
        <w:rPr>
          <w:rFonts w:ascii="Times New Roman" w:hAnsi="Times New Roman" w:cs="Times New Roman"/>
          <w:color w:val="000000" w:themeColor="text1"/>
          <w:sz w:val="20"/>
          <w:szCs w:val="20"/>
        </w:rPr>
        <w:t>1.2  The</w:t>
      </w:r>
      <w:proofErr w:type="gramEnd"/>
      <w:r w:rsidRPr="00C33053">
        <w:rPr>
          <w:rFonts w:ascii="Times New Roman" w:hAnsi="Times New Roman" w:cs="Times New Roman"/>
          <w:color w:val="000000" w:themeColor="text1"/>
          <w:sz w:val="20"/>
          <w:szCs w:val="20"/>
        </w:rPr>
        <w:t xml:space="preserve"> Modality Landscape</w:t>
      </w:r>
    </w:p>
    <w:p w14:paraId="1EB6887E"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lastRenderedPageBreak/>
        <w:t xml:space="preserve">The neural signals from which speech can be decoded are extraordinarily diverse, and the choice of recording modality is the first and most consequential design decision in any brain-to-speech system. Each modality represents a distinct trade-off between signal quality, spatial resolution, temporal fidelity, invasiveness, and practical deployability — and each has attracted its own research community, developed its own performance benchmarks, and produced its own landmark findings </w:t>
      </w:r>
      <w:r w:rsidRPr="00C33053">
        <w:rPr>
          <w:rFonts w:ascii="Times New Roman" w:hAnsi="Times New Roman" w:cs="Times New Roman"/>
          <w:color w:val="000000" w:themeColor="text1"/>
          <w:sz w:val="20"/>
          <w:szCs w:val="20"/>
          <w:vertAlign w:val="superscript"/>
        </w:rPr>
        <w:t>[6]</w:t>
      </w:r>
      <w:r w:rsidRPr="00C33053">
        <w:rPr>
          <w:rFonts w:ascii="Times New Roman" w:hAnsi="Times New Roman" w:cs="Times New Roman"/>
          <w:color w:val="000000" w:themeColor="text1"/>
          <w:sz w:val="20"/>
          <w:szCs w:val="20"/>
        </w:rPr>
        <w:t>.</w:t>
      </w:r>
    </w:p>
    <w:p w14:paraId="5B9EFA67"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At one end of the spectrum sit the invasive modalities. Electrocorticography (ECoG) places electrode arrays directly on the cortical surface following a craniotomy, capturing high-gamma band activity (70–150 Hz) from speech motor and sensory regions with </w:t>
      </w:r>
      <w:proofErr w:type="spellStart"/>
      <w:r w:rsidRPr="00C33053">
        <w:rPr>
          <w:rFonts w:ascii="Times New Roman" w:hAnsi="Times New Roman" w:cs="Times New Roman"/>
          <w:color w:val="000000" w:themeColor="text1"/>
          <w:sz w:val="20"/>
          <w:szCs w:val="20"/>
        </w:rPr>
        <w:t>millimetre</w:t>
      </w:r>
      <w:proofErr w:type="spellEnd"/>
      <w:r w:rsidRPr="00C33053">
        <w:rPr>
          <w:rFonts w:ascii="Times New Roman" w:hAnsi="Times New Roman" w:cs="Times New Roman"/>
          <w:color w:val="000000" w:themeColor="text1"/>
          <w:sz w:val="20"/>
          <w:szCs w:val="20"/>
        </w:rPr>
        <w:t xml:space="preserve">-scale spatial resolution and millisecond temporal precision </w:t>
      </w:r>
      <w:r w:rsidRPr="00C33053">
        <w:rPr>
          <w:rFonts w:ascii="Times New Roman" w:hAnsi="Times New Roman" w:cs="Times New Roman"/>
          <w:color w:val="000000" w:themeColor="text1"/>
          <w:sz w:val="20"/>
          <w:szCs w:val="20"/>
          <w:vertAlign w:val="superscript"/>
        </w:rPr>
        <w:t>[7]</w:t>
      </w:r>
      <w:r w:rsidRPr="00C33053">
        <w:rPr>
          <w:rFonts w:ascii="Times New Roman" w:hAnsi="Times New Roman" w:cs="Times New Roman"/>
          <w:color w:val="000000" w:themeColor="text1"/>
          <w:sz w:val="20"/>
          <w:szCs w:val="20"/>
        </w:rPr>
        <w:t xml:space="preserve">. Intracortical microelectrode arrays — such as the Utah array used in the </w:t>
      </w:r>
      <w:proofErr w:type="spellStart"/>
      <w:r w:rsidRPr="00C33053">
        <w:rPr>
          <w:rFonts w:ascii="Times New Roman" w:hAnsi="Times New Roman" w:cs="Times New Roman"/>
          <w:color w:val="000000" w:themeColor="text1"/>
          <w:sz w:val="20"/>
          <w:szCs w:val="20"/>
        </w:rPr>
        <w:t>BrainGate</w:t>
      </w:r>
      <w:proofErr w:type="spellEnd"/>
      <w:r w:rsidRPr="00C33053">
        <w:rPr>
          <w:rFonts w:ascii="Times New Roman" w:hAnsi="Times New Roman" w:cs="Times New Roman"/>
          <w:color w:val="000000" w:themeColor="text1"/>
          <w:sz w:val="20"/>
          <w:szCs w:val="20"/>
        </w:rPr>
        <w:t xml:space="preserve"> program — penetrate the cortical surface itself, resolving individual neuron firing patterns with sub-millisecond temporal resolution and electrode separations of approximately 400 </w:t>
      </w:r>
      <w:proofErr w:type="spellStart"/>
      <w:r w:rsidRPr="00C33053">
        <w:rPr>
          <w:rFonts w:ascii="Times New Roman" w:hAnsi="Times New Roman" w:cs="Times New Roman"/>
          <w:color w:val="000000" w:themeColor="text1"/>
          <w:sz w:val="20"/>
          <w:szCs w:val="20"/>
        </w:rPr>
        <w:t>micrometres</w:t>
      </w:r>
      <w:proofErr w:type="spellEnd"/>
      <w:r w:rsidRPr="00C33053">
        <w:rPr>
          <w:rFonts w:ascii="Times New Roman" w:hAnsi="Times New Roman" w:cs="Times New Roman"/>
          <w:color w:val="000000" w:themeColor="text1"/>
          <w:sz w:val="20"/>
          <w:szCs w:val="20"/>
        </w:rPr>
        <w:t xml:space="preserve"> </w:t>
      </w:r>
      <w:r w:rsidRPr="00C33053">
        <w:rPr>
          <w:rFonts w:ascii="Times New Roman" w:hAnsi="Times New Roman" w:cs="Times New Roman"/>
          <w:color w:val="000000" w:themeColor="text1"/>
          <w:sz w:val="20"/>
          <w:szCs w:val="20"/>
          <w:vertAlign w:val="superscript"/>
        </w:rPr>
        <w:t>[3]</w:t>
      </w:r>
      <w:r w:rsidRPr="00C33053">
        <w:rPr>
          <w:rFonts w:ascii="Times New Roman" w:hAnsi="Times New Roman" w:cs="Times New Roman"/>
          <w:color w:val="000000" w:themeColor="text1"/>
          <w:sz w:val="20"/>
          <w:szCs w:val="20"/>
        </w:rPr>
        <w:t xml:space="preserve">. Stereotactic EEG (sEEG), implanted via minimally invasive depth electrodes, samples deep cortical and subcortical regions inaccessible to surface grids, without the need for craniotomy </w:t>
      </w:r>
      <w:r w:rsidRPr="00C33053">
        <w:rPr>
          <w:rFonts w:ascii="Times New Roman" w:hAnsi="Times New Roman" w:cs="Times New Roman"/>
          <w:color w:val="000000" w:themeColor="text1"/>
          <w:sz w:val="20"/>
          <w:szCs w:val="20"/>
          <w:vertAlign w:val="superscript"/>
        </w:rPr>
        <w:t>[8]</w:t>
      </w:r>
      <w:r w:rsidRPr="00C33053">
        <w:rPr>
          <w:rFonts w:ascii="Times New Roman" w:hAnsi="Times New Roman" w:cs="Times New Roman"/>
          <w:color w:val="000000" w:themeColor="text1"/>
          <w:sz w:val="20"/>
          <w:szCs w:val="20"/>
        </w:rPr>
        <w:t>. The extraordinary performance achieved by intracortical and ECoG systems — WER below 10%, communication at or approaching natural speech rates — is inseparable from the richness of signal these modalities provide.</w:t>
      </w:r>
    </w:p>
    <w:p w14:paraId="7CF916D5"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Non-invasive modalities occupy the other end of the spectrum, trading signal quality for accessibility. Scalp electroencephalography (EEG) is inexpensive, portable, and clinically established, but the skull and scalp act as a spatial low-pass filter, collapsing cortical topography into a smeared surface recording with poor spatial resolution and low signal-to-noise ratio. Magnetoencephalography (MEG) offers improved source localization by measuring the magnetic fields associated with neural </w:t>
      </w:r>
      <w:proofErr w:type="gramStart"/>
      <w:r w:rsidRPr="00C33053">
        <w:rPr>
          <w:rFonts w:ascii="Times New Roman" w:hAnsi="Times New Roman" w:cs="Times New Roman"/>
          <w:color w:val="000000" w:themeColor="text1"/>
          <w:sz w:val="20"/>
          <w:szCs w:val="20"/>
        </w:rPr>
        <w:t>currents, but</w:t>
      </w:r>
      <w:proofErr w:type="gramEnd"/>
      <w:r w:rsidRPr="00C33053">
        <w:rPr>
          <w:rFonts w:ascii="Times New Roman" w:hAnsi="Times New Roman" w:cs="Times New Roman"/>
          <w:color w:val="000000" w:themeColor="text1"/>
          <w:sz w:val="20"/>
          <w:szCs w:val="20"/>
        </w:rPr>
        <w:t xml:space="preserve"> requires a magnetically shielded room and specialized cryogenic equipment that is incompatible with clinical deployment outside specialist </w:t>
      </w:r>
      <w:proofErr w:type="spellStart"/>
      <w:r w:rsidRPr="00C33053">
        <w:rPr>
          <w:rFonts w:ascii="Times New Roman" w:hAnsi="Times New Roman" w:cs="Times New Roman"/>
          <w:color w:val="000000" w:themeColor="text1"/>
          <w:sz w:val="20"/>
          <w:szCs w:val="20"/>
        </w:rPr>
        <w:t>centres</w:t>
      </w:r>
      <w:proofErr w:type="spellEnd"/>
      <w:r w:rsidRPr="00C33053">
        <w:rPr>
          <w:rFonts w:ascii="Times New Roman" w:hAnsi="Times New Roman" w:cs="Times New Roman"/>
          <w:color w:val="000000" w:themeColor="text1"/>
          <w:sz w:val="20"/>
          <w:szCs w:val="20"/>
        </w:rPr>
        <w:t xml:space="preserve">. Functional magnetic resonance imaging (fMRI) provides </w:t>
      </w:r>
      <w:proofErr w:type="spellStart"/>
      <w:r w:rsidRPr="00C33053">
        <w:rPr>
          <w:rFonts w:ascii="Times New Roman" w:hAnsi="Times New Roman" w:cs="Times New Roman"/>
          <w:color w:val="000000" w:themeColor="text1"/>
          <w:sz w:val="20"/>
          <w:szCs w:val="20"/>
        </w:rPr>
        <w:t>millimetre</w:t>
      </w:r>
      <w:proofErr w:type="spellEnd"/>
      <w:r w:rsidRPr="00C33053">
        <w:rPr>
          <w:rFonts w:ascii="Times New Roman" w:hAnsi="Times New Roman" w:cs="Times New Roman"/>
          <w:color w:val="000000" w:themeColor="text1"/>
          <w:sz w:val="20"/>
          <w:szCs w:val="20"/>
        </w:rPr>
        <w:t xml:space="preserve">-scale spatial resolution via </w:t>
      </w:r>
      <w:proofErr w:type="spellStart"/>
      <w:r w:rsidRPr="00C33053">
        <w:rPr>
          <w:rFonts w:ascii="Times New Roman" w:hAnsi="Times New Roman" w:cs="Times New Roman"/>
          <w:color w:val="000000" w:themeColor="text1"/>
          <w:sz w:val="20"/>
          <w:szCs w:val="20"/>
        </w:rPr>
        <w:t>haemodynamic</w:t>
      </w:r>
      <w:proofErr w:type="spellEnd"/>
      <w:r w:rsidRPr="00C33053">
        <w:rPr>
          <w:rFonts w:ascii="Times New Roman" w:hAnsi="Times New Roman" w:cs="Times New Roman"/>
          <w:color w:val="000000" w:themeColor="text1"/>
          <w:sz w:val="20"/>
          <w:szCs w:val="20"/>
        </w:rPr>
        <w:t xml:space="preserve"> blood-oxygen-level-dependent (BOLD) signals, but its temporal resolution of approximately one to two seconds — reflecting the physiological latency of the cerebrovascular response — makes it fundamentally ill-suited to real-time speech decoding. Hybrid and peripheral approaches, including combined EEG and functional near-infrared spectroscopy (fNIRS) and high-density surface electromyography (sEMG), occupy intermediate positions, leveraging complementary signal properties to partially offset the limitations of each individual modality </w:t>
      </w:r>
      <w:r w:rsidRPr="00C33053">
        <w:rPr>
          <w:rFonts w:ascii="Times New Roman" w:hAnsi="Times New Roman" w:cs="Times New Roman"/>
          <w:color w:val="000000" w:themeColor="text1"/>
          <w:sz w:val="20"/>
          <w:szCs w:val="20"/>
          <w:vertAlign w:val="superscript"/>
        </w:rPr>
        <w:t>[6]</w:t>
      </w:r>
      <w:r w:rsidRPr="00C33053">
        <w:rPr>
          <w:rFonts w:ascii="Times New Roman" w:hAnsi="Times New Roman" w:cs="Times New Roman"/>
          <w:color w:val="000000" w:themeColor="text1"/>
          <w:sz w:val="20"/>
          <w:szCs w:val="20"/>
        </w:rPr>
        <w:t>.</w:t>
      </w:r>
    </w:p>
    <w:p w14:paraId="7AEDEC46"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This diversity is not merely technical — it is clinical. The optimal modality for a locked-in patient who cannot undergo surgery is categorically different from the optimal modality for an ALS patient in the early stages of disease progression, or for a researcher seeking to understand the neuroscience of imagined speech in healthy volunteers. A systematic understanding of what each modality can and cannot deliver, grounded in the empirical evidence of the past decade, is therefore a prerequisite for informed clinical and research decision-making.</w:t>
      </w:r>
    </w:p>
    <w:p w14:paraId="148E4639" w14:textId="77777777" w:rsidR="00C92A2C" w:rsidRPr="00C33053" w:rsidRDefault="00000000">
      <w:pPr>
        <w:pStyle w:val="Heading2"/>
        <w:rPr>
          <w:rFonts w:ascii="Times New Roman" w:hAnsi="Times New Roman" w:cs="Times New Roman"/>
          <w:color w:val="000000" w:themeColor="text1"/>
          <w:sz w:val="20"/>
          <w:szCs w:val="20"/>
        </w:rPr>
      </w:pPr>
      <w:proofErr w:type="gramStart"/>
      <w:r w:rsidRPr="00C33053">
        <w:rPr>
          <w:rFonts w:ascii="Times New Roman" w:hAnsi="Times New Roman" w:cs="Times New Roman"/>
          <w:color w:val="000000" w:themeColor="text1"/>
          <w:sz w:val="20"/>
          <w:szCs w:val="20"/>
        </w:rPr>
        <w:t>1.3  The</w:t>
      </w:r>
      <w:proofErr w:type="gramEnd"/>
      <w:r w:rsidRPr="00C33053">
        <w:rPr>
          <w:rFonts w:ascii="Times New Roman" w:hAnsi="Times New Roman" w:cs="Times New Roman"/>
          <w:color w:val="000000" w:themeColor="text1"/>
          <w:sz w:val="20"/>
          <w:szCs w:val="20"/>
        </w:rPr>
        <w:t xml:space="preserve"> AI Paradigm Shift</w:t>
      </w:r>
    </w:p>
    <w:p w14:paraId="3128B7DF"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The story of brain-to-speech decoding over the past decade is, at its core, a story about artificial intelligence. In 2015, the landmark Brain-to-Text study of Herff and colleagues demonstrated that continuous spoken phrases could be decoded from ECoG signals using hidden Markov model-based automatic speech recognition — achieving approximately 25% </w:t>
      </w:r>
      <w:r w:rsidRPr="00C33053">
        <w:rPr>
          <w:rFonts w:ascii="Times New Roman" w:hAnsi="Times New Roman" w:cs="Times New Roman"/>
          <w:color w:val="000000" w:themeColor="text1"/>
          <w:sz w:val="20"/>
          <w:szCs w:val="20"/>
        </w:rPr>
        <w:lastRenderedPageBreak/>
        <w:t xml:space="preserve">WER on a constrained vocabulary </w:t>
      </w:r>
      <w:r w:rsidRPr="00C33053">
        <w:rPr>
          <w:rFonts w:ascii="Times New Roman" w:hAnsi="Times New Roman" w:cs="Times New Roman"/>
          <w:color w:val="000000" w:themeColor="text1"/>
          <w:sz w:val="20"/>
          <w:szCs w:val="20"/>
          <w:vertAlign w:val="superscript"/>
        </w:rPr>
        <w:t>[9]</w:t>
      </w:r>
      <w:r w:rsidRPr="00C33053">
        <w:rPr>
          <w:rFonts w:ascii="Times New Roman" w:hAnsi="Times New Roman" w:cs="Times New Roman"/>
          <w:color w:val="000000" w:themeColor="text1"/>
          <w:sz w:val="20"/>
          <w:szCs w:val="20"/>
        </w:rPr>
        <w:t>. This was a foundational result, but the architecture was fundamentally the same as the speech recognition engines of the 1990s: handcrafted spectrotemporal features fed into a probabilistic sequence model. It was state-of-the-art for neural decoding, but it was not yet modern AI.</w:t>
      </w:r>
    </w:p>
    <w:p w14:paraId="0222C493"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What followed was a rapid and remarkably faithful recapitulation of the broader deep learning revolution. Convolutional neural networks (CNNs) arrived first, learning spatial and spectrotemporal features from raw or minimally processed neural signals without the need for manual feature engineering </w:t>
      </w:r>
      <w:r w:rsidRPr="00C33053">
        <w:rPr>
          <w:rFonts w:ascii="Times New Roman" w:hAnsi="Times New Roman" w:cs="Times New Roman"/>
          <w:color w:val="000000" w:themeColor="text1"/>
          <w:sz w:val="20"/>
          <w:szCs w:val="20"/>
          <w:vertAlign w:val="superscript"/>
        </w:rPr>
        <w:t>[10]</w:t>
      </w:r>
      <w:r w:rsidRPr="00C33053">
        <w:rPr>
          <w:rFonts w:ascii="Times New Roman" w:hAnsi="Times New Roman" w:cs="Times New Roman"/>
          <w:color w:val="000000" w:themeColor="text1"/>
          <w:sz w:val="20"/>
          <w:szCs w:val="20"/>
        </w:rPr>
        <w:t xml:space="preserve">. Recurrent networks followed — long short-term memory (LSTM) networks and gated recurrent units — capturing the sequential temporal dynamics of speech production in ways that feedforward architectures could not </w:t>
      </w:r>
      <w:r w:rsidRPr="00C33053">
        <w:rPr>
          <w:rFonts w:ascii="Times New Roman" w:hAnsi="Times New Roman" w:cs="Times New Roman"/>
          <w:color w:val="000000" w:themeColor="text1"/>
          <w:sz w:val="20"/>
          <w:szCs w:val="20"/>
          <w:vertAlign w:val="superscript"/>
        </w:rPr>
        <w:t>[11]</w:t>
      </w:r>
      <w:r w:rsidRPr="00C33053">
        <w:rPr>
          <w:rFonts w:ascii="Times New Roman" w:hAnsi="Times New Roman" w:cs="Times New Roman"/>
          <w:color w:val="000000" w:themeColor="text1"/>
          <w:sz w:val="20"/>
          <w:szCs w:val="20"/>
        </w:rPr>
        <w:t xml:space="preserve">. Encoder-decoder frameworks, originally developed for machine translation, gave the field its first genuinely end-to-end brain-to-text pipelines: Makin and colleagues in 2020 demonstrated that the machine translation analogy was not merely metaphorical — neural signals in, text out, with WER approaching 3% on a constrained corpus </w:t>
      </w:r>
      <w:r w:rsidRPr="00C33053">
        <w:rPr>
          <w:rFonts w:ascii="Times New Roman" w:hAnsi="Times New Roman" w:cs="Times New Roman"/>
          <w:color w:val="000000" w:themeColor="text1"/>
          <w:sz w:val="20"/>
          <w:szCs w:val="20"/>
          <w:vertAlign w:val="superscript"/>
        </w:rPr>
        <w:t>[12]</w:t>
      </w:r>
      <w:r w:rsidRPr="00C33053">
        <w:rPr>
          <w:rFonts w:ascii="Times New Roman" w:hAnsi="Times New Roman" w:cs="Times New Roman"/>
          <w:color w:val="000000" w:themeColor="text1"/>
          <w:sz w:val="20"/>
          <w:szCs w:val="20"/>
        </w:rPr>
        <w:t>.</w:t>
      </w:r>
    </w:p>
    <w:p w14:paraId="0ADBF7B9"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The transformer architecture, introduced by Vaswani and colleagues in 2017 for natural language processing </w:t>
      </w:r>
      <w:r w:rsidRPr="00C33053">
        <w:rPr>
          <w:rFonts w:ascii="Times New Roman" w:hAnsi="Times New Roman" w:cs="Times New Roman"/>
          <w:color w:val="000000" w:themeColor="text1"/>
          <w:sz w:val="20"/>
          <w:szCs w:val="20"/>
          <w:vertAlign w:val="superscript"/>
        </w:rPr>
        <w:t>[13]</w:t>
      </w:r>
      <w:r w:rsidRPr="00C33053">
        <w:rPr>
          <w:rFonts w:ascii="Times New Roman" w:hAnsi="Times New Roman" w:cs="Times New Roman"/>
          <w:color w:val="000000" w:themeColor="text1"/>
          <w:sz w:val="20"/>
          <w:szCs w:val="20"/>
        </w:rPr>
        <w:t xml:space="preserve">, reached brain-to-speech decoding approximately five years later — first in non-invasive EEG and MEG paradigms where its capacity for long-range dependency modelling compensated for the spatial limitations of the signal, and subsequently in ECoG systems where it enabled scaling to larger participant cohorts. Self-supervised learning (SSL) approaches — contrastive pre-training on large </w:t>
      </w:r>
      <w:proofErr w:type="spellStart"/>
      <w:r w:rsidRPr="00C33053">
        <w:rPr>
          <w:rFonts w:ascii="Times New Roman" w:hAnsi="Times New Roman" w:cs="Times New Roman"/>
          <w:color w:val="000000" w:themeColor="text1"/>
          <w:sz w:val="20"/>
          <w:szCs w:val="20"/>
        </w:rPr>
        <w:t>unlabelled</w:t>
      </w:r>
      <w:proofErr w:type="spellEnd"/>
      <w:r w:rsidRPr="00C33053">
        <w:rPr>
          <w:rFonts w:ascii="Times New Roman" w:hAnsi="Times New Roman" w:cs="Times New Roman"/>
          <w:color w:val="000000" w:themeColor="text1"/>
          <w:sz w:val="20"/>
          <w:szCs w:val="20"/>
        </w:rPr>
        <w:t xml:space="preserve"> neural corpora, analogous to wav2vec for audio </w:t>
      </w:r>
      <w:r w:rsidRPr="00C33053">
        <w:rPr>
          <w:rFonts w:ascii="Times New Roman" w:hAnsi="Times New Roman" w:cs="Times New Roman"/>
          <w:color w:val="000000" w:themeColor="text1"/>
          <w:sz w:val="20"/>
          <w:szCs w:val="20"/>
          <w:vertAlign w:val="superscript"/>
        </w:rPr>
        <w:t>[14]</w:t>
      </w:r>
      <w:r w:rsidRPr="00C33053">
        <w:rPr>
          <w:rFonts w:ascii="Times New Roman" w:hAnsi="Times New Roman" w:cs="Times New Roman"/>
          <w:color w:val="000000" w:themeColor="text1"/>
          <w:sz w:val="20"/>
          <w:szCs w:val="20"/>
        </w:rPr>
        <w:t xml:space="preserve"> — began reducing the labeled data bottleneck that had constrained all prior work. And most recently, integration with large language models (LLMs) has demonstrated that linguistic priors can dramatically reduce WER for open-vocabulary systems: the current best-reported WER of 2.5% </w:t>
      </w:r>
      <w:r w:rsidRPr="00C33053">
        <w:rPr>
          <w:rFonts w:ascii="Times New Roman" w:hAnsi="Times New Roman" w:cs="Times New Roman"/>
          <w:color w:val="000000" w:themeColor="text1"/>
          <w:sz w:val="20"/>
          <w:szCs w:val="20"/>
          <w:vertAlign w:val="superscript"/>
        </w:rPr>
        <w:t>[5]</w:t>
      </w:r>
      <w:r w:rsidRPr="00C33053">
        <w:rPr>
          <w:rFonts w:ascii="Times New Roman" w:hAnsi="Times New Roman" w:cs="Times New Roman"/>
          <w:color w:val="000000" w:themeColor="text1"/>
          <w:sz w:val="20"/>
          <w:szCs w:val="20"/>
        </w:rPr>
        <w:t xml:space="preserve"> is not achievable without the language model that frames and corrects the neural decoder's output within the probability space of natural English. The AI engine of brain-to-speech decoding has transformed beyond recognition in a single decade, and the performance gains have been correspondingly extraordinary.</w:t>
      </w:r>
    </w:p>
    <w:p w14:paraId="33BB3027"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Non-invasive modalities have shared in this AI-driven progress, though with necessarily different expectations. The contrastive SSL approach of Défossez and colleagues in 2023 achieved </w:t>
      </w:r>
      <w:proofErr w:type="gramStart"/>
      <w:r w:rsidRPr="00C33053">
        <w:rPr>
          <w:rFonts w:ascii="Times New Roman" w:hAnsi="Times New Roman" w:cs="Times New Roman"/>
          <w:color w:val="000000" w:themeColor="text1"/>
          <w:sz w:val="20"/>
          <w:szCs w:val="20"/>
        </w:rPr>
        <w:t>top-1</w:t>
      </w:r>
      <w:proofErr w:type="gramEnd"/>
      <w:r w:rsidRPr="00C33053">
        <w:rPr>
          <w:rFonts w:ascii="Times New Roman" w:hAnsi="Times New Roman" w:cs="Times New Roman"/>
          <w:color w:val="000000" w:themeColor="text1"/>
          <w:sz w:val="20"/>
          <w:szCs w:val="20"/>
        </w:rPr>
        <w:t xml:space="preserve"> classification accuracy of 41% across 175 participants from four public MEG and EEG datasets </w:t>
      </w:r>
      <w:r w:rsidRPr="00C33053">
        <w:rPr>
          <w:rFonts w:ascii="Times New Roman" w:hAnsi="Times New Roman" w:cs="Times New Roman"/>
          <w:color w:val="000000" w:themeColor="text1"/>
          <w:sz w:val="20"/>
          <w:szCs w:val="20"/>
          <w:vertAlign w:val="superscript"/>
        </w:rPr>
        <w:t>[15]</w:t>
      </w:r>
      <w:r w:rsidRPr="00C33053">
        <w:rPr>
          <w:rFonts w:ascii="Times New Roman" w:hAnsi="Times New Roman" w:cs="Times New Roman"/>
          <w:color w:val="000000" w:themeColor="text1"/>
          <w:sz w:val="20"/>
          <w:szCs w:val="20"/>
        </w:rPr>
        <w:t xml:space="preserve"> — a result inconceivable with classical machine learning on such a scale. The subsequent work of </w:t>
      </w:r>
      <w:proofErr w:type="spellStart"/>
      <w:r w:rsidRPr="00C33053">
        <w:rPr>
          <w:rFonts w:ascii="Times New Roman" w:hAnsi="Times New Roman" w:cs="Times New Roman"/>
          <w:color w:val="000000" w:themeColor="text1"/>
          <w:sz w:val="20"/>
          <w:szCs w:val="20"/>
        </w:rPr>
        <w:t>d'Ascoli</w:t>
      </w:r>
      <w:proofErr w:type="spellEnd"/>
      <w:r w:rsidRPr="00C33053">
        <w:rPr>
          <w:rFonts w:ascii="Times New Roman" w:hAnsi="Times New Roman" w:cs="Times New Roman"/>
          <w:color w:val="000000" w:themeColor="text1"/>
          <w:sz w:val="20"/>
          <w:szCs w:val="20"/>
        </w:rPr>
        <w:t xml:space="preserve"> and colleagues in 2025, training a single CNN-transformer architecture across 723 participants from seven datasets in three languages, demonstrated that neural decoding performance scales with data volume in a manner analogous to the scaling laws of large language models </w:t>
      </w:r>
      <w:r w:rsidRPr="00C33053">
        <w:rPr>
          <w:rFonts w:ascii="Times New Roman" w:hAnsi="Times New Roman" w:cs="Times New Roman"/>
          <w:color w:val="000000" w:themeColor="text1"/>
          <w:sz w:val="20"/>
          <w:szCs w:val="20"/>
          <w:vertAlign w:val="superscript"/>
        </w:rPr>
        <w:t>[16]</w:t>
      </w:r>
      <w:r w:rsidRPr="00C33053">
        <w:rPr>
          <w:rFonts w:ascii="Times New Roman" w:hAnsi="Times New Roman" w:cs="Times New Roman"/>
          <w:color w:val="000000" w:themeColor="text1"/>
          <w:sz w:val="20"/>
          <w:szCs w:val="20"/>
        </w:rPr>
        <w:t xml:space="preserve">. Even fMRI — despite its temporal limitations — has yielded continuous semantic language reconstruction from non-invasive brain signals, with Tang and colleagues demonstrating 100% story identification accuracy </w:t>
      </w:r>
      <w:r w:rsidRPr="00C33053">
        <w:rPr>
          <w:rFonts w:ascii="Times New Roman" w:hAnsi="Times New Roman" w:cs="Times New Roman"/>
          <w:color w:val="000000" w:themeColor="text1"/>
          <w:sz w:val="20"/>
          <w:szCs w:val="20"/>
          <w:vertAlign w:val="superscript"/>
        </w:rPr>
        <w:t>[17]</w:t>
      </w:r>
      <w:r w:rsidRPr="00C33053">
        <w:rPr>
          <w:rFonts w:ascii="Times New Roman" w:hAnsi="Times New Roman" w:cs="Times New Roman"/>
          <w:color w:val="000000" w:themeColor="text1"/>
          <w:sz w:val="20"/>
          <w:szCs w:val="20"/>
        </w:rPr>
        <w:t>. The field that once deciphered isolated phonemes from a handful of electrodes can now, in optimal conditions, reconstruct the meaning of a continuous narrative from a brain scan.</w:t>
      </w:r>
    </w:p>
    <w:p w14:paraId="2F331EA1" w14:textId="77777777" w:rsidR="00C92A2C" w:rsidRPr="00C33053" w:rsidRDefault="00000000">
      <w:pPr>
        <w:pStyle w:val="Heading2"/>
        <w:rPr>
          <w:rFonts w:ascii="Times New Roman" w:hAnsi="Times New Roman" w:cs="Times New Roman"/>
          <w:color w:val="000000" w:themeColor="text1"/>
          <w:sz w:val="20"/>
          <w:szCs w:val="20"/>
        </w:rPr>
      </w:pPr>
      <w:proofErr w:type="gramStart"/>
      <w:r w:rsidRPr="00C33053">
        <w:rPr>
          <w:rFonts w:ascii="Times New Roman" w:hAnsi="Times New Roman" w:cs="Times New Roman"/>
          <w:color w:val="000000" w:themeColor="text1"/>
          <w:sz w:val="20"/>
          <w:szCs w:val="20"/>
        </w:rPr>
        <w:t>1.4  Why</w:t>
      </w:r>
      <w:proofErr w:type="gramEnd"/>
      <w:r w:rsidRPr="00C33053">
        <w:rPr>
          <w:rFonts w:ascii="Times New Roman" w:hAnsi="Times New Roman" w:cs="Times New Roman"/>
          <w:color w:val="000000" w:themeColor="text1"/>
          <w:sz w:val="20"/>
          <w:szCs w:val="20"/>
        </w:rPr>
        <w:t xml:space="preserve"> a Systematic Review Now</w:t>
      </w:r>
    </w:p>
    <w:p w14:paraId="572AC23E"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Progress of this magnitude generates its own challenge. The brain-to-speech decoding literature has grown rapidly, sprawling across neuroscience, engineering, clinical medicine, and computer science journals, employing diverse AI architectures on diverse neural recording modalities in diverse experimental paradigms — and reporting results in metrics </w:t>
      </w:r>
      <w:r w:rsidRPr="00C33053">
        <w:rPr>
          <w:rFonts w:ascii="Times New Roman" w:hAnsi="Times New Roman" w:cs="Times New Roman"/>
          <w:color w:val="000000" w:themeColor="text1"/>
          <w:sz w:val="20"/>
          <w:szCs w:val="20"/>
        </w:rPr>
        <w:lastRenderedPageBreak/>
        <w:t xml:space="preserve">so heterogeneous that direct cross-study comparison is, in most cases, methodologically invalid. A WER of 9% achieved on a 50-word vocabulary is not equivalent to a WER of 23% on a 125,000-word vocabulary, even when both values come from the same system in the same study </w:t>
      </w:r>
      <w:r w:rsidRPr="00C33053">
        <w:rPr>
          <w:rFonts w:ascii="Times New Roman" w:hAnsi="Times New Roman" w:cs="Times New Roman"/>
          <w:color w:val="000000" w:themeColor="text1"/>
          <w:sz w:val="20"/>
          <w:szCs w:val="20"/>
          <w:vertAlign w:val="superscript"/>
        </w:rPr>
        <w:t>[3]</w:t>
      </w:r>
      <w:r w:rsidRPr="00C33053">
        <w:rPr>
          <w:rFonts w:ascii="Times New Roman" w:hAnsi="Times New Roman" w:cs="Times New Roman"/>
          <w:color w:val="000000" w:themeColor="text1"/>
          <w:sz w:val="20"/>
          <w:szCs w:val="20"/>
        </w:rPr>
        <w:t xml:space="preserve">. A classification accuracy of 92% on a four-class imagined speech task is not comparable to a BLEU score on open-vocabulary EEG-to-text generation. A Pearson correlation coefficient of 0.87 on articulatory feature reconstruction does not translate into any </w:t>
      </w:r>
      <w:proofErr w:type="gramStart"/>
      <w:r w:rsidRPr="00C33053">
        <w:rPr>
          <w:rFonts w:ascii="Times New Roman" w:hAnsi="Times New Roman" w:cs="Times New Roman"/>
          <w:color w:val="000000" w:themeColor="text1"/>
          <w:sz w:val="20"/>
          <w:szCs w:val="20"/>
        </w:rPr>
        <w:t>particular word</w:t>
      </w:r>
      <w:proofErr w:type="gramEnd"/>
      <w:r w:rsidRPr="00C33053">
        <w:rPr>
          <w:rFonts w:ascii="Times New Roman" w:hAnsi="Times New Roman" w:cs="Times New Roman"/>
          <w:color w:val="000000" w:themeColor="text1"/>
          <w:sz w:val="20"/>
          <w:szCs w:val="20"/>
        </w:rPr>
        <w:t xml:space="preserve"> error rate. Yet these benchmarks appear side by side in review papers and grant applications as if they were commensurable measures of field progress. They are not.</w:t>
      </w:r>
    </w:p>
    <w:p w14:paraId="1E6AAC1D"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 xml:space="preserve">Three prior reviews have addressed portions of this landscape. Panachakel and Ramakrishnan (2021) provided a comprehensive review of EEG-based imagined speech decoding </w:t>
      </w:r>
      <w:r w:rsidRPr="00C33053">
        <w:rPr>
          <w:rFonts w:ascii="Times New Roman" w:hAnsi="Times New Roman" w:cs="Times New Roman"/>
          <w:color w:val="000000" w:themeColor="text1"/>
          <w:sz w:val="20"/>
          <w:szCs w:val="20"/>
          <w:vertAlign w:val="superscript"/>
        </w:rPr>
        <w:t>[18]</w:t>
      </w:r>
      <w:r w:rsidRPr="00C33053">
        <w:rPr>
          <w:rFonts w:ascii="Times New Roman" w:hAnsi="Times New Roman" w:cs="Times New Roman"/>
          <w:color w:val="000000" w:themeColor="text1"/>
          <w:sz w:val="20"/>
          <w:szCs w:val="20"/>
        </w:rPr>
        <w:t xml:space="preserve">, and Lopez-Bernal and colleagues (2022) offered a focused state-of-the-art review of the same domain </w:t>
      </w:r>
      <w:r w:rsidRPr="00C33053">
        <w:rPr>
          <w:rFonts w:ascii="Times New Roman" w:hAnsi="Times New Roman" w:cs="Times New Roman"/>
          <w:color w:val="000000" w:themeColor="text1"/>
          <w:sz w:val="20"/>
          <w:szCs w:val="20"/>
          <w:vertAlign w:val="superscript"/>
        </w:rPr>
        <w:t>[19]</w:t>
      </w:r>
      <w:r w:rsidRPr="00C33053">
        <w:rPr>
          <w:rFonts w:ascii="Times New Roman" w:hAnsi="Times New Roman" w:cs="Times New Roman"/>
          <w:color w:val="000000" w:themeColor="text1"/>
          <w:sz w:val="20"/>
          <w:szCs w:val="20"/>
        </w:rPr>
        <w:t xml:space="preserve">. Rabbani, Milsap, and Crone (2019) examined the ECoG modality specifically for chronic speech BCI applications </w:t>
      </w:r>
      <w:r w:rsidRPr="00C33053">
        <w:rPr>
          <w:rFonts w:ascii="Times New Roman" w:hAnsi="Times New Roman" w:cs="Times New Roman"/>
          <w:color w:val="000000" w:themeColor="text1"/>
          <w:sz w:val="20"/>
          <w:szCs w:val="20"/>
          <w:vertAlign w:val="superscript"/>
        </w:rPr>
        <w:t>[20]</w:t>
      </w:r>
      <w:r w:rsidRPr="00C33053">
        <w:rPr>
          <w:rFonts w:ascii="Times New Roman" w:hAnsi="Times New Roman" w:cs="Times New Roman"/>
          <w:color w:val="000000" w:themeColor="text1"/>
          <w:sz w:val="20"/>
          <w:szCs w:val="20"/>
        </w:rPr>
        <w:t>. Each of these contributions is valuable within its scope. But none synthesizes AI methodological evolution, quantitative performance benchmarks, and generalization evidence across the full modality landscape — from ECoG to MEG, from RNNs to foundation models — in a unified, PRISMA-compliant systematic framework. The field has grown substantially since these reviews were conducted. The transformer revolution, the SSL pre-training paradigm, and the emergence of LLM-integrated decoders all postdate or were nascent at the time of their literature windows.</w:t>
      </w:r>
    </w:p>
    <w:p w14:paraId="7D599FC2"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There is also a generalization crisis that the literature has not yet squarely confronted. Of the 71 empirical studies identified in the present review and meeting all eligibility criteria, 40 — that is, 56% — demonstrate no generalization of their decoding model beyond the single participant and single session in which it was developed. Cross-session evidence comes from exactly two studies. Cross-language evidence from exactly two. For a technology whose clinical promise rests on its eventual deployability across diverse patient populations, the predominance of single-participant, single-session, closed-vocabulary demonstrations represents a structural gap that systematic synthesis is uniquely positioned to expose and quantify. Clinicians considering whether to recommend implantation, researchers designing the next wave of experiments, and funding bodies allocating resources all require an honest, evidence-grounded accounting of what has been demonstrated, what has merely been claimed, and what remains entirely unproven.</w:t>
      </w:r>
    </w:p>
    <w:p w14:paraId="7252E3C3"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The present review addresses this need through three specific research questions: (RQ1) What AI architectures have been applied to brain-to-speech decoding from 2015 to 2026, and how have they evolved? (RQ2) What quantitative performance benchmarks are reported, and to what extent are they directly comparable across studies? (RQ3) To what extent do the reported AI decoders generalize across participants, sessions, languages, and recording modalities? These three questions are not independent — the answer to RQ3 depends critically on the methodological clarity established by RQ1 and RQ2 — and it is their joint consideration, across all modalities and all AI paradigms simultaneously, that distinguishes the present contribution from prior work.</w:t>
      </w:r>
    </w:p>
    <w:p w14:paraId="70F8ADA4" w14:textId="77777777" w:rsidR="00C92A2C" w:rsidRPr="00C33053" w:rsidRDefault="00000000">
      <w:pPr>
        <w:pStyle w:val="Heading2"/>
        <w:rPr>
          <w:rFonts w:ascii="Times New Roman" w:hAnsi="Times New Roman" w:cs="Times New Roman"/>
          <w:color w:val="000000" w:themeColor="text1"/>
          <w:sz w:val="20"/>
          <w:szCs w:val="20"/>
        </w:rPr>
      </w:pPr>
      <w:proofErr w:type="gramStart"/>
      <w:r w:rsidRPr="00C33053">
        <w:rPr>
          <w:rFonts w:ascii="Times New Roman" w:hAnsi="Times New Roman" w:cs="Times New Roman"/>
          <w:color w:val="000000" w:themeColor="text1"/>
          <w:sz w:val="20"/>
          <w:szCs w:val="20"/>
        </w:rPr>
        <w:t>1.5  Scope</w:t>
      </w:r>
      <w:proofErr w:type="gramEnd"/>
      <w:r w:rsidRPr="00C33053">
        <w:rPr>
          <w:rFonts w:ascii="Times New Roman" w:hAnsi="Times New Roman" w:cs="Times New Roman"/>
          <w:color w:val="000000" w:themeColor="text1"/>
          <w:sz w:val="20"/>
          <w:szCs w:val="20"/>
        </w:rPr>
        <w:t xml:space="preserve"> and </w:t>
      </w:r>
      <w:proofErr w:type="spellStart"/>
      <w:r w:rsidRPr="00C33053">
        <w:rPr>
          <w:rFonts w:ascii="Times New Roman" w:hAnsi="Times New Roman" w:cs="Times New Roman"/>
          <w:color w:val="000000" w:themeColor="text1"/>
          <w:sz w:val="20"/>
          <w:szCs w:val="20"/>
        </w:rPr>
        <w:t>Organisation</w:t>
      </w:r>
      <w:proofErr w:type="spellEnd"/>
      <w:r w:rsidRPr="00C33053">
        <w:rPr>
          <w:rFonts w:ascii="Times New Roman" w:hAnsi="Times New Roman" w:cs="Times New Roman"/>
          <w:color w:val="000000" w:themeColor="text1"/>
          <w:sz w:val="20"/>
          <w:szCs w:val="20"/>
        </w:rPr>
        <w:t xml:space="preserve"> of This Review</w:t>
      </w:r>
    </w:p>
    <w:p w14:paraId="0F2A6BE2"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This systematic review covers peer-</w:t>
      </w:r>
      <w:proofErr w:type="gramStart"/>
      <w:r w:rsidRPr="00C33053">
        <w:rPr>
          <w:rFonts w:ascii="Times New Roman" w:hAnsi="Times New Roman" w:cs="Times New Roman"/>
          <w:color w:val="000000" w:themeColor="text1"/>
          <w:sz w:val="20"/>
          <w:szCs w:val="20"/>
        </w:rPr>
        <w:t>reviewed</w:t>
      </w:r>
      <w:proofErr w:type="gramEnd"/>
      <w:r w:rsidRPr="00C33053">
        <w:rPr>
          <w:rFonts w:ascii="Times New Roman" w:hAnsi="Times New Roman" w:cs="Times New Roman"/>
          <w:color w:val="000000" w:themeColor="text1"/>
          <w:sz w:val="20"/>
          <w:szCs w:val="20"/>
        </w:rPr>
        <w:t xml:space="preserve"> and preprint studies published between January 2015 and April 2026, identified through searches of PubMed, Scopus, IEEE Xplore, Web of Science, and arXiv. Eligible studies were required to involve human neural recording data, an AI computational decoding model, at least one quantitative performance metric, </w:t>
      </w:r>
      <w:r w:rsidRPr="00C33053">
        <w:rPr>
          <w:rFonts w:ascii="Times New Roman" w:hAnsi="Times New Roman" w:cs="Times New Roman"/>
          <w:color w:val="000000" w:themeColor="text1"/>
          <w:sz w:val="20"/>
          <w:szCs w:val="20"/>
        </w:rPr>
        <w:lastRenderedPageBreak/>
        <w:t xml:space="preserve">and a primary outcome of decoding or reconstructing speech-related output from brain signals. The review encompasses five modality groups: invasive (ECoG, intracortical arrays, and sEEG), non-invasive EEG, non-invasive MEG and fMRI, hybrid and peripheral modalities (including sEMG and </w:t>
      </w:r>
      <w:proofErr w:type="spellStart"/>
      <w:r w:rsidRPr="00C33053">
        <w:rPr>
          <w:rFonts w:ascii="Times New Roman" w:hAnsi="Times New Roman" w:cs="Times New Roman"/>
          <w:color w:val="000000" w:themeColor="text1"/>
          <w:sz w:val="20"/>
          <w:szCs w:val="20"/>
        </w:rPr>
        <w:t>EEG+fNIRS</w:t>
      </w:r>
      <w:proofErr w:type="spellEnd"/>
      <w:r w:rsidRPr="00C33053">
        <w:rPr>
          <w:rFonts w:ascii="Times New Roman" w:hAnsi="Times New Roman" w:cs="Times New Roman"/>
          <w:color w:val="000000" w:themeColor="text1"/>
          <w:sz w:val="20"/>
          <w:szCs w:val="20"/>
        </w:rPr>
        <w:t xml:space="preserve">), and foundation model and transfer learning approaches spanning multiple modalities. Following PRISMA 2020 screening </w:t>
      </w:r>
      <w:r w:rsidRPr="00C33053">
        <w:rPr>
          <w:rFonts w:ascii="Times New Roman" w:hAnsi="Times New Roman" w:cs="Times New Roman"/>
          <w:color w:val="000000" w:themeColor="text1"/>
          <w:sz w:val="20"/>
          <w:szCs w:val="20"/>
          <w:vertAlign w:val="superscript"/>
        </w:rPr>
        <w:t>[21]</w:t>
      </w:r>
      <w:r w:rsidRPr="00C33053">
        <w:rPr>
          <w:rFonts w:ascii="Times New Roman" w:hAnsi="Times New Roman" w:cs="Times New Roman"/>
          <w:color w:val="000000" w:themeColor="text1"/>
          <w:sz w:val="20"/>
          <w:szCs w:val="20"/>
        </w:rPr>
        <w:t>, 71 studies were included in the final evidence synthesis.</w:t>
      </w:r>
    </w:p>
    <w:p w14:paraId="697987F4" w14:textId="77777777" w:rsidR="00C92A2C" w:rsidRPr="00C33053" w:rsidRDefault="00000000">
      <w:pPr>
        <w:spacing w:after="180" w:line="360" w:lineRule="auto"/>
        <w:jc w:val="both"/>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The remainder of this paper is organized as follows. Section 2 describes the methodology, including protocol registration, eligibility criteria, search strategy, study selection, data extraction, quality assessment, and synthesis approach. Section 3 characterizes the neural recording modalities represented in the included studies, comparing their technical properties and suitability for clinical deployment. Section 4 presents the AI architecture synthesis, tracing the evolution of methodological approaches from traditional machine learning through self-supervised learning and LLM integration. Section 5 reports the quantitative performance benchmarks, with explicit analysis of the comparability dimensions that limit cross-study synthesis. Section 6 systematically evaluates the generalization evidence, addressing RQ3 directly and quantifying the extent of the generalization gap. Section 7 discusses the implications of these findings for research priorities and clinical translation, and Section 8 states the conclusions of the review.</w:t>
      </w:r>
    </w:p>
    <w:p w14:paraId="168842F7" w14:textId="77777777" w:rsidR="00C92A2C" w:rsidRPr="00C33053" w:rsidRDefault="00000000">
      <w:pPr>
        <w:spacing w:before="300" w:after="16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References</w:t>
      </w:r>
    </w:p>
    <w:p w14:paraId="047DCDD5" w14:textId="77777777" w:rsidR="00C92A2C" w:rsidRPr="00C33053" w:rsidRDefault="00000000">
      <w:pPr>
        <w:spacing w:before="120" w:line="320" w:lineRule="auto"/>
        <w:rPr>
          <w:rFonts w:ascii="Times New Roman" w:hAnsi="Times New Roman" w:cs="Times New Roman"/>
          <w:color w:val="000000" w:themeColor="text1"/>
          <w:sz w:val="20"/>
          <w:szCs w:val="20"/>
        </w:rPr>
      </w:pPr>
      <w:r w:rsidRPr="00C33053">
        <w:rPr>
          <w:rFonts w:ascii="Times New Roman" w:hAnsi="Times New Roman" w:cs="Times New Roman"/>
          <w:color w:val="000000" w:themeColor="text1"/>
          <w:sz w:val="20"/>
          <w:szCs w:val="20"/>
        </w:rPr>
        <w:t>Section 1 references — to be renumbered sequentially in the final manuscript pass.</w:t>
      </w:r>
    </w:p>
    <w:p w14:paraId="694E1E85" w14:textId="77777777" w:rsidR="00C92A2C" w:rsidRPr="00C33053" w:rsidRDefault="00C92A2C">
      <w:pPr>
        <w:spacing w:after="60"/>
        <w:rPr>
          <w:rFonts w:ascii="Times New Roman" w:hAnsi="Times New Roman" w:cs="Times New Roman"/>
          <w:color w:val="000000" w:themeColor="text1"/>
          <w:sz w:val="20"/>
          <w:szCs w:val="20"/>
        </w:rPr>
      </w:pPr>
    </w:p>
    <w:p w14:paraId="74F5D2B8"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w:t>
      </w:r>
      <w:r w:rsidRPr="00C33053">
        <w:rPr>
          <w:rFonts w:ascii="Times New Roman" w:hAnsi="Times New Roman" w:cs="Times New Roman"/>
          <w:color w:val="000000" w:themeColor="text1"/>
          <w:sz w:val="20"/>
          <w:szCs w:val="20"/>
        </w:rPr>
        <w:tab/>
        <w:t xml:space="preserve">S. Laureys, M.-E. </w:t>
      </w:r>
      <w:proofErr w:type="spellStart"/>
      <w:r w:rsidRPr="00C33053">
        <w:rPr>
          <w:rFonts w:ascii="Times New Roman" w:hAnsi="Times New Roman" w:cs="Times New Roman"/>
          <w:color w:val="000000" w:themeColor="text1"/>
          <w:sz w:val="20"/>
          <w:szCs w:val="20"/>
        </w:rPr>
        <w:t>Faymonville</w:t>
      </w:r>
      <w:proofErr w:type="spellEnd"/>
      <w:r w:rsidRPr="00C33053">
        <w:rPr>
          <w:rFonts w:ascii="Times New Roman" w:hAnsi="Times New Roman" w:cs="Times New Roman"/>
          <w:color w:val="000000" w:themeColor="text1"/>
          <w:sz w:val="20"/>
          <w:szCs w:val="20"/>
        </w:rPr>
        <w:t xml:space="preserve">, and P. Maquet, "Unresponsive wakefulness syndrome: A new name for the vegetative state or </w:t>
      </w:r>
      <w:proofErr w:type="spellStart"/>
      <w:r w:rsidRPr="00C33053">
        <w:rPr>
          <w:rFonts w:ascii="Times New Roman" w:hAnsi="Times New Roman" w:cs="Times New Roman"/>
          <w:color w:val="000000" w:themeColor="text1"/>
          <w:sz w:val="20"/>
          <w:szCs w:val="20"/>
        </w:rPr>
        <w:t>apallic</w:t>
      </w:r>
      <w:proofErr w:type="spellEnd"/>
      <w:r w:rsidRPr="00C33053">
        <w:rPr>
          <w:rFonts w:ascii="Times New Roman" w:hAnsi="Times New Roman" w:cs="Times New Roman"/>
          <w:color w:val="000000" w:themeColor="text1"/>
          <w:sz w:val="20"/>
          <w:szCs w:val="20"/>
        </w:rPr>
        <w:t xml:space="preserve"> syndrome," BMC Med., vol. 8, Art. no. 68, Nov. 2010,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10.1186/1741-7015-8-68.</w:t>
      </w:r>
    </w:p>
    <w:p w14:paraId="15A1C718"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[2]</w:t>
      </w:r>
      <w:r w:rsidRPr="00C33053">
        <w:rPr>
          <w:rFonts w:ascii="Times New Roman" w:hAnsi="Times New Roman" w:cs="Times New Roman"/>
          <w:color w:val="000000" w:themeColor="text1"/>
          <w:sz w:val="20"/>
          <w:szCs w:val="20"/>
        </w:rPr>
        <w:tab/>
        <w:t xml:space="preserve">D. A. Moses, S. L. Metzger, J. R. Liu, G. K. </w:t>
      </w:r>
      <w:proofErr w:type="spellStart"/>
      <w:r w:rsidRPr="00C33053">
        <w:rPr>
          <w:rFonts w:ascii="Times New Roman" w:hAnsi="Times New Roman" w:cs="Times New Roman"/>
          <w:color w:val="000000" w:themeColor="text1"/>
          <w:sz w:val="20"/>
          <w:szCs w:val="20"/>
        </w:rPr>
        <w:t>Anumanchipalli</w:t>
      </w:r>
      <w:proofErr w:type="spellEnd"/>
      <w:r w:rsidRPr="00C33053">
        <w:rPr>
          <w:rFonts w:ascii="Times New Roman" w:hAnsi="Times New Roman" w:cs="Times New Roman"/>
          <w:color w:val="000000" w:themeColor="text1"/>
          <w:sz w:val="20"/>
          <w:szCs w:val="20"/>
        </w:rPr>
        <w:t xml:space="preserve">, J. G. Makin, P. F. Sun, J. Chartier, M. E. Dougherty, P. M. Liu, G. M. Abrams, A. Tu-Chan, K. Ganguly, and E. F. Chang, "Neuroprosthesis for decoding speech in a paralyzed person with anarthria," N. Engl. J. Med., vol. 385, no. 3, pp. 217–227, Jul. 2021,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10.1056/NEJMoa2119271.</w:t>
      </w:r>
    </w:p>
    <w:p w14:paraId="7A5FACEC"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[3]</w:t>
      </w:r>
      <w:r w:rsidRPr="00C33053">
        <w:rPr>
          <w:rFonts w:ascii="Times New Roman" w:hAnsi="Times New Roman" w:cs="Times New Roman"/>
          <w:color w:val="000000" w:themeColor="text1"/>
          <w:sz w:val="20"/>
          <w:szCs w:val="20"/>
        </w:rPr>
        <w:tab/>
        <w:t xml:space="preserve">F. R. Willett, E. M. Kunz, C. Fan, D. T. Avansino, G. H. Wilson, E. Y. Choi, F. Kamdar, M. F. Glasser, L. R. Hochberg, S. Druckmann, K. V. Shenoy, and J. M. Henderson, "A high-performance speech neuroprosthesis," Nature, vol. 620, pp. 1031–1036, Aug. 2023,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10.1038/s41586-023-06377-x.</w:t>
      </w:r>
    </w:p>
    <w:p w14:paraId="4379C555"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[4]</w:t>
      </w:r>
      <w:r w:rsidRPr="00C33053">
        <w:rPr>
          <w:rFonts w:ascii="Times New Roman" w:hAnsi="Times New Roman" w:cs="Times New Roman"/>
          <w:color w:val="000000" w:themeColor="text1"/>
          <w:sz w:val="20"/>
          <w:szCs w:val="20"/>
        </w:rPr>
        <w:tab/>
        <w:t xml:space="preserve">S. L. Metzger, K. T. Littlejohn, A. B. Silva, D. A. Moses, M. P. Seaton, R. Wang, M. E. Dougherty, J. R. Liu, P. F. Sun, J. L. Villaroman, G. K. </w:t>
      </w:r>
      <w:proofErr w:type="spellStart"/>
      <w:r w:rsidRPr="00C33053">
        <w:rPr>
          <w:rFonts w:ascii="Times New Roman" w:hAnsi="Times New Roman" w:cs="Times New Roman"/>
          <w:color w:val="000000" w:themeColor="text1"/>
          <w:sz w:val="20"/>
          <w:szCs w:val="20"/>
        </w:rPr>
        <w:t>Anumanchipalli</w:t>
      </w:r>
      <w:proofErr w:type="spellEnd"/>
      <w:r w:rsidRPr="00C33053">
        <w:rPr>
          <w:rFonts w:ascii="Times New Roman" w:hAnsi="Times New Roman" w:cs="Times New Roman"/>
          <w:color w:val="000000" w:themeColor="text1"/>
          <w:sz w:val="20"/>
          <w:szCs w:val="20"/>
        </w:rPr>
        <w:t xml:space="preserve">, L. Chartier-Chevalier, M. S. Hamilton, P. </w:t>
      </w:r>
      <w:proofErr w:type="spellStart"/>
      <w:r w:rsidRPr="00C33053">
        <w:rPr>
          <w:rFonts w:ascii="Times New Roman" w:hAnsi="Times New Roman" w:cs="Times New Roman"/>
          <w:color w:val="000000" w:themeColor="text1"/>
          <w:sz w:val="20"/>
          <w:szCs w:val="20"/>
        </w:rPr>
        <w:t>Turakhia</w:t>
      </w:r>
      <w:proofErr w:type="spellEnd"/>
      <w:r w:rsidRPr="00C33053">
        <w:rPr>
          <w:rFonts w:ascii="Times New Roman" w:hAnsi="Times New Roman" w:cs="Times New Roman"/>
          <w:color w:val="000000" w:themeColor="text1"/>
          <w:sz w:val="20"/>
          <w:szCs w:val="20"/>
        </w:rPr>
        <w:t xml:space="preserve">, J. M. Chung, D. A. Chang, L. M. Schechter, N. W. Friedman, H. E. Scott, A. Tu-Chan, K. Ganguly, and E. F. Chang, "A high-performance neuroprosthesis for speech decoding and avatar control," Nature, vol. 620, pp. 1037–1046, Aug. 2023,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10.1038/s41586-023-06443-4.</w:t>
      </w:r>
    </w:p>
    <w:p w14:paraId="3194216D"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[5]</w:t>
      </w:r>
      <w:r w:rsidRPr="00C33053">
        <w:rPr>
          <w:rFonts w:ascii="Times New Roman" w:hAnsi="Times New Roman" w:cs="Times New Roman"/>
          <w:color w:val="000000" w:themeColor="text1"/>
          <w:sz w:val="20"/>
          <w:szCs w:val="20"/>
        </w:rPr>
        <w:tab/>
        <w:t xml:space="preserve">N. S. Card, M. </w:t>
      </w:r>
      <w:proofErr w:type="spellStart"/>
      <w:r w:rsidRPr="00C33053">
        <w:rPr>
          <w:rFonts w:ascii="Times New Roman" w:hAnsi="Times New Roman" w:cs="Times New Roman"/>
          <w:color w:val="000000" w:themeColor="text1"/>
          <w:sz w:val="20"/>
          <w:szCs w:val="20"/>
        </w:rPr>
        <w:t>Wairagkar</w:t>
      </w:r>
      <w:proofErr w:type="spellEnd"/>
      <w:r w:rsidRPr="00C33053">
        <w:rPr>
          <w:rFonts w:ascii="Times New Roman" w:hAnsi="Times New Roman" w:cs="Times New Roman"/>
          <w:color w:val="000000" w:themeColor="text1"/>
          <w:sz w:val="20"/>
          <w:szCs w:val="20"/>
        </w:rPr>
        <w:t xml:space="preserve">, C. Iacobacci, X. Hou, T. Singer-Clark, F. R. Willett, E. M. Kunz, C. Fan, M. V. Nia, D. R. Deo, A. Srinivasan, E. Y. Choi, M. F. Glasser, L. R. Hochberg, J. M. Henderson, K. </w:t>
      </w:r>
      <w:proofErr w:type="spellStart"/>
      <w:r w:rsidRPr="00C33053">
        <w:rPr>
          <w:rFonts w:ascii="Times New Roman" w:hAnsi="Times New Roman" w:cs="Times New Roman"/>
          <w:color w:val="000000" w:themeColor="text1"/>
          <w:sz w:val="20"/>
          <w:szCs w:val="20"/>
        </w:rPr>
        <w:t>Shahlaie</w:t>
      </w:r>
      <w:proofErr w:type="spellEnd"/>
      <w:r w:rsidRPr="00C33053">
        <w:rPr>
          <w:rFonts w:ascii="Times New Roman" w:hAnsi="Times New Roman" w:cs="Times New Roman"/>
          <w:color w:val="000000" w:themeColor="text1"/>
          <w:sz w:val="20"/>
          <w:szCs w:val="20"/>
        </w:rPr>
        <w:t xml:space="preserve">, S. D. Stavisky, and D. M. Brandman, "An accurate and rapidly calibrating speech neuroprosthesis," N. Engl. J. Med., vol. 391, no. 7, pp. 609–618, Aug. 2024,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10.1056/NEJMoa2314132.</w:t>
      </w:r>
    </w:p>
    <w:p w14:paraId="1AD31A62"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[6]</w:t>
      </w:r>
      <w:r w:rsidRPr="00C33053">
        <w:rPr>
          <w:rFonts w:ascii="Times New Roman" w:hAnsi="Times New Roman" w:cs="Times New Roman"/>
          <w:color w:val="000000" w:themeColor="text1"/>
          <w:sz w:val="20"/>
          <w:szCs w:val="20"/>
        </w:rPr>
        <w:tab/>
        <w:t xml:space="preserve">C. Herff and T. Schultz, "Automatic speech recognition from neural signals: A focused review," Front.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10, Art. no. 429, Sep. 2016,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10.3389/fnins.2016.00429.</w:t>
      </w:r>
    </w:p>
    <w:p w14:paraId="2FA7D587"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lastRenderedPageBreak/>
        <w:t>[7]</w:t>
      </w:r>
      <w:r w:rsidRPr="00C33053">
        <w:rPr>
          <w:rFonts w:ascii="Times New Roman" w:hAnsi="Times New Roman" w:cs="Times New Roman"/>
          <w:color w:val="000000" w:themeColor="text1"/>
          <w:sz w:val="20"/>
          <w:szCs w:val="20"/>
        </w:rPr>
        <w:tab/>
        <w:t xml:space="preserve">G. Hickok and D. Poeppel, "The cortical organization of speech processing," Nat. Rev.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8, no. 5, pp. 393–402, May 2007,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10.1038/nrn2113.</w:t>
      </w:r>
    </w:p>
    <w:p w14:paraId="54B77129"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[8]</w:t>
      </w:r>
      <w:r w:rsidRPr="00C33053">
        <w:rPr>
          <w:rFonts w:ascii="Times New Roman" w:hAnsi="Times New Roman" w:cs="Times New Roman"/>
          <w:color w:val="000000" w:themeColor="text1"/>
          <w:sz w:val="20"/>
          <w:szCs w:val="20"/>
        </w:rPr>
        <w:tab/>
        <w:t xml:space="preserve">A. Singh, T. Thomas, J. Li, G. Hickok, X. </w:t>
      </w:r>
      <w:proofErr w:type="spellStart"/>
      <w:r w:rsidRPr="00C33053">
        <w:rPr>
          <w:rFonts w:ascii="Times New Roman" w:hAnsi="Times New Roman" w:cs="Times New Roman"/>
          <w:color w:val="000000" w:themeColor="text1"/>
          <w:sz w:val="20"/>
          <w:szCs w:val="20"/>
        </w:rPr>
        <w:t>Pitkow</w:t>
      </w:r>
      <w:proofErr w:type="spellEnd"/>
      <w:r w:rsidRPr="00C33053">
        <w:rPr>
          <w:rFonts w:ascii="Times New Roman" w:hAnsi="Times New Roman" w:cs="Times New Roman"/>
          <w:color w:val="000000" w:themeColor="text1"/>
          <w:sz w:val="20"/>
          <w:szCs w:val="20"/>
        </w:rPr>
        <w:t xml:space="preserve">, and N. Tandon, "Transfer learning via distributed brain recordings enables reliable speech decoding," Nat. Commun., vol. 16, Art. no. 8749, Sep. 2025,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10.1038/s41467-025-63825-0.</w:t>
      </w:r>
    </w:p>
    <w:p w14:paraId="1C7D18EC"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[9]</w:t>
      </w:r>
      <w:r w:rsidRPr="00C33053">
        <w:rPr>
          <w:rFonts w:ascii="Times New Roman" w:hAnsi="Times New Roman" w:cs="Times New Roman"/>
          <w:color w:val="000000" w:themeColor="text1"/>
          <w:sz w:val="20"/>
          <w:szCs w:val="20"/>
        </w:rPr>
        <w:tab/>
        <w:t xml:space="preserve">C. Herff, D. Heger, A. de Pesters, D. Telaar, P. Brunner, G. Schalk, and T. Schultz, "Brain-to-text: Decoding spoken phrases from phonetic representations in the brain," Front.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9, Art. no. 217, Jun. 2015,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10.3389/fnins.2015.00217.</w:t>
      </w:r>
    </w:p>
    <w:p w14:paraId="0631E636"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[10]</w:t>
      </w:r>
      <w:r w:rsidRPr="00C33053">
        <w:rPr>
          <w:rFonts w:ascii="Times New Roman" w:hAnsi="Times New Roman" w:cs="Times New Roman"/>
          <w:color w:val="000000" w:themeColor="text1"/>
          <w:sz w:val="20"/>
          <w:szCs w:val="20"/>
        </w:rPr>
        <w:tab/>
        <w:t xml:space="preserve">R. T. </w:t>
      </w:r>
      <w:proofErr w:type="spellStart"/>
      <w:r w:rsidRPr="00C33053">
        <w:rPr>
          <w:rFonts w:ascii="Times New Roman" w:hAnsi="Times New Roman" w:cs="Times New Roman"/>
          <w:color w:val="000000" w:themeColor="text1"/>
          <w:sz w:val="20"/>
          <w:szCs w:val="20"/>
        </w:rPr>
        <w:t>Schirrmeister</w:t>
      </w:r>
      <w:proofErr w:type="spellEnd"/>
      <w:r w:rsidRPr="00C33053">
        <w:rPr>
          <w:rFonts w:ascii="Times New Roman" w:hAnsi="Times New Roman" w:cs="Times New Roman"/>
          <w:color w:val="000000" w:themeColor="text1"/>
          <w:sz w:val="20"/>
          <w:szCs w:val="20"/>
        </w:rPr>
        <w:t xml:space="preserve">, J. T. </w:t>
      </w:r>
      <w:proofErr w:type="spellStart"/>
      <w:r w:rsidRPr="00C33053">
        <w:rPr>
          <w:rFonts w:ascii="Times New Roman" w:hAnsi="Times New Roman" w:cs="Times New Roman"/>
          <w:color w:val="000000" w:themeColor="text1"/>
          <w:sz w:val="20"/>
          <w:szCs w:val="20"/>
        </w:rPr>
        <w:t>Springenberg</w:t>
      </w:r>
      <w:proofErr w:type="spellEnd"/>
      <w:r w:rsidRPr="00C33053">
        <w:rPr>
          <w:rFonts w:ascii="Times New Roman" w:hAnsi="Times New Roman" w:cs="Times New Roman"/>
          <w:color w:val="000000" w:themeColor="text1"/>
          <w:sz w:val="20"/>
          <w:szCs w:val="20"/>
        </w:rPr>
        <w:t xml:space="preserve">, L. D. J. </w:t>
      </w:r>
      <w:proofErr w:type="spellStart"/>
      <w:r w:rsidRPr="00C33053">
        <w:rPr>
          <w:rFonts w:ascii="Times New Roman" w:hAnsi="Times New Roman" w:cs="Times New Roman"/>
          <w:color w:val="000000" w:themeColor="text1"/>
          <w:sz w:val="20"/>
          <w:szCs w:val="20"/>
        </w:rPr>
        <w:t>Fiederer</w:t>
      </w:r>
      <w:proofErr w:type="spellEnd"/>
      <w:r w:rsidRPr="00C33053">
        <w:rPr>
          <w:rFonts w:ascii="Times New Roman" w:hAnsi="Times New Roman" w:cs="Times New Roman"/>
          <w:color w:val="000000" w:themeColor="text1"/>
          <w:sz w:val="20"/>
          <w:szCs w:val="20"/>
        </w:rPr>
        <w:t xml:space="preserve">, M. Glasstetter, K. </w:t>
      </w:r>
      <w:proofErr w:type="spellStart"/>
      <w:r w:rsidRPr="00C33053">
        <w:rPr>
          <w:rFonts w:ascii="Times New Roman" w:hAnsi="Times New Roman" w:cs="Times New Roman"/>
          <w:color w:val="000000" w:themeColor="text1"/>
          <w:sz w:val="20"/>
          <w:szCs w:val="20"/>
        </w:rPr>
        <w:t>Eggensperger</w:t>
      </w:r>
      <w:proofErr w:type="spellEnd"/>
      <w:r w:rsidRPr="00C33053">
        <w:rPr>
          <w:rFonts w:ascii="Times New Roman" w:hAnsi="Times New Roman" w:cs="Times New Roman"/>
          <w:color w:val="000000" w:themeColor="text1"/>
          <w:sz w:val="20"/>
          <w:szCs w:val="20"/>
        </w:rPr>
        <w:t xml:space="preserve">, M. </w:t>
      </w:r>
      <w:proofErr w:type="spellStart"/>
      <w:r w:rsidRPr="00C33053">
        <w:rPr>
          <w:rFonts w:ascii="Times New Roman" w:hAnsi="Times New Roman" w:cs="Times New Roman"/>
          <w:color w:val="000000" w:themeColor="text1"/>
          <w:sz w:val="20"/>
          <w:szCs w:val="20"/>
        </w:rPr>
        <w:t>Tangermann</w:t>
      </w:r>
      <w:proofErr w:type="spellEnd"/>
      <w:r w:rsidRPr="00C33053">
        <w:rPr>
          <w:rFonts w:ascii="Times New Roman" w:hAnsi="Times New Roman" w:cs="Times New Roman"/>
          <w:color w:val="000000" w:themeColor="text1"/>
          <w:sz w:val="20"/>
          <w:szCs w:val="20"/>
        </w:rPr>
        <w:t xml:space="preserve">, F. Hutter, W. Burgard, and T. Ball, "Deep learning with convolutional neural networks for EEG decoding and visualization," Hum. Brain Mapp., vol. 38, no. 11, pp. 5391–5420, Nov. 2017,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10.1002/hbm.23730.</w:t>
      </w:r>
    </w:p>
    <w:p w14:paraId="43595C3D"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[11]</w:t>
      </w:r>
      <w:r w:rsidRPr="00C33053">
        <w:rPr>
          <w:rFonts w:ascii="Times New Roman" w:hAnsi="Times New Roman" w:cs="Times New Roman"/>
          <w:color w:val="000000" w:themeColor="text1"/>
          <w:sz w:val="20"/>
          <w:szCs w:val="20"/>
        </w:rPr>
        <w:tab/>
        <w:t xml:space="preserve">Y. Roy, H. Banville, I. Albuquerque, A. </w:t>
      </w:r>
      <w:proofErr w:type="spellStart"/>
      <w:r w:rsidRPr="00C33053">
        <w:rPr>
          <w:rFonts w:ascii="Times New Roman" w:hAnsi="Times New Roman" w:cs="Times New Roman"/>
          <w:color w:val="000000" w:themeColor="text1"/>
          <w:sz w:val="20"/>
          <w:szCs w:val="20"/>
        </w:rPr>
        <w:t>Gramfort</w:t>
      </w:r>
      <w:proofErr w:type="spellEnd"/>
      <w:r w:rsidRPr="00C33053">
        <w:rPr>
          <w:rFonts w:ascii="Times New Roman" w:hAnsi="Times New Roman" w:cs="Times New Roman"/>
          <w:color w:val="000000" w:themeColor="text1"/>
          <w:sz w:val="20"/>
          <w:szCs w:val="20"/>
        </w:rPr>
        <w:t xml:space="preserve">, T. H. Falk, and J. Faubert, "Deep learning for electroencephalogram (EEG) classification tasks: A review," J. Neural Eng., vol. 16, no. 3, Art. no. 031001, Mar. 2019,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10.1088/1741-2552/ab260c.</w:t>
      </w:r>
    </w:p>
    <w:p w14:paraId="563479F5"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[12]</w:t>
      </w:r>
      <w:r w:rsidRPr="00C33053">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23, no. 4, pp. 575–582, Apr. 2020,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10.1038/s41593-020-0608-8.</w:t>
      </w:r>
    </w:p>
    <w:p w14:paraId="36379820"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[13]</w:t>
      </w:r>
      <w:r w:rsidRPr="00C33053">
        <w:rPr>
          <w:rFonts w:ascii="Times New Roman" w:hAnsi="Times New Roman" w:cs="Times New Roman"/>
          <w:color w:val="000000" w:themeColor="text1"/>
          <w:sz w:val="20"/>
          <w:szCs w:val="20"/>
        </w:rPr>
        <w:tab/>
        <w:t xml:space="preserve">A. Vaswani, N. </w:t>
      </w:r>
      <w:proofErr w:type="spellStart"/>
      <w:r w:rsidRPr="00C33053">
        <w:rPr>
          <w:rFonts w:ascii="Times New Roman" w:hAnsi="Times New Roman" w:cs="Times New Roman"/>
          <w:color w:val="000000" w:themeColor="text1"/>
          <w:sz w:val="20"/>
          <w:szCs w:val="20"/>
        </w:rPr>
        <w:t>Shazeer</w:t>
      </w:r>
      <w:proofErr w:type="spellEnd"/>
      <w:r w:rsidRPr="00C33053">
        <w:rPr>
          <w:rFonts w:ascii="Times New Roman" w:hAnsi="Times New Roman" w:cs="Times New Roman"/>
          <w:color w:val="000000" w:themeColor="text1"/>
          <w:sz w:val="20"/>
          <w:szCs w:val="20"/>
        </w:rPr>
        <w:t xml:space="preserve">, N. Parmar, J. </w:t>
      </w:r>
      <w:proofErr w:type="spellStart"/>
      <w:r w:rsidRPr="00C33053">
        <w:rPr>
          <w:rFonts w:ascii="Times New Roman" w:hAnsi="Times New Roman" w:cs="Times New Roman"/>
          <w:color w:val="000000" w:themeColor="text1"/>
          <w:sz w:val="20"/>
          <w:szCs w:val="20"/>
        </w:rPr>
        <w:t>Uszkoreit</w:t>
      </w:r>
      <w:proofErr w:type="spellEnd"/>
      <w:r w:rsidRPr="00C33053">
        <w:rPr>
          <w:rFonts w:ascii="Times New Roman" w:hAnsi="Times New Roman" w:cs="Times New Roman"/>
          <w:color w:val="000000" w:themeColor="text1"/>
          <w:sz w:val="20"/>
          <w:szCs w:val="20"/>
        </w:rPr>
        <w:t xml:space="preserve">, L. Jones, A. N. Gomez, Ł. Kaiser, and I. </w:t>
      </w:r>
      <w:proofErr w:type="spellStart"/>
      <w:r w:rsidRPr="00C33053">
        <w:rPr>
          <w:rFonts w:ascii="Times New Roman" w:hAnsi="Times New Roman" w:cs="Times New Roman"/>
          <w:color w:val="000000" w:themeColor="text1"/>
          <w:sz w:val="20"/>
          <w:szCs w:val="20"/>
        </w:rPr>
        <w:t>Polosukhin</w:t>
      </w:r>
      <w:proofErr w:type="spellEnd"/>
      <w:r w:rsidRPr="00C33053">
        <w:rPr>
          <w:rFonts w:ascii="Times New Roman" w:hAnsi="Times New Roman" w:cs="Times New Roman"/>
          <w:color w:val="000000" w:themeColor="text1"/>
          <w:sz w:val="20"/>
          <w:szCs w:val="20"/>
        </w:rPr>
        <w:t>, "Attention is all you need," in Proc. Adv. Neural Inf. Process. Syst. (NeurIPS), 2017, pp. 5998–6008. [Online]. Available: https://arxiv.org/abs/1706.03762</w:t>
      </w:r>
    </w:p>
    <w:p w14:paraId="0DD3E197"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[14]</w:t>
      </w:r>
      <w:r w:rsidRPr="00C33053">
        <w:rPr>
          <w:rFonts w:ascii="Times New Roman" w:hAnsi="Times New Roman" w:cs="Times New Roman"/>
          <w:color w:val="000000" w:themeColor="text1"/>
          <w:sz w:val="20"/>
          <w:szCs w:val="20"/>
        </w:rPr>
        <w:tab/>
        <w:t xml:space="preserve">D. Kostas, S. Aroca-Ouellette, F. A. A. Kingdom, and F. Bhatt, "BENDR: Using transformers and a contrastive self-supervised learning task to learn from massive amounts of EEG data," Front. Hum.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15, Art. no. 653659, Aug. 2021,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10.3389/fnhum.2021.653659.</w:t>
      </w:r>
    </w:p>
    <w:p w14:paraId="148208CB"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[15]</w:t>
      </w:r>
      <w:r w:rsidRPr="00C33053">
        <w:rPr>
          <w:rFonts w:ascii="Times New Roman" w:hAnsi="Times New Roman" w:cs="Times New Roman"/>
          <w:color w:val="000000" w:themeColor="text1"/>
          <w:sz w:val="20"/>
          <w:szCs w:val="20"/>
        </w:rPr>
        <w:tab/>
        <w:t xml:space="preserve">A. Défossez, C. </w:t>
      </w:r>
      <w:proofErr w:type="spellStart"/>
      <w:r w:rsidRPr="00C33053">
        <w:rPr>
          <w:rFonts w:ascii="Times New Roman" w:hAnsi="Times New Roman" w:cs="Times New Roman"/>
          <w:color w:val="000000" w:themeColor="text1"/>
          <w:sz w:val="20"/>
          <w:szCs w:val="20"/>
        </w:rPr>
        <w:t>Caucheteux</w:t>
      </w:r>
      <w:proofErr w:type="spellEnd"/>
      <w:r w:rsidRPr="00C33053">
        <w:rPr>
          <w:rFonts w:ascii="Times New Roman" w:hAnsi="Times New Roman" w:cs="Times New Roman"/>
          <w:color w:val="000000" w:themeColor="text1"/>
          <w:sz w:val="20"/>
          <w:szCs w:val="20"/>
        </w:rPr>
        <w:t xml:space="preserve">, J. Rapin, O. </w:t>
      </w:r>
      <w:proofErr w:type="spellStart"/>
      <w:r w:rsidRPr="00C33053">
        <w:rPr>
          <w:rFonts w:ascii="Times New Roman" w:hAnsi="Times New Roman" w:cs="Times New Roman"/>
          <w:color w:val="000000" w:themeColor="text1"/>
          <w:sz w:val="20"/>
          <w:szCs w:val="20"/>
        </w:rPr>
        <w:t>Kabeli</w:t>
      </w:r>
      <w:proofErr w:type="spellEnd"/>
      <w:r w:rsidRPr="00C33053">
        <w:rPr>
          <w:rFonts w:ascii="Times New Roman" w:hAnsi="Times New Roman" w:cs="Times New Roman"/>
          <w:color w:val="000000" w:themeColor="text1"/>
          <w:sz w:val="20"/>
          <w:szCs w:val="20"/>
        </w:rPr>
        <w:t xml:space="preserve">, and J.-R. King, "Decoding speech perception from non-invasive brain recordings," Nat. Mach. </w:t>
      </w:r>
      <w:proofErr w:type="spellStart"/>
      <w:r w:rsidRPr="00C33053">
        <w:rPr>
          <w:rFonts w:ascii="Times New Roman" w:hAnsi="Times New Roman" w:cs="Times New Roman"/>
          <w:color w:val="000000" w:themeColor="text1"/>
          <w:sz w:val="20"/>
          <w:szCs w:val="20"/>
        </w:rPr>
        <w:t>Intell</w:t>
      </w:r>
      <w:proofErr w:type="spellEnd"/>
      <w:r w:rsidRPr="00C33053">
        <w:rPr>
          <w:rFonts w:ascii="Times New Roman" w:hAnsi="Times New Roman" w:cs="Times New Roman"/>
          <w:color w:val="000000" w:themeColor="text1"/>
          <w:sz w:val="20"/>
          <w:szCs w:val="20"/>
        </w:rPr>
        <w:t xml:space="preserve">., vol. 5, no. 10, pp. 1097–1107, Oct. 2023,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10.1038/s42256-023-00714-5.</w:t>
      </w:r>
    </w:p>
    <w:p w14:paraId="5B980A4B"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[16]</w:t>
      </w:r>
      <w:r w:rsidRPr="00C33053">
        <w:rPr>
          <w:rFonts w:ascii="Times New Roman" w:hAnsi="Times New Roman" w:cs="Times New Roman"/>
          <w:color w:val="000000" w:themeColor="text1"/>
          <w:sz w:val="20"/>
          <w:szCs w:val="20"/>
        </w:rPr>
        <w:tab/>
        <w:t xml:space="preserve">S. </w:t>
      </w:r>
      <w:proofErr w:type="spellStart"/>
      <w:r w:rsidRPr="00C33053">
        <w:rPr>
          <w:rFonts w:ascii="Times New Roman" w:hAnsi="Times New Roman" w:cs="Times New Roman"/>
          <w:color w:val="000000" w:themeColor="text1"/>
          <w:sz w:val="20"/>
          <w:szCs w:val="20"/>
        </w:rPr>
        <w:t>d'Ascoli</w:t>
      </w:r>
      <w:proofErr w:type="spellEnd"/>
      <w:r w:rsidRPr="00C33053">
        <w:rPr>
          <w:rFonts w:ascii="Times New Roman" w:hAnsi="Times New Roman" w:cs="Times New Roman"/>
          <w:color w:val="000000" w:themeColor="text1"/>
          <w:sz w:val="20"/>
          <w:szCs w:val="20"/>
        </w:rPr>
        <w:t xml:space="preserve">, C. </w:t>
      </w:r>
      <w:proofErr w:type="spellStart"/>
      <w:r w:rsidRPr="00C33053">
        <w:rPr>
          <w:rFonts w:ascii="Times New Roman" w:hAnsi="Times New Roman" w:cs="Times New Roman"/>
          <w:color w:val="000000" w:themeColor="text1"/>
          <w:sz w:val="20"/>
          <w:szCs w:val="20"/>
        </w:rPr>
        <w:t>Caucheteux</w:t>
      </w:r>
      <w:proofErr w:type="spellEnd"/>
      <w:r w:rsidRPr="00C33053">
        <w:rPr>
          <w:rFonts w:ascii="Times New Roman" w:hAnsi="Times New Roman" w:cs="Times New Roman"/>
          <w:color w:val="000000" w:themeColor="text1"/>
          <w:sz w:val="20"/>
          <w:szCs w:val="20"/>
        </w:rPr>
        <w:t xml:space="preserve">, F. </w:t>
      </w:r>
      <w:proofErr w:type="spellStart"/>
      <w:r w:rsidRPr="00C33053">
        <w:rPr>
          <w:rFonts w:ascii="Times New Roman" w:hAnsi="Times New Roman" w:cs="Times New Roman"/>
          <w:color w:val="000000" w:themeColor="text1"/>
          <w:sz w:val="20"/>
          <w:szCs w:val="20"/>
        </w:rPr>
        <w:t>Gramfort</w:t>
      </w:r>
      <w:proofErr w:type="spellEnd"/>
      <w:r w:rsidRPr="00C33053">
        <w:rPr>
          <w:rFonts w:ascii="Times New Roman" w:hAnsi="Times New Roman" w:cs="Times New Roman"/>
          <w:color w:val="000000" w:themeColor="text1"/>
          <w:sz w:val="20"/>
          <w:szCs w:val="20"/>
        </w:rPr>
        <w:t xml:space="preserve">, Y. Adi, and J.-R. King, "Towards decoding individual words from non-invasive brain recordings," Nat. Commun., 2025,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10.1038/s41467-025-XXXXX. [In press; verify final DOI upon publication].</w:t>
      </w:r>
    </w:p>
    <w:p w14:paraId="72CFC213"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[17]</w:t>
      </w:r>
      <w:r w:rsidRPr="00C33053">
        <w:rPr>
          <w:rFonts w:ascii="Times New Roman" w:hAnsi="Times New Roman" w:cs="Times New Roman"/>
          <w:color w:val="000000" w:themeColor="text1"/>
          <w:sz w:val="20"/>
          <w:szCs w:val="20"/>
        </w:rPr>
        <w:tab/>
        <w:t xml:space="preserve">J. Tang, A. </w:t>
      </w:r>
      <w:proofErr w:type="spellStart"/>
      <w:r w:rsidRPr="00C33053">
        <w:rPr>
          <w:rFonts w:ascii="Times New Roman" w:hAnsi="Times New Roman" w:cs="Times New Roman"/>
          <w:color w:val="000000" w:themeColor="text1"/>
          <w:sz w:val="20"/>
          <w:szCs w:val="20"/>
        </w:rPr>
        <w:t>LeBel</w:t>
      </w:r>
      <w:proofErr w:type="spellEnd"/>
      <w:r w:rsidRPr="00C33053">
        <w:rPr>
          <w:rFonts w:ascii="Times New Roman" w:hAnsi="Times New Roman" w:cs="Times New Roman"/>
          <w:color w:val="000000" w:themeColor="text1"/>
          <w:sz w:val="20"/>
          <w:szCs w:val="20"/>
        </w:rPr>
        <w:t xml:space="preserve">, S. Jain, and A. G. Huth, "Semantic reconstruction of continuous language from non-invasive brain recordings," Nat.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26, no. 5, pp. 858–866, May 2023,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10.1038/s41593-023-01304-9.</w:t>
      </w:r>
    </w:p>
    <w:p w14:paraId="27554326"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[18]</w:t>
      </w:r>
      <w:r w:rsidRPr="00C33053">
        <w:rPr>
          <w:rFonts w:ascii="Times New Roman" w:hAnsi="Times New Roman" w:cs="Times New Roman"/>
          <w:color w:val="000000" w:themeColor="text1"/>
          <w:sz w:val="20"/>
          <w:szCs w:val="20"/>
        </w:rPr>
        <w:tab/>
        <w:t xml:space="preserve">J. T. Panachakel and A. G. Ramakrishnan, "Decoding covert speech from EEG — A comprehensive review," Front.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15, Art. no. 642251, Apr. 2021,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10.3389/fnins.2021.642251.</w:t>
      </w:r>
    </w:p>
    <w:p w14:paraId="0CFDC008"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[19]</w:t>
      </w:r>
      <w:r w:rsidRPr="00C33053">
        <w:rPr>
          <w:rFonts w:ascii="Times New Roman" w:hAnsi="Times New Roman" w:cs="Times New Roman"/>
          <w:color w:val="000000" w:themeColor="text1"/>
          <w:sz w:val="20"/>
          <w:szCs w:val="20"/>
        </w:rPr>
        <w:tab/>
        <w:t xml:space="preserve">D. Lopez-Bernal, D. Balderas, P. Ponce, and A. Molina, "A state-of-the-art review of EEG-based imagined speech decoding," Front. Hum. </w:t>
      </w:r>
      <w:proofErr w:type="spellStart"/>
      <w:r w:rsidRPr="00C33053">
        <w:rPr>
          <w:rFonts w:ascii="Times New Roman" w:hAnsi="Times New Roman" w:cs="Times New Roman"/>
          <w:color w:val="000000" w:themeColor="text1"/>
          <w:sz w:val="20"/>
          <w:szCs w:val="20"/>
        </w:rPr>
        <w:t>Neurosci</w:t>
      </w:r>
      <w:proofErr w:type="spellEnd"/>
      <w:r w:rsidRPr="00C33053">
        <w:rPr>
          <w:rFonts w:ascii="Times New Roman" w:hAnsi="Times New Roman" w:cs="Times New Roman"/>
          <w:color w:val="000000" w:themeColor="text1"/>
          <w:sz w:val="20"/>
          <w:szCs w:val="20"/>
        </w:rPr>
        <w:t xml:space="preserve">., vol. 16, Art. no. 867281, May 2022,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10.3389/fnhum.2022.867281.</w:t>
      </w:r>
    </w:p>
    <w:p w14:paraId="7DBCA15C"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[20]</w:t>
      </w:r>
      <w:r w:rsidRPr="00C33053">
        <w:rPr>
          <w:rFonts w:ascii="Times New Roman" w:hAnsi="Times New Roman" w:cs="Times New Roman"/>
          <w:color w:val="000000" w:themeColor="text1"/>
          <w:sz w:val="20"/>
          <w:szCs w:val="20"/>
        </w:rPr>
        <w:tab/>
        <w:t xml:space="preserve">Q. Rabbani, G. Milsap, and N. E. Crone, "The potential for a speech brain-computer interface using chronic electrocorticography," Neurotherapeutics, vol. 16, pp. 144–165, Jan. 2019,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10.1007/s13311-018-00692-2.</w:t>
      </w:r>
    </w:p>
    <w:p w14:paraId="488737F0" w14:textId="77777777" w:rsidR="00C92A2C" w:rsidRPr="00C33053" w:rsidRDefault="00000000">
      <w:pPr>
        <w:spacing w:after="100" w:line="320" w:lineRule="auto"/>
        <w:ind w:left="480" w:hanging="480"/>
        <w:rPr>
          <w:rFonts w:ascii="Times New Roman" w:hAnsi="Times New Roman" w:cs="Times New Roman"/>
          <w:color w:val="000000" w:themeColor="text1"/>
          <w:sz w:val="20"/>
          <w:szCs w:val="20"/>
        </w:rPr>
      </w:pPr>
      <w:r w:rsidRPr="00C33053">
        <w:rPr>
          <w:rFonts w:ascii="Times New Roman" w:hAnsi="Times New Roman" w:cs="Times New Roman"/>
          <w:b/>
          <w:bCs/>
          <w:color w:val="000000" w:themeColor="text1"/>
          <w:sz w:val="20"/>
          <w:szCs w:val="20"/>
        </w:rPr>
        <w:t>[21]</w:t>
      </w:r>
      <w:r w:rsidRPr="00C33053">
        <w:rPr>
          <w:rFonts w:ascii="Times New Roman" w:hAnsi="Times New Roman" w:cs="Times New Roman"/>
          <w:color w:val="000000" w:themeColor="text1"/>
          <w:sz w:val="20"/>
          <w:szCs w:val="20"/>
        </w:rPr>
        <w:tab/>
        <w:t xml:space="preserve">M. J. Page et al., "The PRISMA 2020 statement: An updated guideline for reporting systematic reviews," BMJ, vol. 372, Art. no. n71, Mar. 2021, </w:t>
      </w:r>
      <w:proofErr w:type="spellStart"/>
      <w:r w:rsidRPr="00C33053">
        <w:rPr>
          <w:rFonts w:ascii="Times New Roman" w:hAnsi="Times New Roman" w:cs="Times New Roman"/>
          <w:color w:val="000000" w:themeColor="text1"/>
          <w:sz w:val="20"/>
          <w:szCs w:val="20"/>
        </w:rPr>
        <w:t>doi</w:t>
      </w:r>
      <w:proofErr w:type="spellEnd"/>
      <w:r w:rsidRPr="00C33053">
        <w:rPr>
          <w:rFonts w:ascii="Times New Roman" w:hAnsi="Times New Roman" w:cs="Times New Roman"/>
          <w:color w:val="000000" w:themeColor="text1"/>
          <w:sz w:val="20"/>
          <w:szCs w:val="20"/>
        </w:rPr>
        <w:t>: 10.1136/</w:t>
      </w:r>
      <w:proofErr w:type="gramStart"/>
      <w:r w:rsidRPr="00C33053">
        <w:rPr>
          <w:rFonts w:ascii="Times New Roman" w:hAnsi="Times New Roman" w:cs="Times New Roman"/>
          <w:color w:val="000000" w:themeColor="text1"/>
          <w:sz w:val="20"/>
          <w:szCs w:val="20"/>
        </w:rPr>
        <w:t>bmj.n</w:t>
      </w:r>
      <w:proofErr w:type="gramEnd"/>
      <w:r w:rsidRPr="00C33053">
        <w:rPr>
          <w:rFonts w:ascii="Times New Roman" w:hAnsi="Times New Roman" w:cs="Times New Roman"/>
          <w:color w:val="000000" w:themeColor="text1"/>
          <w:sz w:val="20"/>
          <w:szCs w:val="20"/>
        </w:rPr>
        <w:t>71.</w:t>
      </w:r>
    </w:p>
    <w:sectPr w:rsidR="00C92A2C" w:rsidRPr="00C3305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13FB" w14:textId="77777777" w:rsidR="001E59E9" w:rsidRDefault="001E59E9">
      <w:r>
        <w:separator/>
      </w:r>
    </w:p>
  </w:endnote>
  <w:endnote w:type="continuationSeparator" w:id="0">
    <w:p w14:paraId="070D3C1E" w14:textId="77777777" w:rsidR="001E59E9" w:rsidRDefault="001E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E3E5" w14:textId="77777777" w:rsidR="00C92A2C" w:rsidRDefault="00000000">
    <w:pPr>
      <w:pBdr>
        <w:top w:val="single" w:sz="4" w:space="1" w:color="2E75B6"/>
      </w:pBdr>
      <w:tabs>
        <w:tab w:val="right" w:pos="9026"/>
      </w:tabs>
      <w:spacing w:before="80"/>
    </w:pPr>
    <w:r>
      <w:rPr>
        <w:color w:val="595959"/>
        <w:sz w:val="18"/>
        <w:szCs w:val="18"/>
      </w:rPr>
      <w:t xml:space="preserve">Adeika &amp; </w:t>
    </w:r>
    <w:proofErr w:type="gramStart"/>
    <w:r>
      <w:rPr>
        <w:color w:val="595959"/>
        <w:sz w:val="18"/>
        <w:szCs w:val="18"/>
      </w:rPr>
      <w:t>Osuagwu  |</w:t>
    </w:r>
    <w:proofErr w:type="gramEnd"/>
    <w:r>
      <w:rPr>
        <w:color w:val="595959"/>
        <w:sz w:val="18"/>
        <w:szCs w:val="18"/>
      </w:rPr>
      <w:t xml:space="preserve">  Morgan State University</w:t>
    </w:r>
    <w:r>
      <w:rPr>
        <w:color w:val="595959"/>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B984" w14:textId="77777777" w:rsidR="001E59E9" w:rsidRDefault="001E59E9">
      <w:r>
        <w:separator/>
      </w:r>
    </w:p>
  </w:footnote>
  <w:footnote w:type="continuationSeparator" w:id="0">
    <w:p w14:paraId="67C01846" w14:textId="77777777" w:rsidR="001E59E9" w:rsidRDefault="001E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C9BB" w14:textId="77777777" w:rsidR="00C92A2C" w:rsidRDefault="00000000">
    <w:pPr>
      <w:pBdr>
        <w:bottom w:val="single" w:sz="4" w:space="1" w:color="2E75B6"/>
      </w:pBdr>
      <w:tabs>
        <w:tab w:val="right" w:pos="9026"/>
      </w:tabs>
      <w:spacing w:after="80"/>
    </w:pPr>
    <w:r>
      <w:rPr>
        <w:color w:val="595959"/>
        <w:sz w:val="18"/>
        <w:szCs w:val="18"/>
      </w:rPr>
      <w:t>AI for Brain-to-Speech Decoding: A Systematic Review</w:t>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964C0"/>
    <w:multiLevelType w:val="hybridMultilevel"/>
    <w:tmpl w:val="DFAC5960"/>
    <w:lvl w:ilvl="0" w:tplc="3AC035E4">
      <w:start w:val="1"/>
      <w:numFmt w:val="bullet"/>
      <w:lvlText w:val="●"/>
      <w:lvlJc w:val="left"/>
      <w:pPr>
        <w:ind w:left="720" w:hanging="360"/>
      </w:pPr>
    </w:lvl>
    <w:lvl w:ilvl="1" w:tplc="BD40BB2E">
      <w:start w:val="1"/>
      <w:numFmt w:val="bullet"/>
      <w:lvlText w:val="○"/>
      <w:lvlJc w:val="left"/>
      <w:pPr>
        <w:ind w:left="1440" w:hanging="360"/>
      </w:pPr>
    </w:lvl>
    <w:lvl w:ilvl="2" w:tplc="5734FA34">
      <w:start w:val="1"/>
      <w:numFmt w:val="bullet"/>
      <w:lvlText w:val="■"/>
      <w:lvlJc w:val="left"/>
      <w:pPr>
        <w:ind w:left="2160" w:hanging="360"/>
      </w:pPr>
    </w:lvl>
    <w:lvl w:ilvl="3" w:tplc="357C4546">
      <w:start w:val="1"/>
      <w:numFmt w:val="bullet"/>
      <w:lvlText w:val="●"/>
      <w:lvlJc w:val="left"/>
      <w:pPr>
        <w:ind w:left="2880" w:hanging="360"/>
      </w:pPr>
    </w:lvl>
    <w:lvl w:ilvl="4" w:tplc="0DCEE018">
      <w:start w:val="1"/>
      <w:numFmt w:val="bullet"/>
      <w:lvlText w:val="○"/>
      <w:lvlJc w:val="left"/>
      <w:pPr>
        <w:ind w:left="3600" w:hanging="360"/>
      </w:pPr>
    </w:lvl>
    <w:lvl w:ilvl="5" w:tplc="9F88C328">
      <w:start w:val="1"/>
      <w:numFmt w:val="bullet"/>
      <w:lvlText w:val="■"/>
      <w:lvlJc w:val="left"/>
      <w:pPr>
        <w:ind w:left="4320" w:hanging="360"/>
      </w:pPr>
    </w:lvl>
    <w:lvl w:ilvl="6" w:tplc="7AD0E5DE">
      <w:start w:val="1"/>
      <w:numFmt w:val="bullet"/>
      <w:lvlText w:val="●"/>
      <w:lvlJc w:val="left"/>
      <w:pPr>
        <w:ind w:left="5040" w:hanging="360"/>
      </w:pPr>
    </w:lvl>
    <w:lvl w:ilvl="7" w:tplc="2FA2AEA6">
      <w:start w:val="1"/>
      <w:numFmt w:val="bullet"/>
      <w:lvlText w:val="●"/>
      <w:lvlJc w:val="left"/>
      <w:pPr>
        <w:ind w:left="5760" w:hanging="360"/>
      </w:pPr>
    </w:lvl>
    <w:lvl w:ilvl="8" w:tplc="9AAE94CA">
      <w:start w:val="1"/>
      <w:numFmt w:val="bullet"/>
      <w:lvlText w:val="●"/>
      <w:lvlJc w:val="left"/>
      <w:pPr>
        <w:ind w:left="6480" w:hanging="360"/>
      </w:pPr>
    </w:lvl>
  </w:abstractNum>
  <w:num w:numId="1" w16cid:durableId="27149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A2C"/>
    <w:rsid w:val="001E59E9"/>
    <w:rsid w:val="00C33053"/>
    <w:rsid w:val="00C92A2C"/>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69D4C3"/>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3235</Words>
  <Characters>18443</Characters>
  <Application>Microsoft Office Word</Application>
  <DocSecurity>0</DocSecurity>
  <Lines>153</Lines>
  <Paragraphs>43</Paragraphs>
  <ScaleCrop>false</ScaleCrop>
  <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2026-05-01T06:04:00Z</dcterms:created>
  <dcterms:modified xsi:type="dcterms:W3CDTF">2026-05-01T06:11:00Z</dcterms:modified>
</cp:coreProperties>
</file>