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4C3D7" w14:textId="77777777" w:rsidR="002D7C83" w:rsidRPr="00B02C30" w:rsidRDefault="00000000">
      <w:pPr>
        <w:pStyle w:val="Heading1"/>
        <w:rPr>
          <w:rFonts w:ascii="Times New Roman" w:hAnsi="Times New Roman" w:cs="Times New Roman"/>
          <w:color w:val="000000" w:themeColor="text1"/>
          <w:sz w:val="20"/>
          <w:szCs w:val="20"/>
        </w:rPr>
      </w:pPr>
      <w:r w:rsidRPr="00B02C30">
        <w:rPr>
          <w:rFonts w:ascii="Times New Roman" w:hAnsi="Times New Roman" w:cs="Times New Roman"/>
          <w:color w:val="000000" w:themeColor="text1"/>
          <w:sz w:val="20"/>
          <w:szCs w:val="20"/>
        </w:rPr>
        <w:t>2. Methodology</w:t>
      </w:r>
    </w:p>
    <w:p w14:paraId="7629A524" w14:textId="77777777" w:rsidR="002D7C83" w:rsidRPr="00B02C30" w:rsidRDefault="00000000">
      <w:pPr>
        <w:pStyle w:val="Heading2"/>
        <w:rPr>
          <w:rFonts w:ascii="Times New Roman" w:hAnsi="Times New Roman" w:cs="Times New Roman"/>
          <w:color w:val="000000" w:themeColor="text1"/>
          <w:sz w:val="20"/>
          <w:szCs w:val="20"/>
        </w:rPr>
      </w:pPr>
      <w:proofErr w:type="gramStart"/>
      <w:r w:rsidRPr="00B02C30">
        <w:rPr>
          <w:rFonts w:ascii="Times New Roman" w:hAnsi="Times New Roman" w:cs="Times New Roman"/>
          <w:color w:val="000000" w:themeColor="text1"/>
          <w:sz w:val="20"/>
          <w:szCs w:val="20"/>
        </w:rPr>
        <w:t>2.1  Review</w:t>
      </w:r>
      <w:proofErr w:type="gramEnd"/>
      <w:r w:rsidRPr="00B02C30">
        <w:rPr>
          <w:rFonts w:ascii="Times New Roman" w:hAnsi="Times New Roman" w:cs="Times New Roman"/>
          <w:color w:val="000000" w:themeColor="text1"/>
          <w:sz w:val="20"/>
          <w:szCs w:val="20"/>
        </w:rPr>
        <w:t xml:space="preserve"> Protocol and Registration</w:t>
      </w:r>
    </w:p>
    <w:p w14:paraId="36B14A38" w14:textId="77777777" w:rsidR="002D7C83" w:rsidRPr="00B02C30" w:rsidRDefault="00000000">
      <w:pPr>
        <w:spacing w:after="160" w:line="360" w:lineRule="auto"/>
        <w:rPr>
          <w:rFonts w:ascii="Times New Roman" w:hAnsi="Times New Roman" w:cs="Times New Roman"/>
          <w:color w:val="000000" w:themeColor="text1"/>
          <w:sz w:val="20"/>
          <w:szCs w:val="20"/>
        </w:rPr>
      </w:pPr>
      <w:r w:rsidRPr="00B02C30">
        <w:rPr>
          <w:rFonts w:ascii="Times New Roman" w:hAnsi="Times New Roman" w:cs="Times New Roman"/>
          <w:color w:val="000000" w:themeColor="text1"/>
          <w:sz w:val="20"/>
          <w:szCs w:val="20"/>
        </w:rPr>
        <w:t xml:space="preserve">This systematic review was designed, conducted, and reported in accordance with the Preferred Reporting Items for Systematic Reviews and Meta-Analyses (PRISMA) 2020 statement </w:t>
      </w:r>
      <w:r w:rsidRPr="00B02C30">
        <w:rPr>
          <w:rFonts w:ascii="Times New Roman" w:hAnsi="Times New Roman" w:cs="Times New Roman"/>
          <w:color w:val="000000" w:themeColor="text1"/>
          <w:sz w:val="20"/>
          <w:szCs w:val="20"/>
          <w:vertAlign w:val="superscript"/>
        </w:rPr>
        <w:t>[1]</w:t>
      </w:r>
      <w:r w:rsidRPr="00B02C30">
        <w:rPr>
          <w:rFonts w:ascii="Times New Roman" w:hAnsi="Times New Roman" w:cs="Times New Roman"/>
          <w:color w:val="000000" w:themeColor="text1"/>
          <w:sz w:val="20"/>
          <w:szCs w:val="20"/>
        </w:rPr>
        <w:t xml:space="preserve">. A full review protocol was developed prior to conducting formal searches, following the PRISMA for Protocols (PRISMA-P) 2015 checklist </w:t>
      </w:r>
      <w:r w:rsidRPr="00B02C30">
        <w:rPr>
          <w:rFonts w:ascii="Times New Roman" w:hAnsi="Times New Roman" w:cs="Times New Roman"/>
          <w:color w:val="000000" w:themeColor="text1"/>
          <w:sz w:val="20"/>
          <w:szCs w:val="20"/>
          <w:vertAlign w:val="superscript"/>
        </w:rPr>
        <w:t>[2]</w:t>
      </w:r>
      <w:r w:rsidRPr="00B02C30">
        <w:rPr>
          <w:rFonts w:ascii="Times New Roman" w:hAnsi="Times New Roman" w:cs="Times New Roman"/>
          <w:color w:val="000000" w:themeColor="text1"/>
          <w:sz w:val="20"/>
          <w:szCs w:val="20"/>
        </w:rPr>
        <w:t xml:space="preserve">, which specifies 17 mandatory items covering rationale, objectives, eligibility criteria, information sources, search strategy, study selection, data extraction, risk of bias assessment, and synthesis methods. The completed protocol was prospectively registered in the PROSPERO International Register of Systematic Reviews, maintained by the National Institute for Health Research at the University of York </w:t>
      </w:r>
      <w:r w:rsidRPr="00B02C30">
        <w:rPr>
          <w:rFonts w:ascii="Times New Roman" w:hAnsi="Times New Roman" w:cs="Times New Roman"/>
          <w:color w:val="000000" w:themeColor="text1"/>
          <w:sz w:val="20"/>
          <w:szCs w:val="20"/>
          <w:vertAlign w:val="superscript"/>
        </w:rPr>
        <w:t>[3]</w:t>
      </w:r>
      <w:r w:rsidRPr="00B02C30">
        <w:rPr>
          <w:rFonts w:ascii="Times New Roman" w:hAnsi="Times New Roman" w:cs="Times New Roman"/>
          <w:color w:val="000000" w:themeColor="text1"/>
          <w:sz w:val="20"/>
          <w:szCs w:val="20"/>
        </w:rPr>
        <w:t>. A late registration disclosure was included in the PROSPERO record, acknowledging that preliminary scoping work commenced in January 2025, whilst formal database searches were executed on April 13, 2026. The PROSPERO registration number will be inserted upon confirmation by the supervising author. No deviations from the registered protocol were made; the visual synthesis elements (figures and architecture timeline) were developed from pre-specified extracted data variables and represent presentation choices rather than analytical deviations.</w:t>
      </w:r>
    </w:p>
    <w:p w14:paraId="4A790EA6" w14:textId="77777777" w:rsidR="002D7C83" w:rsidRPr="00B02C30" w:rsidRDefault="00000000">
      <w:pPr>
        <w:spacing w:after="160" w:line="360" w:lineRule="auto"/>
        <w:rPr>
          <w:rFonts w:ascii="Times New Roman" w:hAnsi="Times New Roman" w:cs="Times New Roman"/>
          <w:color w:val="000000" w:themeColor="text1"/>
          <w:sz w:val="20"/>
          <w:szCs w:val="20"/>
        </w:rPr>
      </w:pPr>
      <w:r w:rsidRPr="00B02C30">
        <w:rPr>
          <w:rFonts w:ascii="Times New Roman" w:hAnsi="Times New Roman" w:cs="Times New Roman"/>
          <w:color w:val="000000" w:themeColor="text1"/>
          <w:sz w:val="20"/>
          <w:szCs w:val="20"/>
        </w:rPr>
        <w:t xml:space="preserve">The rationale for this review stems from three convergent gaps in the existing literature. Prior reviews have addressed either EEG-only imagined speech decoding </w:t>
      </w:r>
      <w:r w:rsidRPr="00B02C30">
        <w:rPr>
          <w:rFonts w:ascii="Times New Roman" w:hAnsi="Times New Roman" w:cs="Times New Roman"/>
          <w:color w:val="000000" w:themeColor="text1"/>
          <w:sz w:val="20"/>
          <w:szCs w:val="20"/>
          <w:vertAlign w:val="superscript"/>
        </w:rPr>
        <w:t>[4]</w:t>
      </w:r>
      <w:r w:rsidRPr="00B02C30">
        <w:rPr>
          <w:rFonts w:ascii="Times New Roman" w:hAnsi="Times New Roman" w:cs="Times New Roman"/>
          <w:color w:val="000000" w:themeColor="text1"/>
          <w:sz w:val="20"/>
          <w:szCs w:val="20"/>
        </w:rPr>
        <w:t xml:space="preserve">, </w:t>
      </w:r>
      <w:r w:rsidRPr="00B02C30">
        <w:rPr>
          <w:rFonts w:ascii="Times New Roman" w:hAnsi="Times New Roman" w:cs="Times New Roman"/>
          <w:color w:val="000000" w:themeColor="text1"/>
          <w:sz w:val="20"/>
          <w:szCs w:val="20"/>
          <w:vertAlign w:val="superscript"/>
        </w:rPr>
        <w:t>[5]</w:t>
      </w:r>
      <w:r w:rsidRPr="00B02C30">
        <w:rPr>
          <w:rFonts w:ascii="Times New Roman" w:hAnsi="Times New Roman" w:cs="Times New Roman"/>
          <w:color w:val="000000" w:themeColor="text1"/>
          <w:sz w:val="20"/>
          <w:szCs w:val="20"/>
        </w:rPr>
        <w:t xml:space="preserve"> or ECoG-based speech BCIs in isolation </w:t>
      </w:r>
      <w:r w:rsidRPr="00B02C30">
        <w:rPr>
          <w:rFonts w:ascii="Times New Roman" w:hAnsi="Times New Roman" w:cs="Times New Roman"/>
          <w:color w:val="000000" w:themeColor="text1"/>
          <w:sz w:val="20"/>
          <w:szCs w:val="20"/>
          <w:vertAlign w:val="superscript"/>
        </w:rPr>
        <w:t>[6]</w:t>
      </w:r>
      <w:r w:rsidRPr="00B02C30">
        <w:rPr>
          <w:rFonts w:ascii="Times New Roman" w:hAnsi="Times New Roman" w:cs="Times New Roman"/>
          <w:color w:val="000000" w:themeColor="text1"/>
          <w:sz w:val="20"/>
          <w:szCs w:val="20"/>
        </w:rPr>
        <w:t>, without synthesizing AI methodological evolution, quantitative performance benchmarks, and generalization evidence across all neural recording modalities in a unified PRISMA-compliant framework. To the authors' knowledge, no prior systematic review has addressed all three of these dimensions simultaneously across the full modality landscape of brain-to-speech decoding research from 2015 to 2026.</w:t>
      </w:r>
    </w:p>
    <w:p w14:paraId="2133DB03" w14:textId="77777777" w:rsidR="002D7C83" w:rsidRPr="00B02C30" w:rsidRDefault="00000000">
      <w:pPr>
        <w:pStyle w:val="Heading2"/>
        <w:rPr>
          <w:rFonts w:ascii="Times New Roman" w:hAnsi="Times New Roman" w:cs="Times New Roman"/>
          <w:color w:val="000000" w:themeColor="text1"/>
          <w:sz w:val="20"/>
          <w:szCs w:val="20"/>
        </w:rPr>
      </w:pPr>
      <w:proofErr w:type="gramStart"/>
      <w:r w:rsidRPr="00B02C30">
        <w:rPr>
          <w:rFonts w:ascii="Times New Roman" w:hAnsi="Times New Roman" w:cs="Times New Roman"/>
          <w:color w:val="000000" w:themeColor="text1"/>
          <w:sz w:val="20"/>
          <w:szCs w:val="20"/>
        </w:rPr>
        <w:t>2.2  Eligibility</w:t>
      </w:r>
      <w:proofErr w:type="gramEnd"/>
      <w:r w:rsidRPr="00B02C30">
        <w:rPr>
          <w:rFonts w:ascii="Times New Roman" w:hAnsi="Times New Roman" w:cs="Times New Roman"/>
          <w:color w:val="000000" w:themeColor="text1"/>
          <w:sz w:val="20"/>
          <w:szCs w:val="20"/>
        </w:rPr>
        <w:t xml:space="preserve"> Criteria (PICOS Framework)</w:t>
      </w:r>
    </w:p>
    <w:p w14:paraId="5D65BA5C" w14:textId="77777777" w:rsidR="002D7C83" w:rsidRPr="00B02C30" w:rsidRDefault="00000000">
      <w:pPr>
        <w:spacing w:after="160" w:line="360" w:lineRule="auto"/>
        <w:rPr>
          <w:rFonts w:ascii="Times New Roman" w:hAnsi="Times New Roman" w:cs="Times New Roman"/>
          <w:color w:val="000000" w:themeColor="text1"/>
          <w:sz w:val="20"/>
          <w:szCs w:val="20"/>
        </w:rPr>
      </w:pPr>
      <w:r w:rsidRPr="00B02C30">
        <w:rPr>
          <w:rFonts w:ascii="Times New Roman" w:hAnsi="Times New Roman" w:cs="Times New Roman"/>
          <w:color w:val="000000" w:themeColor="text1"/>
          <w:sz w:val="20"/>
          <w:szCs w:val="20"/>
        </w:rPr>
        <w:t xml:space="preserve">Eligibility criteria were operationalized using the PICOS framework (Population, Intervention, Comparator, Outcomes, Study design) </w:t>
      </w:r>
      <w:r w:rsidRPr="00B02C30">
        <w:rPr>
          <w:rFonts w:ascii="Times New Roman" w:hAnsi="Times New Roman" w:cs="Times New Roman"/>
          <w:color w:val="000000" w:themeColor="text1"/>
          <w:sz w:val="20"/>
          <w:szCs w:val="20"/>
          <w:vertAlign w:val="superscript"/>
        </w:rPr>
        <w:t>[7]</w:t>
      </w:r>
      <w:r w:rsidRPr="00B02C30">
        <w:rPr>
          <w:rFonts w:ascii="Times New Roman" w:hAnsi="Times New Roman" w:cs="Times New Roman"/>
          <w:color w:val="000000" w:themeColor="text1"/>
          <w:sz w:val="20"/>
          <w:szCs w:val="20"/>
        </w:rPr>
        <w:t>, which provides a structured basis for defining the boundaries of the review and ensuring transparent, reproducible study selection. Each criterion was specified in the registered protocol prior to search execution.</w:t>
      </w:r>
    </w:p>
    <w:p w14:paraId="22AB4513" w14:textId="77777777" w:rsidR="002D7C83" w:rsidRPr="00B02C30" w:rsidRDefault="00000000">
      <w:pPr>
        <w:spacing w:after="160" w:line="360" w:lineRule="auto"/>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The criteria were as follows:</w:t>
      </w:r>
    </w:p>
    <w:p w14:paraId="1F85A1BA" w14:textId="77777777" w:rsidR="002D7C83" w:rsidRPr="00B02C30" w:rsidRDefault="00000000">
      <w:pPr>
        <w:spacing w:after="160" w:line="360" w:lineRule="auto"/>
        <w:ind w:left="72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 xml:space="preserve">Population: </w:t>
      </w:r>
      <w:r w:rsidRPr="00B02C30">
        <w:rPr>
          <w:rFonts w:ascii="Times New Roman" w:hAnsi="Times New Roman" w:cs="Times New Roman"/>
          <w:color w:val="000000" w:themeColor="text1"/>
          <w:sz w:val="20"/>
          <w:szCs w:val="20"/>
        </w:rPr>
        <w:t>Human participants (healthy or with neurological conditions including ALS, paralysis, locked-in syndrome, epilepsy, aphasia, or anarthria) from whom neural signals were recorded using any neural recording modality. Studies using exclusively animal subjects, computational simulations, or phantom models were excluded.</w:t>
      </w:r>
    </w:p>
    <w:p w14:paraId="649A1C68" w14:textId="77777777" w:rsidR="002D7C83" w:rsidRPr="00B02C30" w:rsidRDefault="00000000">
      <w:pPr>
        <w:spacing w:after="160" w:line="360" w:lineRule="auto"/>
        <w:ind w:left="72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 xml:space="preserve">Intervention: </w:t>
      </w:r>
      <w:r w:rsidRPr="00B02C30">
        <w:rPr>
          <w:rFonts w:ascii="Times New Roman" w:hAnsi="Times New Roman" w:cs="Times New Roman"/>
          <w:color w:val="000000" w:themeColor="text1"/>
          <w:sz w:val="20"/>
          <w:szCs w:val="20"/>
        </w:rPr>
        <w:t>An artificial intelligence or machine learning computational model applied to decode or reconstruct speech-related outputs (text, audio, semantic representations, or phoneme/word classifications) from recorded neural signals. Studies reporting only signal preprocessing or feature extraction without a decoding model were excluded.</w:t>
      </w:r>
    </w:p>
    <w:p w14:paraId="0740B8B2" w14:textId="77777777" w:rsidR="002D7C83" w:rsidRPr="00B02C30" w:rsidRDefault="00000000">
      <w:pPr>
        <w:spacing w:after="160" w:line="360" w:lineRule="auto"/>
        <w:ind w:left="72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lastRenderedPageBreak/>
        <w:t xml:space="preserve">Comparator: </w:t>
      </w:r>
      <w:r w:rsidRPr="00B02C30">
        <w:rPr>
          <w:rFonts w:ascii="Times New Roman" w:hAnsi="Times New Roman" w:cs="Times New Roman"/>
          <w:color w:val="000000" w:themeColor="text1"/>
          <w:sz w:val="20"/>
          <w:szCs w:val="20"/>
        </w:rPr>
        <w:t>No comparator was required for inclusion. Studies comparing multiple AI architectures, comparing AI to non-AI decoders, or reporting single-architecture results without comparison were all eligible.</w:t>
      </w:r>
    </w:p>
    <w:p w14:paraId="58FA4241" w14:textId="77777777" w:rsidR="002D7C83" w:rsidRPr="00B02C30" w:rsidRDefault="00000000">
      <w:pPr>
        <w:spacing w:after="160" w:line="360" w:lineRule="auto"/>
        <w:ind w:left="72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 xml:space="preserve">Outcomes: </w:t>
      </w:r>
      <w:r w:rsidRPr="00B02C30">
        <w:rPr>
          <w:rFonts w:ascii="Times New Roman" w:hAnsi="Times New Roman" w:cs="Times New Roman"/>
          <w:color w:val="000000" w:themeColor="text1"/>
          <w:sz w:val="20"/>
          <w:szCs w:val="20"/>
        </w:rPr>
        <w:t>At least one quantitative performance metric measuring decoding quality was required. Acceptable metrics included word error rate (WER), character error rate (CER), classification accuracy (%), Pearson correlation coefficient (PCC), words per minute (WPM), bilingual evaluation understudy score (BLEU), semantic similarity scores, or listener intelligibility ratings. Studies reporting only qualitative descriptions of system function without quantitative metrics were excluded.</w:t>
      </w:r>
    </w:p>
    <w:p w14:paraId="13CC9D4B" w14:textId="77777777" w:rsidR="002D7C83" w:rsidRPr="00B02C30" w:rsidRDefault="00000000">
      <w:pPr>
        <w:spacing w:after="160" w:line="360" w:lineRule="auto"/>
        <w:ind w:left="72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 xml:space="preserve">Study design: </w:t>
      </w:r>
      <w:r w:rsidRPr="00B02C30">
        <w:rPr>
          <w:rFonts w:ascii="Times New Roman" w:hAnsi="Times New Roman" w:cs="Times New Roman"/>
          <w:color w:val="000000" w:themeColor="text1"/>
          <w:sz w:val="20"/>
          <w:szCs w:val="20"/>
        </w:rPr>
        <w:t xml:space="preserve">Empirical studies (full journal articles, conference proceedings, and preprints) reporting original experimental results. Systematic reviews, narrative reviews, editorials, commentaries, and conference abstracts without full experimental reporting were excluded. Studies published or posted between January 1, </w:t>
      </w:r>
      <w:proofErr w:type="gramStart"/>
      <w:r w:rsidRPr="00B02C30">
        <w:rPr>
          <w:rFonts w:ascii="Times New Roman" w:hAnsi="Times New Roman" w:cs="Times New Roman"/>
          <w:color w:val="000000" w:themeColor="text1"/>
          <w:sz w:val="20"/>
          <w:szCs w:val="20"/>
        </w:rPr>
        <w:t>2015</w:t>
      </w:r>
      <w:proofErr w:type="gramEnd"/>
      <w:r w:rsidRPr="00B02C30">
        <w:rPr>
          <w:rFonts w:ascii="Times New Roman" w:hAnsi="Times New Roman" w:cs="Times New Roman"/>
          <w:color w:val="000000" w:themeColor="text1"/>
          <w:sz w:val="20"/>
          <w:szCs w:val="20"/>
        </w:rPr>
        <w:t xml:space="preserve"> and April 13, 2026 (the formal search execution date) were eligible. The 2015 lower boundary was selected to capture the modern deep learning era in neural speech decoding, anchored by the Brain-to-Text publication of Herff and colleagues </w:t>
      </w:r>
      <w:r w:rsidRPr="00B02C30">
        <w:rPr>
          <w:rFonts w:ascii="Times New Roman" w:hAnsi="Times New Roman" w:cs="Times New Roman"/>
          <w:color w:val="000000" w:themeColor="text1"/>
          <w:sz w:val="20"/>
          <w:szCs w:val="20"/>
          <w:vertAlign w:val="superscript"/>
        </w:rPr>
        <w:t>[8]</w:t>
      </w:r>
      <w:r w:rsidRPr="00B02C30">
        <w:rPr>
          <w:rFonts w:ascii="Times New Roman" w:hAnsi="Times New Roman" w:cs="Times New Roman"/>
          <w:color w:val="000000" w:themeColor="text1"/>
          <w:sz w:val="20"/>
          <w:szCs w:val="20"/>
        </w:rPr>
        <w:t xml:space="preserve"> as the foundational study of this period. No language restrictions were applied.</w:t>
      </w:r>
    </w:p>
    <w:p w14:paraId="2BBB0C61" w14:textId="77777777" w:rsidR="002D7C83" w:rsidRPr="00B02C30" w:rsidRDefault="00000000">
      <w:pPr>
        <w:spacing w:after="160" w:line="360" w:lineRule="auto"/>
        <w:rPr>
          <w:rFonts w:ascii="Times New Roman" w:hAnsi="Times New Roman" w:cs="Times New Roman"/>
          <w:color w:val="000000" w:themeColor="text1"/>
          <w:sz w:val="20"/>
          <w:szCs w:val="20"/>
        </w:rPr>
      </w:pPr>
      <w:r w:rsidRPr="00B02C30">
        <w:rPr>
          <w:rFonts w:ascii="Times New Roman" w:hAnsi="Times New Roman" w:cs="Times New Roman"/>
          <w:color w:val="000000" w:themeColor="text1"/>
          <w:sz w:val="20"/>
          <w:szCs w:val="20"/>
        </w:rPr>
        <w:t>Additional exclusion criteria included: (</w:t>
      </w:r>
      <w:proofErr w:type="spellStart"/>
      <w:r w:rsidRPr="00B02C30">
        <w:rPr>
          <w:rFonts w:ascii="Times New Roman" w:hAnsi="Times New Roman" w:cs="Times New Roman"/>
          <w:color w:val="000000" w:themeColor="text1"/>
          <w:sz w:val="20"/>
          <w:szCs w:val="20"/>
        </w:rPr>
        <w:t>i</w:t>
      </w:r>
      <w:proofErr w:type="spellEnd"/>
      <w:r w:rsidRPr="00B02C30">
        <w:rPr>
          <w:rFonts w:ascii="Times New Roman" w:hAnsi="Times New Roman" w:cs="Times New Roman"/>
          <w:color w:val="000000" w:themeColor="text1"/>
          <w:sz w:val="20"/>
          <w:szCs w:val="20"/>
        </w:rPr>
        <w:t>) studies decoding non-speech neural signals (motor imagery, visual perception, or emotional states) where speech decoding was not a primary or secondary outcome; (ii) studies using exclusively simulated or synthetic neural data; and (iii) studies in which the direction of the decoding analysis was the reverse of brain-to-speech (i.e., using brain recordings to improve natural language processing models rather than to decode speech from neural signals).</w:t>
      </w:r>
    </w:p>
    <w:p w14:paraId="41D6BFAD" w14:textId="77777777" w:rsidR="002D7C83" w:rsidRPr="00B02C30" w:rsidRDefault="00000000">
      <w:pPr>
        <w:pStyle w:val="Heading2"/>
        <w:rPr>
          <w:rFonts w:ascii="Times New Roman" w:hAnsi="Times New Roman" w:cs="Times New Roman"/>
          <w:color w:val="000000" w:themeColor="text1"/>
          <w:sz w:val="20"/>
          <w:szCs w:val="20"/>
        </w:rPr>
      </w:pPr>
      <w:proofErr w:type="gramStart"/>
      <w:r w:rsidRPr="00B02C30">
        <w:rPr>
          <w:rFonts w:ascii="Times New Roman" w:hAnsi="Times New Roman" w:cs="Times New Roman"/>
          <w:color w:val="000000" w:themeColor="text1"/>
          <w:sz w:val="20"/>
          <w:szCs w:val="20"/>
        </w:rPr>
        <w:t>2.3  Information</w:t>
      </w:r>
      <w:proofErr w:type="gramEnd"/>
      <w:r w:rsidRPr="00B02C30">
        <w:rPr>
          <w:rFonts w:ascii="Times New Roman" w:hAnsi="Times New Roman" w:cs="Times New Roman"/>
          <w:color w:val="000000" w:themeColor="text1"/>
          <w:sz w:val="20"/>
          <w:szCs w:val="20"/>
        </w:rPr>
        <w:t xml:space="preserve"> Sources and Search Strategy</w:t>
      </w:r>
    </w:p>
    <w:p w14:paraId="668432E7" w14:textId="77777777" w:rsidR="002D7C83" w:rsidRPr="00B02C30" w:rsidRDefault="00000000">
      <w:pPr>
        <w:spacing w:after="160" w:line="360" w:lineRule="auto"/>
        <w:rPr>
          <w:rFonts w:ascii="Times New Roman" w:hAnsi="Times New Roman" w:cs="Times New Roman"/>
          <w:color w:val="000000" w:themeColor="text1"/>
          <w:sz w:val="20"/>
          <w:szCs w:val="20"/>
        </w:rPr>
      </w:pPr>
      <w:r w:rsidRPr="00B02C30">
        <w:rPr>
          <w:rFonts w:ascii="Times New Roman" w:hAnsi="Times New Roman" w:cs="Times New Roman"/>
          <w:color w:val="000000" w:themeColor="text1"/>
          <w:sz w:val="20"/>
          <w:szCs w:val="20"/>
        </w:rPr>
        <w:t>Systematic searches were executed across five databases on April 13, 2026: MEDLINE via PubMed, Scopus, IEEE Xplore, Web of Science (Core Collection), and arXiv (</w:t>
      </w:r>
      <w:proofErr w:type="spellStart"/>
      <w:proofErr w:type="gramStart"/>
      <w:r w:rsidRPr="00B02C30">
        <w:rPr>
          <w:rFonts w:ascii="Times New Roman" w:hAnsi="Times New Roman" w:cs="Times New Roman"/>
          <w:color w:val="000000" w:themeColor="text1"/>
          <w:sz w:val="20"/>
          <w:szCs w:val="20"/>
        </w:rPr>
        <w:t>cs.LG</w:t>
      </w:r>
      <w:proofErr w:type="spellEnd"/>
      <w:proofErr w:type="gramEnd"/>
      <w:r w:rsidRPr="00B02C30">
        <w:rPr>
          <w:rFonts w:ascii="Times New Roman" w:hAnsi="Times New Roman" w:cs="Times New Roman"/>
          <w:color w:val="000000" w:themeColor="text1"/>
          <w:sz w:val="20"/>
          <w:szCs w:val="20"/>
        </w:rPr>
        <w:t xml:space="preserve">, cs.NE, </w:t>
      </w:r>
      <w:proofErr w:type="spellStart"/>
      <w:proofErr w:type="gramStart"/>
      <w:r w:rsidRPr="00B02C30">
        <w:rPr>
          <w:rFonts w:ascii="Times New Roman" w:hAnsi="Times New Roman" w:cs="Times New Roman"/>
          <w:color w:val="000000" w:themeColor="text1"/>
          <w:sz w:val="20"/>
          <w:szCs w:val="20"/>
        </w:rPr>
        <w:t>eess.SP</w:t>
      </w:r>
      <w:proofErr w:type="spellEnd"/>
      <w:proofErr w:type="gramEnd"/>
      <w:r w:rsidRPr="00B02C30">
        <w:rPr>
          <w:rFonts w:ascii="Times New Roman" w:hAnsi="Times New Roman" w:cs="Times New Roman"/>
          <w:color w:val="000000" w:themeColor="text1"/>
          <w:sz w:val="20"/>
          <w:szCs w:val="20"/>
        </w:rPr>
        <w:t>, and q-bio.NC subject areas). These databases were selected to provide comprehensive coverage of biomedical, engineering, neuroscience, and computer science literature relevant to brain-to-speech decoding research. No date or language filters were applied beyond the 2015 start date specified in the eligibility criteria.</w:t>
      </w:r>
    </w:p>
    <w:p w14:paraId="78A1A6B3" w14:textId="77777777" w:rsidR="002D7C83" w:rsidRPr="00B02C30" w:rsidRDefault="00000000">
      <w:pPr>
        <w:spacing w:after="160" w:line="360" w:lineRule="auto"/>
        <w:rPr>
          <w:rFonts w:ascii="Times New Roman" w:hAnsi="Times New Roman" w:cs="Times New Roman"/>
          <w:color w:val="000000" w:themeColor="text1"/>
          <w:sz w:val="20"/>
          <w:szCs w:val="20"/>
        </w:rPr>
      </w:pPr>
      <w:r w:rsidRPr="00B02C30">
        <w:rPr>
          <w:rFonts w:ascii="Times New Roman" w:hAnsi="Times New Roman" w:cs="Times New Roman"/>
          <w:color w:val="000000" w:themeColor="text1"/>
          <w:sz w:val="20"/>
          <w:szCs w:val="20"/>
        </w:rPr>
        <w:t>The search strategy was constructed using three Boolean concept blocks, combined with the AND operator:</w:t>
      </w:r>
    </w:p>
    <w:p w14:paraId="6C85189C" w14:textId="77777777" w:rsidR="002D7C83" w:rsidRPr="00B02C30" w:rsidRDefault="00000000">
      <w:pPr>
        <w:spacing w:after="160" w:line="360" w:lineRule="auto"/>
        <w:ind w:left="72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 xml:space="preserve">Block 1 — Neural signal acquisition: </w:t>
      </w:r>
      <w:r w:rsidRPr="00B02C30">
        <w:rPr>
          <w:rFonts w:ascii="Times New Roman" w:hAnsi="Times New Roman" w:cs="Times New Roman"/>
          <w:color w:val="000000" w:themeColor="text1"/>
          <w:sz w:val="20"/>
          <w:szCs w:val="20"/>
        </w:rPr>
        <w:t>("brain-computer interface" OR "BCI" OR "neural decoding" OR "neural signal" OR "electrocorticography" OR "ECoG" OR "intracortical" OR "</w:t>
      </w:r>
      <w:proofErr w:type="spellStart"/>
      <w:r w:rsidRPr="00B02C30">
        <w:rPr>
          <w:rFonts w:ascii="Times New Roman" w:hAnsi="Times New Roman" w:cs="Times New Roman"/>
          <w:color w:val="000000" w:themeColor="text1"/>
          <w:sz w:val="20"/>
          <w:szCs w:val="20"/>
        </w:rPr>
        <w:t>stereoelectroencephalography</w:t>
      </w:r>
      <w:proofErr w:type="spellEnd"/>
      <w:r w:rsidRPr="00B02C30">
        <w:rPr>
          <w:rFonts w:ascii="Times New Roman" w:hAnsi="Times New Roman" w:cs="Times New Roman"/>
          <w:color w:val="000000" w:themeColor="text1"/>
          <w:sz w:val="20"/>
          <w:szCs w:val="20"/>
        </w:rPr>
        <w:t>" OR "sEEG" OR "electroencephalography" OR "EEG" OR "magnetoencephalography" OR "MEG" OR "functional magnetic resonance imaging" OR "fMRI" OR "surface electromyography" OR "sEMG" OR "neuroprosthesis")</w:t>
      </w:r>
    </w:p>
    <w:p w14:paraId="490E14FA" w14:textId="77777777" w:rsidR="002D7C83" w:rsidRPr="00B02C30" w:rsidRDefault="00000000">
      <w:pPr>
        <w:spacing w:after="160" w:line="360" w:lineRule="auto"/>
        <w:ind w:left="72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 xml:space="preserve">Block 2 — Speech output: </w:t>
      </w:r>
      <w:r w:rsidRPr="00B02C30">
        <w:rPr>
          <w:rFonts w:ascii="Times New Roman" w:hAnsi="Times New Roman" w:cs="Times New Roman"/>
          <w:color w:val="000000" w:themeColor="text1"/>
          <w:sz w:val="20"/>
          <w:szCs w:val="20"/>
        </w:rPr>
        <w:t>("speech decoding" OR "speech synthesis" OR "brain-to-speech" OR "brain-to-text" OR "imagined speech" OR "covert speech" OR "attempted speech" OR "inner speech" OR "silent speech" OR "speech neuroprosthesis" OR "speech reconstruction" OR "phoneme decoding" OR "language decoding")</w:t>
      </w:r>
    </w:p>
    <w:p w14:paraId="3C47A1D9" w14:textId="77777777" w:rsidR="002D7C83" w:rsidRPr="00B02C30" w:rsidRDefault="00000000">
      <w:pPr>
        <w:spacing w:after="160" w:line="360" w:lineRule="auto"/>
        <w:ind w:left="72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lastRenderedPageBreak/>
        <w:t xml:space="preserve">Block 3 — AI/computational methods: </w:t>
      </w:r>
      <w:r w:rsidRPr="00B02C30">
        <w:rPr>
          <w:rFonts w:ascii="Times New Roman" w:hAnsi="Times New Roman" w:cs="Times New Roman"/>
          <w:color w:val="000000" w:themeColor="text1"/>
          <w:sz w:val="20"/>
          <w:szCs w:val="20"/>
        </w:rPr>
        <w:t>("artificial intelligence" OR "machine learning" OR "deep learning" OR "neural network" OR "convolutional neural network" OR "recurrent neural network" OR "transformer" OR "self-supervised" OR "encoder-decoder" OR "large language model" OR "transfer learning" OR "foundation model")</w:t>
      </w:r>
    </w:p>
    <w:p w14:paraId="2318D24F" w14:textId="77777777" w:rsidR="002D7C83" w:rsidRPr="00B02C30" w:rsidRDefault="00000000">
      <w:pPr>
        <w:spacing w:after="160" w:line="360" w:lineRule="auto"/>
        <w:rPr>
          <w:rFonts w:ascii="Times New Roman" w:hAnsi="Times New Roman" w:cs="Times New Roman"/>
          <w:color w:val="000000" w:themeColor="text1"/>
          <w:sz w:val="20"/>
          <w:szCs w:val="20"/>
        </w:rPr>
      </w:pPr>
      <w:r w:rsidRPr="00B02C30">
        <w:rPr>
          <w:rFonts w:ascii="Times New Roman" w:hAnsi="Times New Roman" w:cs="Times New Roman"/>
          <w:color w:val="000000" w:themeColor="text1"/>
          <w:sz w:val="20"/>
          <w:szCs w:val="20"/>
        </w:rPr>
        <w:t xml:space="preserve">The full PubMed search string incorporating </w:t>
      </w:r>
      <w:proofErr w:type="spellStart"/>
      <w:r w:rsidRPr="00B02C30">
        <w:rPr>
          <w:rFonts w:ascii="Times New Roman" w:hAnsi="Times New Roman" w:cs="Times New Roman"/>
          <w:color w:val="000000" w:themeColor="text1"/>
          <w:sz w:val="20"/>
          <w:szCs w:val="20"/>
        </w:rPr>
        <w:t>MeSH</w:t>
      </w:r>
      <w:proofErr w:type="spellEnd"/>
      <w:r w:rsidRPr="00B02C30">
        <w:rPr>
          <w:rFonts w:ascii="Times New Roman" w:hAnsi="Times New Roman" w:cs="Times New Roman"/>
          <w:color w:val="000000" w:themeColor="text1"/>
          <w:sz w:val="20"/>
          <w:szCs w:val="20"/>
        </w:rPr>
        <w:t xml:space="preserve"> terms and free-text synonyms is provided in Appendix A. Search strings for each database were adapted to accommodate database-specific syntax whilst preserving conceptual equivalence. To supplement database searches, forward and backward citation chaining was conducted on a set of 15 landmark papers identified during protocol development, including Herff and colleagues (2015) </w:t>
      </w:r>
      <w:r w:rsidRPr="00B02C30">
        <w:rPr>
          <w:rFonts w:ascii="Times New Roman" w:hAnsi="Times New Roman" w:cs="Times New Roman"/>
          <w:color w:val="000000" w:themeColor="text1"/>
          <w:sz w:val="20"/>
          <w:szCs w:val="20"/>
          <w:vertAlign w:val="superscript"/>
        </w:rPr>
        <w:t>[8]</w:t>
      </w:r>
      <w:r w:rsidRPr="00B02C30">
        <w:rPr>
          <w:rFonts w:ascii="Times New Roman" w:hAnsi="Times New Roman" w:cs="Times New Roman"/>
          <w:color w:val="000000" w:themeColor="text1"/>
          <w:sz w:val="20"/>
          <w:szCs w:val="20"/>
        </w:rPr>
        <w:t xml:space="preserve">, Moses and colleagues (2021) </w:t>
      </w:r>
      <w:r w:rsidRPr="00B02C30">
        <w:rPr>
          <w:rFonts w:ascii="Times New Roman" w:hAnsi="Times New Roman" w:cs="Times New Roman"/>
          <w:color w:val="000000" w:themeColor="text1"/>
          <w:sz w:val="20"/>
          <w:szCs w:val="20"/>
          <w:vertAlign w:val="superscript"/>
        </w:rPr>
        <w:t>[9]</w:t>
      </w:r>
      <w:r w:rsidRPr="00B02C30">
        <w:rPr>
          <w:rFonts w:ascii="Times New Roman" w:hAnsi="Times New Roman" w:cs="Times New Roman"/>
          <w:color w:val="000000" w:themeColor="text1"/>
          <w:sz w:val="20"/>
          <w:szCs w:val="20"/>
        </w:rPr>
        <w:t xml:space="preserve">, and Willett and colleagues (2023) </w:t>
      </w:r>
      <w:r w:rsidRPr="00B02C30">
        <w:rPr>
          <w:rFonts w:ascii="Times New Roman" w:hAnsi="Times New Roman" w:cs="Times New Roman"/>
          <w:color w:val="000000" w:themeColor="text1"/>
          <w:sz w:val="20"/>
          <w:szCs w:val="20"/>
          <w:vertAlign w:val="superscript"/>
        </w:rPr>
        <w:t>[10]</w:t>
      </w:r>
      <w:r w:rsidRPr="00B02C30">
        <w:rPr>
          <w:rFonts w:ascii="Times New Roman" w:hAnsi="Times New Roman" w:cs="Times New Roman"/>
          <w:color w:val="000000" w:themeColor="text1"/>
          <w:sz w:val="20"/>
          <w:szCs w:val="20"/>
        </w:rPr>
        <w:t>. All retrieved records were imported into a deduplicated reference register for screening.</w:t>
      </w:r>
    </w:p>
    <w:p w14:paraId="0A48D753" w14:textId="77777777" w:rsidR="002D7C83" w:rsidRPr="00B02C30" w:rsidRDefault="00000000">
      <w:pPr>
        <w:pStyle w:val="Heading2"/>
        <w:rPr>
          <w:rFonts w:ascii="Times New Roman" w:hAnsi="Times New Roman" w:cs="Times New Roman"/>
          <w:color w:val="000000" w:themeColor="text1"/>
          <w:sz w:val="20"/>
          <w:szCs w:val="20"/>
        </w:rPr>
      </w:pPr>
      <w:proofErr w:type="gramStart"/>
      <w:r w:rsidRPr="00B02C30">
        <w:rPr>
          <w:rFonts w:ascii="Times New Roman" w:hAnsi="Times New Roman" w:cs="Times New Roman"/>
          <w:color w:val="000000" w:themeColor="text1"/>
          <w:sz w:val="20"/>
          <w:szCs w:val="20"/>
        </w:rPr>
        <w:t>2.4  Study</w:t>
      </w:r>
      <w:proofErr w:type="gramEnd"/>
      <w:r w:rsidRPr="00B02C30">
        <w:rPr>
          <w:rFonts w:ascii="Times New Roman" w:hAnsi="Times New Roman" w:cs="Times New Roman"/>
          <w:color w:val="000000" w:themeColor="text1"/>
          <w:sz w:val="20"/>
          <w:szCs w:val="20"/>
        </w:rPr>
        <w:t xml:space="preserve"> Selection Process</w:t>
      </w:r>
    </w:p>
    <w:p w14:paraId="27794E97" w14:textId="77777777" w:rsidR="002D7C83" w:rsidRPr="00B02C30" w:rsidRDefault="00000000">
      <w:pPr>
        <w:spacing w:after="160" w:line="360" w:lineRule="auto"/>
        <w:rPr>
          <w:rFonts w:ascii="Times New Roman" w:hAnsi="Times New Roman" w:cs="Times New Roman"/>
          <w:color w:val="000000" w:themeColor="text1"/>
          <w:sz w:val="20"/>
          <w:szCs w:val="20"/>
        </w:rPr>
      </w:pPr>
      <w:r w:rsidRPr="00B02C30">
        <w:rPr>
          <w:rFonts w:ascii="Times New Roman" w:hAnsi="Times New Roman" w:cs="Times New Roman"/>
          <w:color w:val="000000" w:themeColor="text1"/>
          <w:sz w:val="20"/>
          <w:szCs w:val="20"/>
        </w:rPr>
        <w:t xml:space="preserve">Study selection proceeded in two sequential stages, each conducted independently by the two review authors (B.I.A. and O.O.) prior to consensus adjudication, consistent with best practice recommendations for systematic reviews </w:t>
      </w:r>
      <w:r w:rsidRPr="00B02C30">
        <w:rPr>
          <w:rFonts w:ascii="Times New Roman" w:hAnsi="Times New Roman" w:cs="Times New Roman"/>
          <w:color w:val="000000" w:themeColor="text1"/>
          <w:sz w:val="20"/>
          <w:szCs w:val="20"/>
          <w:vertAlign w:val="superscript"/>
        </w:rPr>
        <w:t>[1]</w:t>
      </w:r>
      <w:r w:rsidRPr="00B02C30">
        <w:rPr>
          <w:rFonts w:ascii="Times New Roman" w:hAnsi="Times New Roman" w:cs="Times New Roman"/>
          <w:color w:val="000000" w:themeColor="text1"/>
          <w:sz w:val="20"/>
          <w:szCs w:val="20"/>
        </w:rPr>
        <w:t>. All records retrieved from database searches and citation chaining were first deduplicated using a structured Excel-based register.</w:t>
      </w:r>
    </w:p>
    <w:p w14:paraId="73C8BC9C" w14:textId="77777777" w:rsidR="002D7C83" w:rsidRPr="00B02C30" w:rsidRDefault="00000000">
      <w:pPr>
        <w:spacing w:after="160" w:line="360" w:lineRule="auto"/>
        <w:rPr>
          <w:rFonts w:ascii="Times New Roman" w:hAnsi="Times New Roman" w:cs="Times New Roman"/>
          <w:color w:val="000000" w:themeColor="text1"/>
          <w:sz w:val="20"/>
          <w:szCs w:val="20"/>
        </w:rPr>
      </w:pPr>
      <w:r w:rsidRPr="00B02C30">
        <w:rPr>
          <w:rFonts w:ascii="Times New Roman" w:hAnsi="Times New Roman" w:cs="Times New Roman"/>
          <w:color w:val="000000" w:themeColor="text1"/>
          <w:sz w:val="20"/>
          <w:szCs w:val="20"/>
        </w:rPr>
        <w:t>In Stage 1 (title and abstract screening), all deduplicated records were assessed against the eligibility criteria by both reviewers independently. Records were classified as Include, Exclude, or Uncertain. In Stage 2 (full-text assessment), all records classified as Include or Uncertain by either reviewer were retrieved in full and assessed against the complete PICOS criteria. Reasons for exclusion at full-text stage were recorded according to pre-specified categories: (</w:t>
      </w:r>
      <w:proofErr w:type="spellStart"/>
      <w:r w:rsidRPr="00B02C30">
        <w:rPr>
          <w:rFonts w:ascii="Times New Roman" w:hAnsi="Times New Roman" w:cs="Times New Roman"/>
          <w:color w:val="000000" w:themeColor="text1"/>
          <w:sz w:val="20"/>
          <w:szCs w:val="20"/>
        </w:rPr>
        <w:t>i</w:t>
      </w:r>
      <w:proofErr w:type="spellEnd"/>
      <w:r w:rsidRPr="00B02C30">
        <w:rPr>
          <w:rFonts w:ascii="Times New Roman" w:hAnsi="Times New Roman" w:cs="Times New Roman"/>
          <w:color w:val="000000" w:themeColor="text1"/>
          <w:sz w:val="20"/>
          <w:szCs w:val="20"/>
        </w:rPr>
        <w:t>) wrong population (non-human or non-neural data); (ii) wrong intervention (no AI decoding model); (iii) wrong outcome (no quantitative performance metric); (iv) out of scope (non-speech neural signal); (v) wrong publication type (review, editorial, or abstract only); and (vi) date out of range.</w:t>
      </w:r>
    </w:p>
    <w:p w14:paraId="76F8B0FE" w14:textId="77777777" w:rsidR="002D7C83" w:rsidRPr="00B02C30" w:rsidRDefault="00000000">
      <w:pPr>
        <w:spacing w:after="160" w:line="360" w:lineRule="auto"/>
        <w:rPr>
          <w:rFonts w:ascii="Times New Roman" w:hAnsi="Times New Roman" w:cs="Times New Roman"/>
          <w:color w:val="000000" w:themeColor="text1"/>
          <w:sz w:val="20"/>
          <w:szCs w:val="20"/>
        </w:rPr>
      </w:pPr>
      <w:r w:rsidRPr="00B02C30">
        <w:rPr>
          <w:rFonts w:ascii="Times New Roman" w:hAnsi="Times New Roman" w:cs="Times New Roman"/>
          <w:color w:val="000000" w:themeColor="text1"/>
          <w:sz w:val="20"/>
          <w:szCs w:val="20"/>
        </w:rPr>
        <w:t xml:space="preserve">Inter-rater reliability was quantified at each screening stage using Cohen's kappa coefficient </w:t>
      </w:r>
      <w:r w:rsidRPr="00B02C30">
        <w:rPr>
          <w:rFonts w:ascii="Times New Roman" w:hAnsi="Times New Roman" w:cs="Times New Roman"/>
          <w:color w:val="000000" w:themeColor="text1"/>
          <w:sz w:val="20"/>
          <w:szCs w:val="20"/>
          <w:vertAlign w:val="superscript"/>
        </w:rPr>
        <w:t>[11]</w:t>
      </w:r>
      <w:r w:rsidRPr="00B02C30">
        <w:rPr>
          <w:rFonts w:ascii="Times New Roman" w:hAnsi="Times New Roman" w:cs="Times New Roman"/>
          <w:color w:val="000000" w:themeColor="text1"/>
          <w:sz w:val="20"/>
          <w:szCs w:val="20"/>
        </w:rPr>
        <w:t xml:space="preserve">. Discrepancies between reviewers at both stages were resolved through structured discussion and, where consensus could not be reached, by reference to the eligibility criteria as specified in the registered protocol. The complete study selection process, including record counts at each stage, is documented in the PRISMA 2020 flow diagram (Fig. 1) </w:t>
      </w:r>
      <w:r w:rsidRPr="00B02C30">
        <w:rPr>
          <w:rFonts w:ascii="Times New Roman" w:hAnsi="Times New Roman" w:cs="Times New Roman"/>
          <w:color w:val="000000" w:themeColor="text1"/>
          <w:sz w:val="20"/>
          <w:szCs w:val="20"/>
          <w:vertAlign w:val="superscript"/>
        </w:rPr>
        <w:t>[1]</w:t>
      </w:r>
      <w:r w:rsidRPr="00B02C30">
        <w:rPr>
          <w:rFonts w:ascii="Times New Roman" w:hAnsi="Times New Roman" w:cs="Times New Roman"/>
          <w:color w:val="000000" w:themeColor="text1"/>
          <w:sz w:val="20"/>
          <w:szCs w:val="20"/>
        </w:rPr>
        <w:t>.</w:t>
      </w:r>
    </w:p>
    <w:p w14:paraId="3DAAF7EF" w14:textId="77777777" w:rsidR="002D7C83" w:rsidRPr="00B02C30" w:rsidRDefault="00000000">
      <w:pPr>
        <w:pStyle w:val="Heading2"/>
        <w:rPr>
          <w:rFonts w:ascii="Times New Roman" w:hAnsi="Times New Roman" w:cs="Times New Roman"/>
          <w:color w:val="000000" w:themeColor="text1"/>
          <w:sz w:val="20"/>
          <w:szCs w:val="20"/>
        </w:rPr>
      </w:pPr>
      <w:proofErr w:type="gramStart"/>
      <w:r w:rsidRPr="00B02C30">
        <w:rPr>
          <w:rFonts w:ascii="Times New Roman" w:hAnsi="Times New Roman" w:cs="Times New Roman"/>
          <w:color w:val="000000" w:themeColor="text1"/>
          <w:sz w:val="20"/>
          <w:szCs w:val="20"/>
        </w:rPr>
        <w:t>2.5  Data</w:t>
      </w:r>
      <w:proofErr w:type="gramEnd"/>
      <w:r w:rsidRPr="00B02C30">
        <w:rPr>
          <w:rFonts w:ascii="Times New Roman" w:hAnsi="Times New Roman" w:cs="Times New Roman"/>
          <w:color w:val="000000" w:themeColor="text1"/>
          <w:sz w:val="20"/>
          <w:szCs w:val="20"/>
        </w:rPr>
        <w:t xml:space="preserve"> Extraction</w:t>
      </w:r>
    </w:p>
    <w:p w14:paraId="62F668CF" w14:textId="77777777" w:rsidR="002D7C83" w:rsidRPr="00B02C30" w:rsidRDefault="00000000">
      <w:pPr>
        <w:spacing w:after="160" w:line="360" w:lineRule="auto"/>
        <w:rPr>
          <w:rFonts w:ascii="Times New Roman" w:hAnsi="Times New Roman" w:cs="Times New Roman"/>
          <w:color w:val="000000" w:themeColor="text1"/>
          <w:sz w:val="20"/>
          <w:szCs w:val="20"/>
        </w:rPr>
      </w:pPr>
      <w:r w:rsidRPr="00B02C30">
        <w:rPr>
          <w:rFonts w:ascii="Times New Roman" w:hAnsi="Times New Roman" w:cs="Times New Roman"/>
          <w:color w:val="000000" w:themeColor="text1"/>
          <w:sz w:val="20"/>
          <w:szCs w:val="20"/>
        </w:rPr>
        <w:t xml:space="preserve">A structured data extraction form was developed a priori and pilot-tested on five randomly selected included studies prior to full-scale extraction. The form captured the following variables for each included study: (1) bibliographic details (authors, year, journal/venue, DOI); (2) neural recording modality (ECoG, intracortical, sEEG, scalp EEG, MEG, fMRI, hybrid, or sEMG); (3) participant count and clinical status (healthy volunteer, epilepsy, ALS, anarthria, locked-in syndrome, or paralysis); (4) decoding task type (overt, imagined/covert, attempted, or perceived speech); (5) vocabulary type (closed-set or open-vocabulary); (6) output type (text, audio, semantic representation, or classification label); (7) AI architecture class (traditional ML, CNN, RNN/LSTM, encoder-decoder, transformer, SSL/contrastive, LLM-integrated, </w:t>
      </w:r>
      <w:r w:rsidRPr="00B02C30">
        <w:rPr>
          <w:rFonts w:ascii="Times New Roman" w:hAnsi="Times New Roman" w:cs="Times New Roman"/>
          <w:color w:val="000000" w:themeColor="text1"/>
          <w:sz w:val="20"/>
          <w:szCs w:val="20"/>
        </w:rPr>
        <w:lastRenderedPageBreak/>
        <w:t>or hybrid); (8) language model integration (yes/no); (9) primary performance metric and reported value; (10) generalization type (none, cross-participant, cross-session, cross-language, cross-modal, or multiple); (11) real-time evaluation (yes/no); and (12) open code or data availability (yes/no).</w:t>
      </w:r>
    </w:p>
    <w:p w14:paraId="221FB700" w14:textId="77777777" w:rsidR="002D7C83" w:rsidRPr="00B02C30" w:rsidRDefault="00000000">
      <w:pPr>
        <w:spacing w:after="160" w:line="360" w:lineRule="auto"/>
        <w:rPr>
          <w:rFonts w:ascii="Times New Roman" w:hAnsi="Times New Roman" w:cs="Times New Roman"/>
          <w:color w:val="000000" w:themeColor="text1"/>
          <w:sz w:val="20"/>
          <w:szCs w:val="20"/>
        </w:rPr>
      </w:pPr>
      <w:r w:rsidRPr="00B02C30">
        <w:rPr>
          <w:rFonts w:ascii="Times New Roman" w:hAnsi="Times New Roman" w:cs="Times New Roman"/>
          <w:color w:val="000000" w:themeColor="text1"/>
          <w:sz w:val="20"/>
          <w:szCs w:val="20"/>
        </w:rPr>
        <w:t>Data extraction was performed independently by the first author (B.I.A.) and verified against the original publications for all 71 included studies. For studies reporting multiple performance values (e.g., WER under different vocabulary conditions), all values were extracted with the experimental condition documented, to preserve the benchmark comparability analysis presented in Section 5.5. Where ambiguities arose regarding architectural classification, the classification was resolved by reference to the methodology section of the primary paper and, where necessary, through consensus discussion with the second author.</w:t>
      </w:r>
    </w:p>
    <w:p w14:paraId="35BC40C2" w14:textId="77777777" w:rsidR="002D7C83" w:rsidRPr="00B02C30" w:rsidRDefault="00000000">
      <w:pPr>
        <w:pStyle w:val="Heading2"/>
        <w:rPr>
          <w:rFonts w:ascii="Times New Roman" w:hAnsi="Times New Roman" w:cs="Times New Roman"/>
          <w:color w:val="000000" w:themeColor="text1"/>
          <w:sz w:val="20"/>
          <w:szCs w:val="20"/>
        </w:rPr>
      </w:pPr>
      <w:proofErr w:type="gramStart"/>
      <w:r w:rsidRPr="00B02C30">
        <w:rPr>
          <w:rFonts w:ascii="Times New Roman" w:hAnsi="Times New Roman" w:cs="Times New Roman"/>
          <w:color w:val="000000" w:themeColor="text1"/>
          <w:sz w:val="20"/>
          <w:szCs w:val="20"/>
        </w:rPr>
        <w:t>2.6  Quality</w:t>
      </w:r>
      <w:proofErr w:type="gramEnd"/>
      <w:r w:rsidRPr="00B02C30">
        <w:rPr>
          <w:rFonts w:ascii="Times New Roman" w:hAnsi="Times New Roman" w:cs="Times New Roman"/>
          <w:color w:val="000000" w:themeColor="text1"/>
          <w:sz w:val="20"/>
          <w:szCs w:val="20"/>
        </w:rPr>
        <w:t xml:space="preserve"> Assessment</w:t>
      </w:r>
    </w:p>
    <w:p w14:paraId="120D3071" w14:textId="77777777" w:rsidR="002D7C83" w:rsidRPr="00B02C30" w:rsidRDefault="00000000">
      <w:pPr>
        <w:spacing w:after="160" w:line="360" w:lineRule="auto"/>
        <w:rPr>
          <w:rFonts w:ascii="Times New Roman" w:hAnsi="Times New Roman" w:cs="Times New Roman"/>
          <w:color w:val="000000" w:themeColor="text1"/>
          <w:sz w:val="20"/>
          <w:szCs w:val="20"/>
        </w:rPr>
      </w:pPr>
      <w:r w:rsidRPr="00B02C30">
        <w:rPr>
          <w:rFonts w:ascii="Times New Roman" w:hAnsi="Times New Roman" w:cs="Times New Roman"/>
          <w:color w:val="000000" w:themeColor="text1"/>
          <w:sz w:val="20"/>
          <w:szCs w:val="20"/>
        </w:rPr>
        <w:t xml:space="preserve">Given the heterogeneity of study designs, neural recording modalities, AI architectures, and outcome measures across included studies, no single validated quality appraisal tool was directly applicable to the full set of 71 studies. Standard tools such as the Cochrane Risk of Bias tool </w:t>
      </w:r>
      <w:r w:rsidRPr="00B02C30">
        <w:rPr>
          <w:rFonts w:ascii="Times New Roman" w:hAnsi="Times New Roman" w:cs="Times New Roman"/>
          <w:color w:val="000000" w:themeColor="text1"/>
          <w:sz w:val="20"/>
          <w:szCs w:val="20"/>
          <w:vertAlign w:val="superscript"/>
        </w:rPr>
        <w:t>[12]</w:t>
      </w:r>
      <w:r w:rsidRPr="00B02C30">
        <w:rPr>
          <w:rFonts w:ascii="Times New Roman" w:hAnsi="Times New Roman" w:cs="Times New Roman"/>
          <w:color w:val="000000" w:themeColor="text1"/>
          <w:sz w:val="20"/>
          <w:szCs w:val="20"/>
        </w:rPr>
        <w:t xml:space="preserve"> are designed for randomized controlled trials and are not appropriate for the predominantly observational proof-of-concept and engineering studies comprising this review. Accordingly, an adapted seven-item methodological quality checklist was developed, drawing on criteria established for evaluating AI-based diagnostic studies </w:t>
      </w:r>
      <w:r w:rsidRPr="00B02C30">
        <w:rPr>
          <w:rFonts w:ascii="Times New Roman" w:hAnsi="Times New Roman" w:cs="Times New Roman"/>
          <w:color w:val="000000" w:themeColor="text1"/>
          <w:sz w:val="20"/>
          <w:szCs w:val="20"/>
          <w:vertAlign w:val="superscript"/>
        </w:rPr>
        <w:t>[13]</w:t>
      </w:r>
      <w:r w:rsidRPr="00B02C30">
        <w:rPr>
          <w:rFonts w:ascii="Times New Roman" w:hAnsi="Times New Roman" w:cs="Times New Roman"/>
          <w:color w:val="000000" w:themeColor="text1"/>
          <w:sz w:val="20"/>
          <w:szCs w:val="20"/>
        </w:rPr>
        <w:t xml:space="preserve"> and neural decoding research </w:t>
      </w:r>
      <w:r w:rsidRPr="00B02C30">
        <w:rPr>
          <w:rFonts w:ascii="Times New Roman" w:hAnsi="Times New Roman" w:cs="Times New Roman"/>
          <w:color w:val="000000" w:themeColor="text1"/>
          <w:sz w:val="20"/>
          <w:szCs w:val="20"/>
          <w:vertAlign w:val="superscript"/>
        </w:rPr>
        <w:t>[4][5]</w:t>
      </w:r>
      <w:r w:rsidRPr="00B02C30">
        <w:rPr>
          <w:rFonts w:ascii="Times New Roman" w:hAnsi="Times New Roman" w:cs="Times New Roman"/>
          <w:color w:val="000000" w:themeColor="text1"/>
          <w:sz w:val="20"/>
          <w:szCs w:val="20"/>
        </w:rPr>
        <w:t>. The checklist evaluated each included study on the following items, each scored as met (1), partially met (0.5), or not met (0):</w:t>
      </w:r>
    </w:p>
    <w:p w14:paraId="1F0809FD" w14:textId="77777777" w:rsidR="002D7C83" w:rsidRPr="00B02C30" w:rsidRDefault="00000000">
      <w:pPr>
        <w:spacing w:after="160" w:line="360" w:lineRule="auto"/>
        <w:ind w:left="72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 xml:space="preserve">Q1: </w:t>
      </w:r>
      <w:r w:rsidRPr="00B02C30">
        <w:rPr>
          <w:rFonts w:ascii="Times New Roman" w:hAnsi="Times New Roman" w:cs="Times New Roman"/>
          <w:color w:val="000000" w:themeColor="text1"/>
          <w:sz w:val="20"/>
          <w:szCs w:val="20"/>
        </w:rPr>
        <w:t>Was the research question or decoding objective clearly stated?</w:t>
      </w:r>
    </w:p>
    <w:p w14:paraId="1273E576" w14:textId="77777777" w:rsidR="002D7C83" w:rsidRPr="00B02C30" w:rsidRDefault="00000000">
      <w:pPr>
        <w:spacing w:after="160" w:line="360" w:lineRule="auto"/>
        <w:ind w:left="72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 xml:space="preserve">Q2: </w:t>
      </w:r>
      <w:r w:rsidRPr="00B02C30">
        <w:rPr>
          <w:rFonts w:ascii="Times New Roman" w:hAnsi="Times New Roman" w:cs="Times New Roman"/>
          <w:color w:val="000000" w:themeColor="text1"/>
          <w:sz w:val="20"/>
          <w:szCs w:val="20"/>
        </w:rPr>
        <w:t>Were participant characteristics (number, clinical status, demographics) described in sufficient detail?</w:t>
      </w:r>
    </w:p>
    <w:p w14:paraId="03369C57" w14:textId="77777777" w:rsidR="002D7C83" w:rsidRPr="00B02C30" w:rsidRDefault="00000000">
      <w:pPr>
        <w:spacing w:after="160" w:line="360" w:lineRule="auto"/>
        <w:ind w:left="72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 xml:space="preserve">Q3: </w:t>
      </w:r>
      <w:r w:rsidRPr="00B02C30">
        <w:rPr>
          <w:rFonts w:ascii="Times New Roman" w:hAnsi="Times New Roman" w:cs="Times New Roman"/>
          <w:color w:val="000000" w:themeColor="text1"/>
          <w:sz w:val="20"/>
          <w:szCs w:val="20"/>
        </w:rPr>
        <w:t>Was the neural recording paradigm and data acquisition procedure described reproducibly?</w:t>
      </w:r>
    </w:p>
    <w:p w14:paraId="6118591F" w14:textId="77777777" w:rsidR="002D7C83" w:rsidRPr="00B02C30" w:rsidRDefault="00000000">
      <w:pPr>
        <w:spacing w:after="160" w:line="360" w:lineRule="auto"/>
        <w:ind w:left="72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 xml:space="preserve">Q4: </w:t>
      </w:r>
      <w:r w:rsidRPr="00B02C30">
        <w:rPr>
          <w:rFonts w:ascii="Times New Roman" w:hAnsi="Times New Roman" w:cs="Times New Roman"/>
          <w:color w:val="000000" w:themeColor="text1"/>
          <w:sz w:val="20"/>
          <w:szCs w:val="20"/>
        </w:rPr>
        <w:t>Was the AI architecture described with sufficient methodological detail to enable replication?</w:t>
      </w:r>
    </w:p>
    <w:p w14:paraId="7E1FD7D9" w14:textId="77777777" w:rsidR="002D7C83" w:rsidRPr="00B02C30" w:rsidRDefault="00000000">
      <w:pPr>
        <w:spacing w:after="160" w:line="360" w:lineRule="auto"/>
        <w:ind w:left="72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 xml:space="preserve">Q5: </w:t>
      </w:r>
      <w:r w:rsidRPr="00B02C30">
        <w:rPr>
          <w:rFonts w:ascii="Times New Roman" w:hAnsi="Times New Roman" w:cs="Times New Roman"/>
          <w:color w:val="000000" w:themeColor="text1"/>
          <w:sz w:val="20"/>
          <w:szCs w:val="20"/>
        </w:rPr>
        <w:t>Was the primary performance metric pre-specified and reported with measures of variability (SD, CI, or range across participants)?</w:t>
      </w:r>
    </w:p>
    <w:p w14:paraId="26A88BA8" w14:textId="77777777" w:rsidR="002D7C83" w:rsidRPr="00B02C30" w:rsidRDefault="00000000">
      <w:pPr>
        <w:spacing w:after="160" w:line="360" w:lineRule="auto"/>
        <w:ind w:left="72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 xml:space="preserve">Q6: </w:t>
      </w:r>
      <w:r w:rsidRPr="00B02C30">
        <w:rPr>
          <w:rFonts w:ascii="Times New Roman" w:hAnsi="Times New Roman" w:cs="Times New Roman"/>
          <w:color w:val="000000" w:themeColor="text1"/>
          <w:sz w:val="20"/>
          <w:szCs w:val="20"/>
        </w:rPr>
        <w:t>Was performance compared to a baseline or control condition?</w:t>
      </w:r>
    </w:p>
    <w:p w14:paraId="2B026E32" w14:textId="77777777" w:rsidR="002D7C83" w:rsidRPr="00B02C30" w:rsidRDefault="00000000">
      <w:pPr>
        <w:spacing w:after="160" w:line="360" w:lineRule="auto"/>
        <w:ind w:left="72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 xml:space="preserve">Q7: </w:t>
      </w:r>
      <w:r w:rsidRPr="00B02C30">
        <w:rPr>
          <w:rFonts w:ascii="Times New Roman" w:hAnsi="Times New Roman" w:cs="Times New Roman"/>
          <w:color w:val="000000" w:themeColor="text1"/>
          <w:sz w:val="20"/>
          <w:szCs w:val="20"/>
        </w:rPr>
        <w:t>Was the risk of performance overestimation (e.g., data leakage, acoustic contamination in overt speech, or within-session cross-validation inflation) explicitly discussed or mitigated?</w:t>
      </w:r>
    </w:p>
    <w:p w14:paraId="174A368E" w14:textId="77777777" w:rsidR="002D7C83" w:rsidRPr="00B02C30" w:rsidRDefault="00000000">
      <w:pPr>
        <w:spacing w:after="160" w:line="360" w:lineRule="auto"/>
        <w:rPr>
          <w:rFonts w:ascii="Times New Roman" w:hAnsi="Times New Roman" w:cs="Times New Roman"/>
          <w:color w:val="000000" w:themeColor="text1"/>
          <w:sz w:val="20"/>
          <w:szCs w:val="20"/>
        </w:rPr>
      </w:pPr>
      <w:r w:rsidRPr="00B02C30">
        <w:rPr>
          <w:rFonts w:ascii="Times New Roman" w:hAnsi="Times New Roman" w:cs="Times New Roman"/>
          <w:color w:val="000000" w:themeColor="text1"/>
          <w:sz w:val="20"/>
          <w:szCs w:val="20"/>
        </w:rPr>
        <w:t xml:space="preserve">Quality scores ranged from 0 to 7, with studies classified as high (score ≥5.5), moderate (3.5–5.0), or low quality (&lt;3.5). Quality assessment results are reported in Appendix D and are used to contextualize performance benchmark interpretation in Section 5; no studies were excluded from the review solely </w:t>
      </w:r>
      <w:proofErr w:type="gramStart"/>
      <w:r w:rsidRPr="00B02C30">
        <w:rPr>
          <w:rFonts w:ascii="Times New Roman" w:hAnsi="Times New Roman" w:cs="Times New Roman"/>
          <w:color w:val="000000" w:themeColor="text1"/>
          <w:sz w:val="20"/>
          <w:szCs w:val="20"/>
        </w:rPr>
        <w:t>on the basis of</w:t>
      </w:r>
      <w:proofErr w:type="gramEnd"/>
      <w:r w:rsidRPr="00B02C30">
        <w:rPr>
          <w:rFonts w:ascii="Times New Roman" w:hAnsi="Times New Roman" w:cs="Times New Roman"/>
          <w:color w:val="000000" w:themeColor="text1"/>
          <w:sz w:val="20"/>
          <w:szCs w:val="20"/>
        </w:rPr>
        <w:t xml:space="preserve"> quality scores, consistent with the approach recommended for exploratory systematic reviews of rapidly developing technologies </w:t>
      </w:r>
      <w:r w:rsidRPr="00B02C30">
        <w:rPr>
          <w:rFonts w:ascii="Times New Roman" w:hAnsi="Times New Roman" w:cs="Times New Roman"/>
          <w:color w:val="000000" w:themeColor="text1"/>
          <w:sz w:val="20"/>
          <w:szCs w:val="20"/>
          <w:vertAlign w:val="superscript"/>
        </w:rPr>
        <w:t>[14]</w:t>
      </w:r>
      <w:r w:rsidRPr="00B02C30">
        <w:rPr>
          <w:rFonts w:ascii="Times New Roman" w:hAnsi="Times New Roman" w:cs="Times New Roman"/>
          <w:color w:val="000000" w:themeColor="text1"/>
          <w:sz w:val="20"/>
          <w:szCs w:val="20"/>
        </w:rPr>
        <w:t>.</w:t>
      </w:r>
    </w:p>
    <w:p w14:paraId="151B9684" w14:textId="77777777" w:rsidR="002D7C83" w:rsidRPr="00B02C30" w:rsidRDefault="00000000">
      <w:pPr>
        <w:pStyle w:val="Heading2"/>
        <w:rPr>
          <w:rFonts w:ascii="Times New Roman" w:hAnsi="Times New Roman" w:cs="Times New Roman"/>
          <w:color w:val="000000" w:themeColor="text1"/>
          <w:sz w:val="20"/>
          <w:szCs w:val="20"/>
        </w:rPr>
      </w:pPr>
      <w:proofErr w:type="gramStart"/>
      <w:r w:rsidRPr="00B02C30">
        <w:rPr>
          <w:rFonts w:ascii="Times New Roman" w:hAnsi="Times New Roman" w:cs="Times New Roman"/>
          <w:color w:val="000000" w:themeColor="text1"/>
          <w:sz w:val="20"/>
          <w:szCs w:val="20"/>
        </w:rPr>
        <w:t>2.7  Data</w:t>
      </w:r>
      <w:proofErr w:type="gramEnd"/>
      <w:r w:rsidRPr="00B02C30">
        <w:rPr>
          <w:rFonts w:ascii="Times New Roman" w:hAnsi="Times New Roman" w:cs="Times New Roman"/>
          <w:color w:val="000000" w:themeColor="text1"/>
          <w:sz w:val="20"/>
          <w:szCs w:val="20"/>
        </w:rPr>
        <w:t xml:space="preserve"> Synthesis Approach</w:t>
      </w:r>
    </w:p>
    <w:p w14:paraId="5E6A10E1" w14:textId="77777777" w:rsidR="002D7C83" w:rsidRPr="00B02C30" w:rsidRDefault="00000000">
      <w:pPr>
        <w:spacing w:after="160" w:line="360" w:lineRule="auto"/>
        <w:rPr>
          <w:rFonts w:ascii="Times New Roman" w:hAnsi="Times New Roman" w:cs="Times New Roman"/>
          <w:color w:val="000000" w:themeColor="text1"/>
          <w:sz w:val="20"/>
          <w:szCs w:val="20"/>
        </w:rPr>
      </w:pPr>
      <w:r w:rsidRPr="00B02C30">
        <w:rPr>
          <w:rFonts w:ascii="Times New Roman" w:hAnsi="Times New Roman" w:cs="Times New Roman"/>
          <w:color w:val="000000" w:themeColor="text1"/>
          <w:sz w:val="20"/>
          <w:szCs w:val="20"/>
        </w:rPr>
        <w:lastRenderedPageBreak/>
        <w:t xml:space="preserve">The diversity of neural recording modalities, AI architectures, decoding tasks, participant populations, and performance metrics across the 71 included studies precluded statistical meta-analysis. As demonstrated in detail in Section 5.5 and Table 5 of this review, at least three critical comparability dimensions — vocabulary size, task type (overt versus imagined versus attempted speech), and metric heterogeneity (WER, accuracy, PCC, BLEU, CER, and others) — render pooled effect size estimation methodologically invalid for this literature. This conclusion is consistent with published guidance on evidence synthesis for heterogeneous AI and biomedical engineering studies </w:t>
      </w:r>
      <w:r w:rsidRPr="00B02C30">
        <w:rPr>
          <w:rFonts w:ascii="Times New Roman" w:hAnsi="Times New Roman" w:cs="Times New Roman"/>
          <w:color w:val="000000" w:themeColor="text1"/>
          <w:sz w:val="20"/>
          <w:szCs w:val="20"/>
          <w:vertAlign w:val="superscript"/>
        </w:rPr>
        <w:t>[15]</w:t>
      </w:r>
      <w:r w:rsidRPr="00B02C30">
        <w:rPr>
          <w:rFonts w:ascii="Times New Roman" w:hAnsi="Times New Roman" w:cs="Times New Roman"/>
          <w:color w:val="000000" w:themeColor="text1"/>
          <w:sz w:val="20"/>
          <w:szCs w:val="20"/>
        </w:rPr>
        <w:t>.</w:t>
      </w:r>
    </w:p>
    <w:p w14:paraId="26167A28" w14:textId="77777777" w:rsidR="002D7C83" w:rsidRPr="00B02C30" w:rsidRDefault="00000000">
      <w:pPr>
        <w:spacing w:after="160" w:line="360" w:lineRule="auto"/>
        <w:rPr>
          <w:rFonts w:ascii="Times New Roman" w:hAnsi="Times New Roman" w:cs="Times New Roman"/>
          <w:color w:val="000000" w:themeColor="text1"/>
          <w:sz w:val="20"/>
          <w:szCs w:val="20"/>
        </w:rPr>
      </w:pPr>
      <w:r w:rsidRPr="00B02C30">
        <w:rPr>
          <w:rFonts w:ascii="Times New Roman" w:hAnsi="Times New Roman" w:cs="Times New Roman"/>
          <w:color w:val="000000" w:themeColor="text1"/>
          <w:sz w:val="20"/>
          <w:szCs w:val="20"/>
        </w:rPr>
        <w:t xml:space="preserve">Findings were therefore synthesized using a structured narrative synthesis approach </w:t>
      </w:r>
      <w:r w:rsidRPr="00B02C30">
        <w:rPr>
          <w:rFonts w:ascii="Times New Roman" w:hAnsi="Times New Roman" w:cs="Times New Roman"/>
          <w:color w:val="000000" w:themeColor="text1"/>
          <w:sz w:val="20"/>
          <w:szCs w:val="20"/>
          <w:vertAlign w:val="superscript"/>
        </w:rPr>
        <w:t>[16]</w:t>
      </w:r>
      <w:r w:rsidRPr="00B02C30">
        <w:rPr>
          <w:rFonts w:ascii="Times New Roman" w:hAnsi="Times New Roman" w:cs="Times New Roman"/>
          <w:color w:val="000000" w:themeColor="text1"/>
          <w:sz w:val="20"/>
          <w:szCs w:val="20"/>
        </w:rPr>
        <w:t>, supplemented by the following analytical outputs:</w:t>
      </w:r>
    </w:p>
    <w:p w14:paraId="47591205" w14:textId="77777777" w:rsidR="002D7C83" w:rsidRPr="00B02C30" w:rsidRDefault="00000000">
      <w:pPr>
        <w:spacing w:after="160" w:line="360" w:lineRule="auto"/>
        <w:ind w:left="72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w:t>
      </w:r>
      <w:proofErr w:type="spellStart"/>
      <w:r w:rsidRPr="00B02C30">
        <w:rPr>
          <w:rFonts w:ascii="Times New Roman" w:hAnsi="Times New Roman" w:cs="Times New Roman"/>
          <w:b/>
          <w:bCs/>
          <w:color w:val="000000" w:themeColor="text1"/>
          <w:sz w:val="20"/>
          <w:szCs w:val="20"/>
        </w:rPr>
        <w:t>i</w:t>
      </w:r>
      <w:proofErr w:type="spellEnd"/>
      <w:r w:rsidRPr="00B02C30">
        <w:rPr>
          <w:rFonts w:ascii="Times New Roman" w:hAnsi="Times New Roman" w:cs="Times New Roman"/>
          <w:b/>
          <w:bCs/>
          <w:color w:val="000000" w:themeColor="text1"/>
          <w:sz w:val="20"/>
          <w:szCs w:val="20"/>
        </w:rPr>
        <w:t xml:space="preserve">) Modality comparison matrix (Table 1): </w:t>
      </w:r>
      <w:r w:rsidRPr="00B02C30">
        <w:rPr>
          <w:rFonts w:ascii="Times New Roman" w:hAnsi="Times New Roman" w:cs="Times New Roman"/>
          <w:color w:val="000000" w:themeColor="text1"/>
          <w:sz w:val="20"/>
          <w:szCs w:val="20"/>
        </w:rPr>
        <w:t>A structured comparison of the technical, operational, and performance characteristics of each neural recording modality represented in the included studies.</w:t>
      </w:r>
    </w:p>
    <w:p w14:paraId="3F151A37" w14:textId="77777777" w:rsidR="002D7C83" w:rsidRPr="00B02C30" w:rsidRDefault="00000000">
      <w:pPr>
        <w:spacing w:after="160" w:line="360" w:lineRule="auto"/>
        <w:ind w:left="72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 xml:space="preserve">(ii) Core performance benchmarks table (Table 2): </w:t>
      </w:r>
      <w:r w:rsidRPr="00B02C30">
        <w:rPr>
          <w:rFonts w:ascii="Times New Roman" w:hAnsi="Times New Roman" w:cs="Times New Roman"/>
          <w:color w:val="000000" w:themeColor="text1"/>
          <w:sz w:val="20"/>
          <w:szCs w:val="20"/>
        </w:rPr>
        <w:t>A systematic tabulation of best-reported performance values across 28 key studies, stratified by modality group, task type, and vocabulary scope to enable the most defensible cross-study comparison this literature permits.</w:t>
      </w:r>
    </w:p>
    <w:p w14:paraId="279B8600" w14:textId="77777777" w:rsidR="002D7C83" w:rsidRPr="00B02C30" w:rsidRDefault="00000000">
      <w:pPr>
        <w:spacing w:after="160" w:line="360" w:lineRule="auto"/>
        <w:ind w:left="72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 xml:space="preserve">(iii) AI architecture evolution summary (Table 3): </w:t>
      </w:r>
      <w:r w:rsidRPr="00B02C30">
        <w:rPr>
          <w:rFonts w:ascii="Times New Roman" w:hAnsi="Times New Roman" w:cs="Times New Roman"/>
          <w:color w:val="000000" w:themeColor="text1"/>
          <w:sz w:val="20"/>
          <w:szCs w:val="20"/>
        </w:rPr>
        <w:t>A synthesis of the eight architecture classes identified across the 71 included studies, organized chronologically by era of predominance.</w:t>
      </w:r>
    </w:p>
    <w:p w14:paraId="1470758F" w14:textId="77777777" w:rsidR="002D7C83" w:rsidRPr="00B02C30" w:rsidRDefault="00000000">
      <w:pPr>
        <w:spacing w:after="160" w:line="360" w:lineRule="auto"/>
        <w:ind w:left="72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 xml:space="preserve">(iv) Generalization evidence summary (Table 4): </w:t>
      </w:r>
      <w:r w:rsidRPr="00B02C30">
        <w:rPr>
          <w:rFonts w:ascii="Times New Roman" w:hAnsi="Times New Roman" w:cs="Times New Roman"/>
          <w:color w:val="000000" w:themeColor="text1"/>
          <w:sz w:val="20"/>
          <w:szCs w:val="20"/>
        </w:rPr>
        <w:t>A systematic mapping of the 21 studies providing cross-participant, cross-session, cross-language, or cross-modal generalization evidence, with the absence of generalization in the remaining 40 studies (56%) identified as a key finding.</w:t>
      </w:r>
    </w:p>
    <w:p w14:paraId="395AB455" w14:textId="77777777" w:rsidR="002D7C83" w:rsidRPr="00B02C30" w:rsidRDefault="00000000">
      <w:pPr>
        <w:spacing w:after="160" w:line="360" w:lineRule="auto"/>
        <w:ind w:left="72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 xml:space="preserve">(v) Benchmark comparability analysis (Table 5): </w:t>
      </w:r>
      <w:r w:rsidRPr="00B02C30">
        <w:rPr>
          <w:rFonts w:ascii="Times New Roman" w:hAnsi="Times New Roman" w:cs="Times New Roman"/>
          <w:color w:val="000000" w:themeColor="text1"/>
          <w:sz w:val="20"/>
          <w:szCs w:val="20"/>
        </w:rPr>
        <w:t>An analytical assessment of eight dimensions limiting cross-study performance comparison, directly addressing the second component of RQ2.</w:t>
      </w:r>
    </w:p>
    <w:p w14:paraId="67C5025C" w14:textId="77777777" w:rsidR="002D7C83" w:rsidRPr="00B02C30" w:rsidRDefault="00000000">
      <w:pPr>
        <w:spacing w:after="160" w:line="360" w:lineRule="auto"/>
        <w:ind w:left="72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 xml:space="preserve">(vi) Study distribution and architecture evolution figures (Figs. 2, 5): </w:t>
      </w:r>
      <w:r w:rsidRPr="00B02C30">
        <w:rPr>
          <w:rFonts w:ascii="Times New Roman" w:hAnsi="Times New Roman" w:cs="Times New Roman"/>
          <w:color w:val="000000" w:themeColor="text1"/>
          <w:sz w:val="20"/>
          <w:szCs w:val="20"/>
        </w:rPr>
        <w:t>Visual representations of field-level trends in publication activity and architectural transitions over the 2015–2026 period.</w:t>
      </w:r>
    </w:p>
    <w:p w14:paraId="0BF86954" w14:textId="77777777" w:rsidR="002D7C83" w:rsidRPr="00B02C30" w:rsidRDefault="00000000">
      <w:pPr>
        <w:spacing w:after="160" w:line="360" w:lineRule="auto"/>
        <w:ind w:left="72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 xml:space="preserve">(vii) Performance trajectory analysis (Figs. 3, 4): </w:t>
      </w:r>
      <w:r w:rsidRPr="00B02C30">
        <w:rPr>
          <w:rFonts w:ascii="Times New Roman" w:hAnsi="Times New Roman" w:cs="Times New Roman"/>
          <w:color w:val="000000" w:themeColor="text1"/>
          <w:sz w:val="20"/>
          <w:szCs w:val="20"/>
        </w:rPr>
        <w:t>Graphical synthesis of WER improvement over time for invasive systems and a heatmap of achievable performance ranges across modality and task type combinations.</w:t>
      </w:r>
    </w:p>
    <w:p w14:paraId="53ED7030" w14:textId="77777777" w:rsidR="002D7C83" w:rsidRPr="00B02C30" w:rsidRDefault="00000000">
      <w:pPr>
        <w:spacing w:after="160" w:line="360" w:lineRule="auto"/>
        <w:rPr>
          <w:rFonts w:ascii="Times New Roman" w:hAnsi="Times New Roman" w:cs="Times New Roman"/>
          <w:color w:val="000000" w:themeColor="text1"/>
          <w:sz w:val="20"/>
          <w:szCs w:val="20"/>
        </w:rPr>
      </w:pPr>
      <w:r w:rsidRPr="00B02C30">
        <w:rPr>
          <w:rFonts w:ascii="Times New Roman" w:hAnsi="Times New Roman" w:cs="Times New Roman"/>
          <w:color w:val="000000" w:themeColor="text1"/>
          <w:sz w:val="20"/>
          <w:szCs w:val="20"/>
        </w:rPr>
        <w:t xml:space="preserve">Certainty of evidence was appraised informally using an approach adapted from the GRADE framework </w:t>
      </w:r>
      <w:r w:rsidRPr="00B02C30">
        <w:rPr>
          <w:rFonts w:ascii="Times New Roman" w:hAnsi="Times New Roman" w:cs="Times New Roman"/>
          <w:color w:val="000000" w:themeColor="text1"/>
          <w:sz w:val="20"/>
          <w:szCs w:val="20"/>
          <w:vertAlign w:val="superscript"/>
        </w:rPr>
        <w:t>[17]</w:t>
      </w:r>
      <w:r w:rsidRPr="00B02C30">
        <w:rPr>
          <w:rFonts w:ascii="Times New Roman" w:hAnsi="Times New Roman" w:cs="Times New Roman"/>
          <w:color w:val="000000" w:themeColor="text1"/>
          <w:sz w:val="20"/>
          <w:szCs w:val="20"/>
        </w:rPr>
        <w:t>, which in this context evaluates the body of evidence for each modality-task combination on dimensions of risk of bias, inconsistency, indirectness, and imprecision. Formal GRADE ratings are not reported, as the heterogeneity of outcome measures and study designs prevents the standardized comparisons GRADE requires; however, the dimensions of evidence uncertainty are addressed qualitatively in the Discussion (Section 7.3).</w:t>
      </w:r>
    </w:p>
    <w:p w14:paraId="56F5D5E0" w14:textId="77777777" w:rsidR="002D7C83" w:rsidRPr="00B02C30" w:rsidRDefault="002D7C83">
      <w:pPr>
        <w:pBdr>
          <w:bottom w:val="single" w:sz="4" w:space="1" w:color="BDD7EE"/>
        </w:pBdr>
        <w:spacing w:after="160"/>
        <w:rPr>
          <w:rFonts w:ascii="Times New Roman" w:hAnsi="Times New Roman" w:cs="Times New Roman"/>
          <w:color w:val="000000" w:themeColor="text1"/>
          <w:sz w:val="20"/>
          <w:szCs w:val="20"/>
        </w:rPr>
      </w:pPr>
    </w:p>
    <w:p w14:paraId="301AD68E" w14:textId="77777777" w:rsidR="002D7C83" w:rsidRPr="00B02C30" w:rsidRDefault="00000000">
      <w:pPr>
        <w:spacing w:before="300" w:after="16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References</w:t>
      </w:r>
    </w:p>
    <w:p w14:paraId="10A5D9CF" w14:textId="77777777" w:rsidR="002D7C83" w:rsidRPr="00B02C30" w:rsidRDefault="00000000">
      <w:pPr>
        <w:spacing w:before="120" w:line="320" w:lineRule="auto"/>
        <w:rPr>
          <w:rFonts w:ascii="Times New Roman" w:hAnsi="Times New Roman" w:cs="Times New Roman"/>
          <w:color w:val="000000" w:themeColor="text1"/>
          <w:sz w:val="20"/>
          <w:szCs w:val="20"/>
        </w:rPr>
      </w:pPr>
      <w:r w:rsidRPr="00B02C30">
        <w:rPr>
          <w:rFonts w:ascii="Times New Roman" w:hAnsi="Times New Roman" w:cs="Times New Roman"/>
          <w:color w:val="000000" w:themeColor="text1"/>
          <w:sz w:val="20"/>
          <w:szCs w:val="20"/>
        </w:rPr>
        <w:t>Section 2 references — these will be renumbered sequentially in the final manuscript pass.</w:t>
      </w:r>
    </w:p>
    <w:p w14:paraId="45A193F8" w14:textId="77777777" w:rsidR="002D7C83" w:rsidRPr="00B02C30" w:rsidRDefault="002D7C83">
      <w:pPr>
        <w:spacing w:after="60"/>
        <w:rPr>
          <w:rFonts w:ascii="Times New Roman" w:hAnsi="Times New Roman" w:cs="Times New Roman"/>
          <w:color w:val="000000" w:themeColor="text1"/>
          <w:sz w:val="20"/>
          <w:szCs w:val="20"/>
        </w:rPr>
      </w:pPr>
    </w:p>
    <w:p w14:paraId="62B66CA8" w14:textId="77777777" w:rsidR="002D7C83" w:rsidRPr="00B02C30" w:rsidRDefault="00000000">
      <w:pPr>
        <w:spacing w:after="100" w:line="320" w:lineRule="auto"/>
        <w:ind w:left="480" w:hanging="48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[1]</w:t>
      </w:r>
      <w:r w:rsidRPr="00B02C30">
        <w:rPr>
          <w:rFonts w:ascii="Times New Roman" w:hAnsi="Times New Roman" w:cs="Times New Roman"/>
          <w:color w:val="000000" w:themeColor="text1"/>
          <w:sz w:val="20"/>
          <w:szCs w:val="20"/>
        </w:rPr>
        <w:tab/>
        <w:t xml:space="preserve">M. J. Page, J. E. McKenzie, P. M. Bossuyt, I. </w:t>
      </w:r>
      <w:proofErr w:type="spellStart"/>
      <w:r w:rsidRPr="00B02C30">
        <w:rPr>
          <w:rFonts w:ascii="Times New Roman" w:hAnsi="Times New Roman" w:cs="Times New Roman"/>
          <w:color w:val="000000" w:themeColor="text1"/>
          <w:sz w:val="20"/>
          <w:szCs w:val="20"/>
        </w:rPr>
        <w:t>Boutron</w:t>
      </w:r>
      <w:proofErr w:type="spellEnd"/>
      <w:r w:rsidRPr="00B02C30">
        <w:rPr>
          <w:rFonts w:ascii="Times New Roman" w:hAnsi="Times New Roman" w:cs="Times New Roman"/>
          <w:color w:val="000000" w:themeColor="text1"/>
          <w:sz w:val="20"/>
          <w:szCs w:val="20"/>
        </w:rPr>
        <w:t xml:space="preserve">, T. C. Hoffmann, C. D. Mulrow, L. </w:t>
      </w:r>
      <w:proofErr w:type="spellStart"/>
      <w:r w:rsidRPr="00B02C30">
        <w:rPr>
          <w:rFonts w:ascii="Times New Roman" w:hAnsi="Times New Roman" w:cs="Times New Roman"/>
          <w:color w:val="000000" w:themeColor="text1"/>
          <w:sz w:val="20"/>
          <w:szCs w:val="20"/>
        </w:rPr>
        <w:t>Shamseer</w:t>
      </w:r>
      <w:proofErr w:type="spellEnd"/>
      <w:r w:rsidRPr="00B02C30">
        <w:rPr>
          <w:rFonts w:ascii="Times New Roman" w:hAnsi="Times New Roman" w:cs="Times New Roman"/>
          <w:color w:val="000000" w:themeColor="text1"/>
          <w:sz w:val="20"/>
          <w:szCs w:val="20"/>
        </w:rPr>
        <w:t xml:space="preserve">, J. M. Tetzlaff, E. A. Akl, S. E. Brennan, R. Chou, J. Glanville, J. M. Grimshaw, A. Hróbjartsson, M. M. Lalu, T. Li, E. W. Loder, E. Mayo-Wilson, S. McDonald, L. A. McGuinness, L. A. Stewart, J. Thomas, A. C. </w:t>
      </w:r>
      <w:proofErr w:type="spellStart"/>
      <w:r w:rsidRPr="00B02C30">
        <w:rPr>
          <w:rFonts w:ascii="Times New Roman" w:hAnsi="Times New Roman" w:cs="Times New Roman"/>
          <w:color w:val="000000" w:themeColor="text1"/>
          <w:sz w:val="20"/>
          <w:szCs w:val="20"/>
        </w:rPr>
        <w:t>Tricco</w:t>
      </w:r>
      <w:proofErr w:type="spellEnd"/>
      <w:r w:rsidRPr="00B02C30">
        <w:rPr>
          <w:rFonts w:ascii="Times New Roman" w:hAnsi="Times New Roman" w:cs="Times New Roman"/>
          <w:color w:val="000000" w:themeColor="text1"/>
          <w:sz w:val="20"/>
          <w:szCs w:val="20"/>
        </w:rPr>
        <w:t xml:space="preserve">, V. A. Welch, P. Whiting, and D. Moher, "The PRISMA 2020 statement: An updated guideline for reporting systematic reviews," BMJ, vol. 372, Art. no. n71, Mar. 2021, </w:t>
      </w:r>
      <w:proofErr w:type="spellStart"/>
      <w:r w:rsidRPr="00B02C30">
        <w:rPr>
          <w:rFonts w:ascii="Times New Roman" w:hAnsi="Times New Roman" w:cs="Times New Roman"/>
          <w:color w:val="000000" w:themeColor="text1"/>
          <w:sz w:val="20"/>
          <w:szCs w:val="20"/>
        </w:rPr>
        <w:t>doi</w:t>
      </w:r>
      <w:proofErr w:type="spellEnd"/>
      <w:r w:rsidRPr="00B02C30">
        <w:rPr>
          <w:rFonts w:ascii="Times New Roman" w:hAnsi="Times New Roman" w:cs="Times New Roman"/>
          <w:color w:val="000000" w:themeColor="text1"/>
          <w:sz w:val="20"/>
          <w:szCs w:val="20"/>
        </w:rPr>
        <w:t>: 10.1136/bmj.n71.</w:t>
      </w:r>
    </w:p>
    <w:p w14:paraId="0B734186" w14:textId="77777777" w:rsidR="002D7C83" w:rsidRPr="00B02C30" w:rsidRDefault="00000000">
      <w:pPr>
        <w:spacing w:after="100" w:line="320" w:lineRule="auto"/>
        <w:ind w:left="480" w:hanging="48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[2]</w:t>
      </w:r>
      <w:r w:rsidRPr="00B02C30">
        <w:rPr>
          <w:rFonts w:ascii="Times New Roman" w:hAnsi="Times New Roman" w:cs="Times New Roman"/>
          <w:color w:val="000000" w:themeColor="text1"/>
          <w:sz w:val="20"/>
          <w:szCs w:val="20"/>
        </w:rPr>
        <w:tab/>
        <w:t xml:space="preserve">L. </w:t>
      </w:r>
      <w:proofErr w:type="spellStart"/>
      <w:r w:rsidRPr="00B02C30">
        <w:rPr>
          <w:rFonts w:ascii="Times New Roman" w:hAnsi="Times New Roman" w:cs="Times New Roman"/>
          <w:color w:val="000000" w:themeColor="text1"/>
          <w:sz w:val="20"/>
          <w:szCs w:val="20"/>
        </w:rPr>
        <w:t>Shamseer</w:t>
      </w:r>
      <w:proofErr w:type="spellEnd"/>
      <w:r w:rsidRPr="00B02C30">
        <w:rPr>
          <w:rFonts w:ascii="Times New Roman" w:hAnsi="Times New Roman" w:cs="Times New Roman"/>
          <w:color w:val="000000" w:themeColor="text1"/>
          <w:sz w:val="20"/>
          <w:szCs w:val="20"/>
        </w:rPr>
        <w:t xml:space="preserve">, D. Moher, M. Clarke, D. Ghersi, A. Liberati, M. Petticrew, P. </w:t>
      </w:r>
      <w:proofErr w:type="spellStart"/>
      <w:r w:rsidRPr="00B02C30">
        <w:rPr>
          <w:rFonts w:ascii="Times New Roman" w:hAnsi="Times New Roman" w:cs="Times New Roman"/>
          <w:color w:val="000000" w:themeColor="text1"/>
          <w:sz w:val="20"/>
          <w:szCs w:val="20"/>
        </w:rPr>
        <w:t>Shekelle</w:t>
      </w:r>
      <w:proofErr w:type="spellEnd"/>
      <w:r w:rsidRPr="00B02C30">
        <w:rPr>
          <w:rFonts w:ascii="Times New Roman" w:hAnsi="Times New Roman" w:cs="Times New Roman"/>
          <w:color w:val="000000" w:themeColor="text1"/>
          <w:sz w:val="20"/>
          <w:szCs w:val="20"/>
        </w:rPr>
        <w:t xml:space="preserve">, and L. A. Stewart, "Preferred reporting items for systematic review and meta-analysis protocols (PRISMA-P) 2015: Elaboration and explanation," BMJ, vol. 349, Art. no. g7647, Jan. 2015, </w:t>
      </w:r>
      <w:proofErr w:type="spellStart"/>
      <w:r w:rsidRPr="00B02C30">
        <w:rPr>
          <w:rFonts w:ascii="Times New Roman" w:hAnsi="Times New Roman" w:cs="Times New Roman"/>
          <w:color w:val="000000" w:themeColor="text1"/>
          <w:sz w:val="20"/>
          <w:szCs w:val="20"/>
        </w:rPr>
        <w:t>doi</w:t>
      </w:r>
      <w:proofErr w:type="spellEnd"/>
      <w:r w:rsidRPr="00B02C30">
        <w:rPr>
          <w:rFonts w:ascii="Times New Roman" w:hAnsi="Times New Roman" w:cs="Times New Roman"/>
          <w:color w:val="000000" w:themeColor="text1"/>
          <w:sz w:val="20"/>
          <w:szCs w:val="20"/>
        </w:rPr>
        <w:t>: 10.1136/</w:t>
      </w:r>
      <w:proofErr w:type="gramStart"/>
      <w:r w:rsidRPr="00B02C30">
        <w:rPr>
          <w:rFonts w:ascii="Times New Roman" w:hAnsi="Times New Roman" w:cs="Times New Roman"/>
          <w:color w:val="000000" w:themeColor="text1"/>
          <w:sz w:val="20"/>
          <w:szCs w:val="20"/>
        </w:rPr>
        <w:t>bmj.g</w:t>
      </w:r>
      <w:proofErr w:type="gramEnd"/>
      <w:r w:rsidRPr="00B02C30">
        <w:rPr>
          <w:rFonts w:ascii="Times New Roman" w:hAnsi="Times New Roman" w:cs="Times New Roman"/>
          <w:color w:val="000000" w:themeColor="text1"/>
          <w:sz w:val="20"/>
          <w:szCs w:val="20"/>
        </w:rPr>
        <w:t>7647.</w:t>
      </w:r>
    </w:p>
    <w:p w14:paraId="5FA57903" w14:textId="77777777" w:rsidR="002D7C83" w:rsidRPr="00B02C30" w:rsidRDefault="00000000">
      <w:pPr>
        <w:spacing w:after="100" w:line="320" w:lineRule="auto"/>
        <w:ind w:left="480" w:hanging="48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[3]</w:t>
      </w:r>
      <w:r w:rsidRPr="00B02C30">
        <w:rPr>
          <w:rFonts w:ascii="Times New Roman" w:hAnsi="Times New Roman" w:cs="Times New Roman"/>
          <w:color w:val="000000" w:themeColor="text1"/>
          <w:sz w:val="20"/>
          <w:szCs w:val="20"/>
        </w:rPr>
        <w:tab/>
        <w:t>National Institute for Health Research, "PROSPERO: International Prospective Register of Systematic Reviews," University of York, York, UK. [Online]. Available: https://www.crd.york.ac.uk/prospero/</w:t>
      </w:r>
    </w:p>
    <w:p w14:paraId="6A203EEE" w14:textId="77777777" w:rsidR="002D7C83" w:rsidRPr="00B02C30" w:rsidRDefault="00000000">
      <w:pPr>
        <w:spacing w:after="100" w:line="320" w:lineRule="auto"/>
        <w:ind w:left="480" w:hanging="48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[4]</w:t>
      </w:r>
      <w:r w:rsidRPr="00B02C30">
        <w:rPr>
          <w:rFonts w:ascii="Times New Roman" w:hAnsi="Times New Roman" w:cs="Times New Roman"/>
          <w:color w:val="000000" w:themeColor="text1"/>
          <w:sz w:val="20"/>
          <w:szCs w:val="20"/>
        </w:rPr>
        <w:tab/>
        <w:t xml:space="preserve">J. T. Panachakel and A. G. Ramakrishnan, "Decoding covert speech from EEG — A comprehensive review," Front. </w:t>
      </w:r>
      <w:proofErr w:type="spellStart"/>
      <w:r w:rsidRPr="00B02C30">
        <w:rPr>
          <w:rFonts w:ascii="Times New Roman" w:hAnsi="Times New Roman" w:cs="Times New Roman"/>
          <w:color w:val="000000" w:themeColor="text1"/>
          <w:sz w:val="20"/>
          <w:szCs w:val="20"/>
        </w:rPr>
        <w:t>Neurosci</w:t>
      </w:r>
      <w:proofErr w:type="spellEnd"/>
      <w:r w:rsidRPr="00B02C30">
        <w:rPr>
          <w:rFonts w:ascii="Times New Roman" w:hAnsi="Times New Roman" w:cs="Times New Roman"/>
          <w:color w:val="000000" w:themeColor="text1"/>
          <w:sz w:val="20"/>
          <w:szCs w:val="20"/>
        </w:rPr>
        <w:t xml:space="preserve">., vol. 15, Art. no. 642251, Apr. 2021, </w:t>
      </w:r>
      <w:proofErr w:type="spellStart"/>
      <w:r w:rsidRPr="00B02C30">
        <w:rPr>
          <w:rFonts w:ascii="Times New Roman" w:hAnsi="Times New Roman" w:cs="Times New Roman"/>
          <w:color w:val="000000" w:themeColor="text1"/>
          <w:sz w:val="20"/>
          <w:szCs w:val="20"/>
        </w:rPr>
        <w:t>doi</w:t>
      </w:r>
      <w:proofErr w:type="spellEnd"/>
      <w:r w:rsidRPr="00B02C30">
        <w:rPr>
          <w:rFonts w:ascii="Times New Roman" w:hAnsi="Times New Roman" w:cs="Times New Roman"/>
          <w:color w:val="000000" w:themeColor="text1"/>
          <w:sz w:val="20"/>
          <w:szCs w:val="20"/>
        </w:rPr>
        <w:t>: 10.3389/fnins.2021.642251.</w:t>
      </w:r>
    </w:p>
    <w:p w14:paraId="721B1E4E" w14:textId="77777777" w:rsidR="002D7C83" w:rsidRPr="00B02C30" w:rsidRDefault="00000000">
      <w:pPr>
        <w:spacing w:after="100" w:line="320" w:lineRule="auto"/>
        <w:ind w:left="480" w:hanging="48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[5]</w:t>
      </w:r>
      <w:r w:rsidRPr="00B02C30">
        <w:rPr>
          <w:rFonts w:ascii="Times New Roman" w:hAnsi="Times New Roman" w:cs="Times New Roman"/>
          <w:color w:val="000000" w:themeColor="text1"/>
          <w:sz w:val="20"/>
          <w:szCs w:val="20"/>
        </w:rPr>
        <w:tab/>
        <w:t xml:space="preserve">D. Lopez-Bernal, D. Balderas, P. Ponce, and A. Molina, "A state-of-the-art review of EEG-based imagined speech decoding," Front. Hum. </w:t>
      </w:r>
      <w:proofErr w:type="spellStart"/>
      <w:r w:rsidRPr="00B02C30">
        <w:rPr>
          <w:rFonts w:ascii="Times New Roman" w:hAnsi="Times New Roman" w:cs="Times New Roman"/>
          <w:color w:val="000000" w:themeColor="text1"/>
          <w:sz w:val="20"/>
          <w:szCs w:val="20"/>
        </w:rPr>
        <w:t>Neurosci</w:t>
      </w:r>
      <w:proofErr w:type="spellEnd"/>
      <w:r w:rsidRPr="00B02C30">
        <w:rPr>
          <w:rFonts w:ascii="Times New Roman" w:hAnsi="Times New Roman" w:cs="Times New Roman"/>
          <w:color w:val="000000" w:themeColor="text1"/>
          <w:sz w:val="20"/>
          <w:szCs w:val="20"/>
        </w:rPr>
        <w:t xml:space="preserve">., vol. 16, Art. no. 867281, May 2022, </w:t>
      </w:r>
      <w:proofErr w:type="spellStart"/>
      <w:r w:rsidRPr="00B02C30">
        <w:rPr>
          <w:rFonts w:ascii="Times New Roman" w:hAnsi="Times New Roman" w:cs="Times New Roman"/>
          <w:color w:val="000000" w:themeColor="text1"/>
          <w:sz w:val="20"/>
          <w:szCs w:val="20"/>
        </w:rPr>
        <w:t>doi</w:t>
      </w:r>
      <w:proofErr w:type="spellEnd"/>
      <w:r w:rsidRPr="00B02C30">
        <w:rPr>
          <w:rFonts w:ascii="Times New Roman" w:hAnsi="Times New Roman" w:cs="Times New Roman"/>
          <w:color w:val="000000" w:themeColor="text1"/>
          <w:sz w:val="20"/>
          <w:szCs w:val="20"/>
        </w:rPr>
        <w:t>: 10.3389/fnhum.2022.867281.</w:t>
      </w:r>
    </w:p>
    <w:p w14:paraId="15667B1E" w14:textId="77777777" w:rsidR="002D7C83" w:rsidRPr="00B02C30" w:rsidRDefault="00000000">
      <w:pPr>
        <w:spacing w:after="100" w:line="320" w:lineRule="auto"/>
        <w:ind w:left="480" w:hanging="48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[6]</w:t>
      </w:r>
      <w:r w:rsidRPr="00B02C30">
        <w:rPr>
          <w:rFonts w:ascii="Times New Roman" w:hAnsi="Times New Roman" w:cs="Times New Roman"/>
          <w:color w:val="000000" w:themeColor="text1"/>
          <w:sz w:val="20"/>
          <w:szCs w:val="20"/>
        </w:rPr>
        <w:tab/>
        <w:t xml:space="preserve">Q. Rabbani, G. Milsap, and N. E. Crone, "The potential for a speech brain-computer interface using chronic electrocorticography," Neurotherapeutics, vol. 16, pp. 144–165, Jan. 2019, </w:t>
      </w:r>
      <w:proofErr w:type="spellStart"/>
      <w:r w:rsidRPr="00B02C30">
        <w:rPr>
          <w:rFonts w:ascii="Times New Roman" w:hAnsi="Times New Roman" w:cs="Times New Roman"/>
          <w:color w:val="000000" w:themeColor="text1"/>
          <w:sz w:val="20"/>
          <w:szCs w:val="20"/>
        </w:rPr>
        <w:t>doi</w:t>
      </w:r>
      <w:proofErr w:type="spellEnd"/>
      <w:r w:rsidRPr="00B02C30">
        <w:rPr>
          <w:rFonts w:ascii="Times New Roman" w:hAnsi="Times New Roman" w:cs="Times New Roman"/>
          <w:color w:val="000000" w:themeColor="text1"/>
          <w:sz w:val="20"/>
          <w:szCs w:val="20"/>
        </w:rPr>
        <w:t>: 10.1007/s13311-018-00692-2.</w:t>
      </w:r>
    </w:p>
    <w:p w14:paraId="178DED37" w14:textId="77777777" w:rsidR="002D7C83" w:rsidRPr="00B02C30" w:rsidRDefault="00000000">
      <w:pPr>
        <w:spacing w:after="100" w:line="320" w:lineRule="auto"/>
        <w:ind w:left="480" w:hanging="48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[7]</w:t>
      </w:r>
      <w:r w:rsidRPr="00B02C30">
        <w:rPr>
          <w:rFonts w:ascii="Times New Roman" w:hAnsi="Times New Roman" w:cs="Times New Roman"/>
          <w:color w:val="000000" w:themeColor="text1"/>
          <w:sz w:val="20"/>
          <w:szCs w:val="20"/>
        </w:rPr>
        <w:tab/>
        <w:t>W. S. Richardson, M. C. Wilson, J. Nishikawa, and R. S. Hayward, "The well-built clinical question: A key to evidence-based decisions," ACP J. Club, vol. 123, no. 3, pp. A12–A13, Nov.–Dec. 1995.</w:t>
      </w:r>
    </w:p>
    <w:p w14:paraId="3AD21D1D" w14:textId="77777777" w:rsidR="002D7C83" w:rsidRPr="00B02C30" w:rsidRDefault="00000000">
      <w:pPr>
        <w:spacing w:after="100" w:line="320" w:lineRule="auto"/>
        <w:ind w:left="480" w:hanging="48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[8]</w:t>
      </w:r>
      <w:r w:rsidRPr="00B02C30">
        <w:rPr>
          <w:rFonts w:ascii="Times New Roman" w:hAnsi="Times New Roman" w:cs="Times New Roman"/>
          <w:color w:val="000000" w:themeColor="text1"/>
          <w:sz w:val="20"/>
          <w:szCs w:val="20"/>
        </w:rPr>
        <w:tab/>
        <w:t xml:space="preserve">C. Herff, D. Heger, A. de Pesters, D. Telaar, P. Brunner, G. Schalk, and T. Schultz, "Brain-to-text: Decoding spoken phrases from phonetic representations in the brain," Front. </w:t>
      </w:r>
      <w:proofErr w:type="spellStart"/>
      <w:r w:rsidRPr="00B02C30">
        <w:rPr>
          <w:rFonts w:ascii="Times New Roman" w:hAnsi="Times New Roman" w:cs="Times New Roman"/>
          <w:color w:val="000000" w:themeColor="text1"/>
          <w:sz w:val="20"/>
          <w:szCs w:val="20"/>
        </w:rPr>
        <w:t>Neurosci</w:t>
      </w:r>
      <w:proofErr w:type="spellEnd"/>
      <w:r w:rsidRPr="00B02C30">
        <w:rPr>
          <w:rFonts w:ascii="Times New Roman" w:hAnsi="Times New Roman" w:cs="Times New Roman"/>
          <w:color w:val="000000" w:themeColor="text1"/>
          <w:sz w:val="20"/>
          <w:szCs w:val="20"/>
        </w:rPr>
        <w:t xml:space="preserve">., vol. 9, Art. no. 217, Jun. 2015, </w:t>
      </w:r>
      <w:proofErr w:type="spellStart"/>
      <w:r w:rsidRPr="00B02C30">
        <w:rPr>
          <w:rFonts w:ascii="Times New Roman" w:hAnsi="Times New Roman" w:cs="Times New Roman"/>
          <w:color w:val="000000" w:themeColor="text1"/>
          <w:sz w:val="20"/>
          <w:szCs w:val="20"/>
        </w:rPr>
        <w:t>doi</w:t>
      </w:r>
      <w:proofErr w:type="spellEnd"/>
      <w:r w:rsidRPr="00B02C30">
        <w:rPr>
          <w:rFonts w:ascii="Times New Roman" w:hAnsi="Times New Roman" w:cs="Times New Roman"/>
          <w:color w:val="000000" w:themeColor="text1"/>
          <w:sz w:val="20"/>
          <w:szCs w:val="20"/>
        </w:rPr>
        <w:t>: 10.3389/fnins.2015.00217.</w:t>
      </w:r>
    </w:p>
    <w:p w14:paraId="29B3BBFA" w14:textId="77777777" w:rsidR="002D7C83" w:rsidRPr="00B02C30" w:rsidRDefault="00000000">
      <w:pPr>
        <w:spacing w:after="100" w:line="320" w:lineRule="auto"/>
        <w:ind w:left="480" w:hanging="48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[9]</w:t>
      </w:r>
      <w:r w:rsidRPr="00B02C30">
        <w:rPr>
          <w:rFonts w:ascii="Times New Roman" w:hAnsi="Times New Roman" w:cs="Times New Roman"/>
          <w:color w:val="000000" w:themeColor="text1"/>
          <w:sz w:val="20"/>
          <w:szCs w:val="20"/>
        </w:rPr>
        <w:tab/>
        <w:t xml:space="preserve">D. A. Moses, M. K. Leonard, J. G. Makin, and E. F. Chang, "Real-time decoding of question-and-answer speech dialogue using human cortical activity," Nature Commun., vol. 10, Art. no. 3096, Jul. 2019, </w:t>
      </w:r>
      <w:proofErr w:type="spellStart"/>
      <w:r w:rsidRPr="00B02C30">
        <w:rPr>
          <w:rFonts w:ascii="Times New Roman" w:hAnsi="Times New Roman" w:cs="Times New Roman"/>
          <w:color w:val="000000" w:themeColor="text1"/>
          <w:sz w:val="20"/>
          <w:szCs w:val="20"/>
        </w:rPr>
        <w:t>doi</w:t>
      </w:r>
      <w:proofErr w:type="spellEnd"/>
      <w:r w:rsidRPr="00B02C30">
        <w:rPr>
          <w:rFonts w:ascii="Times New Roman" w:hAnsi="Times New Roman" w:cs="Times New Roman"/>
          <w:color w:val="000000" w:themeColor="text1"/>
          <w:sz w:val="20"/>
          <w:szCs w:val="20"/>
        </w:rPr>
        <w:t>: 10.1038/s41467-019-10994-4.</w:t>
      </w:r>
    </w:p>
    <w:p w14:paraId="6F3F2282" w14:textId="77777777" w:rsidR="002D7C83" w:rsidRPr="00B02C30" w:rsidRDefault="00000000">
      <w:pPr>
        <w:spacing w:after="100" w:line="320" w:lineRule="auto"/>
        <w:ind w:left="480" w:hanging="48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[10]</w:t>
      </w:r>
      <w:r w:rsidRPr="00B02C30">
        <w:rPr>
          <w:rFonts w:ascii="Times New Roman" w:hAnsi="Times New Roman" w:cs="Times New Roman"/>
          <w:color w:val="000000" w:themeColor="text1"/>
          <w:sz w:val="20"/>
          <w:szCs w:val="20"/>
        </w:rPr>
        <w:tab/>
        <w:t xml:space="preserve">F. R. Willett, E. M. Kunz, C. Fan, D. T. Avansino, G. H. Wilson, E. Y. Choi, F. Kamdar, M. F. Glasser, L. R. Hochberg, S. Druckmann, K. V. Shenoy, and J. M. Henderson, "A high-performance speech neuroprosthesis," Nature, vol. 620, pp. 1031–1036, Aug. 2023, </w:t>
      </w:r>
      <w:proofErr w:type="spellStart"/>
      <w:r w:rsidRPr="00B02C30">
        <w:rPr>
          <w:rFonts w:ascii="Times New Roman" w:hAnsi="Times New Roman" w:cs="Times New Roman"/>
          <w:color w:val="000000" w:themeColor="text1"/>
          <w:sz w:val="20"/>
          <w:szCs w:val="20"/>
        </w:rPr>
        <w:t>doi</w:t>
      </w:r>
      <w:proofErr w:type="spellEnd"/>
      <w:r w:rsidRPr="00B02C30">
        <w:rPr>
          <w:rFonts w:ascii="Times New Roman" w:hAnsi="Times New Roman" w:cs="Times New Roman"/>
          <w:color w:val="000000" w:themeColor="text1"/>
          <w:sz w:val="20"/>
          <w:szCs w:val="20"/>
        </w:rPr>
        <w:t>: 10.1038/s41586-023-06377-x.</w:t>
      </w:r>
    </w:p>
    <w:p w14:paraId="641BDA5F" w14:textId="77777777" w:rsidR="002D7C83" w:rsidRPr="00B02C30" w:rsidRDefault="00000000">
      <w:pPr>
        <w:spacing w:after="100" w:line="320" w:lineRule="auto"/>
        <w:ind w:left="480" w:hanging="48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[11]</w:t>
      </w:r>
      <w:r w:rsidRPr="00B02C30">
        <w:rPr>
          <w:rFonts w:ascii="Times New Roman" w:hAnsi="Times New Roman" w:cs="Times New Roman"/>
          <w:color w:val="000000" w:themeColor="text1"/>
          <w:sz w:val="20"/>
          <w:szCs w:val="20"/>
        </w:rPr>
        <w:tab/>
        <w:t xml:space="preserve">J. Cohen, "A coefficient of agreement for nominal scales," Educ. Psychol. Meas., vol. 20, no. 1, pp. 37–46, Apr. 1960, </w:t>
      </w:r>
      <w:proofErr w:type="spellStart"/>
      <w:r w:rsidRPr="00B02C30">
        <w:rPr>
          <w:rFonts w:ascii="Times New Roman" w:hAnsi="Times New Roman" w:cs="Times New Roman"/>
          <w:color w:val="000000" w:themeColor="text1"/>
          <w:sz w:val="20"/>
          <w:szCs w:val="20"/>
        </w:rPr>
        <w:t>doi</w:t>
      </w:r>
      <w:proofErr w:type="spellEnd"/>
      <w:r w:rsidRPr="00B02C30">
        <w:rPr>
          <w:rFonts w:ascii="Times New Roman" w:hAnsi="Times New Roman" w:cs="Times New Roman"/>
          <w:color w:val="000000" w:themeColor="text1"/>
          <w:sz w:val="20"/>
          <w:szCs w:val="20"/>
        </w:rPr>
        <w:t>: 10.1177/001316446002000104.</w:t>
      </w:r>
    </w:p>
    <w:p w14:paraId="1B95662D" w14:textId="77777777" w:rsidR="002D7C83" w:rsidRPr="00B02C30" w:rsidRDefault="00000000">
      <w:pPr>
        <w:spacing w:after="100" w:line="320" w:lineRule="auto"/>
        <w:ind w:left="480" w:hanging="48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[12]</w:t>
      </w:r>
      <w:r w:rsidRPr="00B02C30">
        <w:rPr>
          <w:rFonts w:ascii="Times New Roman" w:hAnsi="Times New Roman" w:cs="Times New Roman"/>
          <w:color w:val="000000" w:themeColor="text1"/>
          <w:sz w:val="20"/>
          <w:szCs w:val="20"/>
        </w:rPr>
        <w:tab/>
        <w:t xml:space="preserve">J. P. T. Higgins, J. A. C. Sterne, J. Savović, M. J. Page, A. Hróbjartsson, I. </w:t>
      </w:r>
      <w:proofErr w:type="spellStart"/>
      <w:r w:rsidRPr="00B02C30">
        <w:rPr>
          <w:rFonts w:ascii="Times New Roman" w:hAnsi="Times New Roman" w:cs="Times New Roman"/>
          <w:color w:val="000000" w:themeColor="text1"/>
          <w:sz w:val="20"/>
          <w:szCs w:val="20"/>
        </w:rPr>
        <w:t>Boutron</w:t>
      </w:r>
      <w:proofErr w:type="spellEnd"/>
      <w:r w:rsidRPr="00B02C30">
        <w:rPr>
          <w:rFonts w:ascii="Times New Roman" w:hAnsi="Times New Roman" w:cs="Times New Roman"/>
          <w:color w:val="000000" w:themeColor="text1"/>
          <w:sz w:val="20"/>
          <w:szCs w:val="20"/>
        </w:rPr>
        <w:t>, P. Reeves, and R. Eldridge, "A revised tool to assess risk of bias in randomized trials," Cochrane Database Syst. Rev., Suppl. 1, pp. 29–31, 2016.</w:t>
      </w:r>
    </w:p>
    <w:p w14:paraId="4D7D82E5" w14:textId="77777777" w:rsidR="002D7C83" w:rsidRPr="00B02C30" w:rsidRDefault="00000000">
      <w:pPr>
        <w:spacing w:after="100" w:line="320" w:lineRule="auto"/>
        <w:ind w:left="480" w:hanging="48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[13]</w:t>
      </w:r>
      <w:r w:rsidRPr="00B02C30">
        <w:rPr>
          <w:rFonts w:ascii="Times New Roman" w:hAnsi="Times New Roman" w:cs="Times New Roman"/>
          <w:color w:val="000000" w:themeColor="text1"/>
          <w:sz w:val="20"/>
          <w:szCs w:val="20"/>
        </w:rPr>
        <w:tab/>
        <w:t xml:space="preserve">G. S. Collins, J. B. Reitsma, D. G. Altman, and K. G. Moons, "Transparent reporting of a multivariable prediction model for individual prognosis or diagnosis (TRIPOD): The TRIPOD statement," Ann. Intern. Med., vol. 162, no. 1, pp. 55–63, Jan. 2015, </w:t>
      </w:r>
      <w:proofErr w:type="spellStart"/>
      <w:r w:rsidRPr="00B02C30">
        <w:rPr>
          <w:rFonts w:ascii="Times New Roman" w:hAnsi="Times New Roman" w:cs="Times New Roman"/>
          <w:color w:val="000000" w:themeColor="text1"/>
          <w:sz w:val="20"/>
          <w:szCs w:val="20"/>
        </w:rPr>
        <w:t>doi</w:t>
      </w:r>
      <w:proofErr w:type="spellEnd"/>
      <w:r w:rsidRPr="00B02C30">
        <w:rPr>
          <w:rFonts w:ascii="Times New Roman" w:hAnsi="Times New Roman" w:cs="Times New Roman"/>
          <w:color w:val="000000" w:themeColor="text1"/>
          <w:sz w:val="20"/>
          <w:szCs w:val="20"/>
        </w:rPr>
        <w:t>: 10.7326/M14-0697.</w:t>
      </w:r>
    </w:p>
    <w:p w14:paraId="63136E05" w14:textId="77777777" w:rsidR="002D7C83" w:rsidRPr="00B02C30" w:rsidRDefault="00000000">
      <w:pPr>
        <w:spacing w:after="100" w:line="320" w:lineRule="auto"/>
        <w:ind w:left="480" w:hanging="48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[14]</w:t>
      </w:r>
      <w:r w:rsidRPr="00B02C30">
        <w:rPr>
          <w:rFonts w:ascii="Times New Roman" w:hAnsi="Times New Roman" w:cs="Times New Roman"/>
          <w:color w:val="000000" w:themeColor="text1"/>
          <w:sz w:val="20"/>
          <w:szCs w:val="20"/>
        </w:rPr>
        <w:tab/>
        <w:t xml:space="preserve">A. C. </w:t>
      </w:r>
      <w:proofErr w:type="spellStart"/>
      <w:r w:rsidRPr="00B02C30">
        <w:rPr>
          <w:rFonts w:ascii="Times New Roman" w:hAnsi="Times New Roman" w:cs="Times New Roman"/>
          <w:color w:val="000000" w:themeColor="text1"/>
          <w:sz w:val="20"/>
          <w:szCs w:val="20"/>
        </w:rPr>
        <w:t>Tricco</w:t>
      </w:r>
      <w:proofErr w:type="spellEnd"/>
      <w:r w:rsidRPr="00B02C30">
        <w:rPr>
          <w:rFonts w:ascii="Times New Roman" w:hAnsi="Times New Roman" w:cs="Times New Roman"/>
          <w:color w:val="000000" w:themeColor="text1"/>
          <w:sz w:val="20"/>
          <w:szCs w:val="20"/>
        </w:rPr>
        <w:t xml:space="preserve">, E. Lillie, W. Zarin, K. K. O'Brien, H. Colquhoun, D. Levac, D. Moher, M. D. J. Peters, T. Horsley, L. Weeks, S. Hempel, E. A. Akl, C. Chang, J. McGowan, L. Stewart, L. Hartling, M. </w:t>
      </w:r>
      <w:proofErr w:type="spellStart"/>
      <w:r w:rsidRPr="00B02C30">
        <w:rPr>
          <w:rFonts w:ascii="Times New Roman" w:hAnsi="Times New Roman" w:cs="Times New Roman"/>
          <w:color w:val="000000" w:themeColor="text1"/>
          <w:sz w:val="20"/>
          <w:szCs w:val="20"/>
        </w:rPr>
        <w:t>Aldcroft</w:t>
      </w:r>
      <w:proofErr w:type="spellEnd"/>
      <w:r w:rsidRPr="00B02C30">
        <w:rPr>
          <w:rFonts w:ascii="Times New Roman" w:hAnsi="Times New Roman" w:cs="Times New Roman"/>
          <w:color w:val="000000" w:themeColor="text1"/>
          <w:sz w:val="20"/>
          <w:szCs w:val="20"/>
        </w:rPr>
        <w:t xml:space="preserve">, M. G. Wilson, C. </w:t>
      </w:r>
      <w:proofErr w:type="spellStart"/>
      <w:r w:rsidRPr="00B02C30">
        <w:rPr>
          <w:rFonts w:ascii="Times New Roman" w:hAnsi="Times New Roman" w:cs="Times New Roman"/>
          <w:color w:val="000000" w:themeColor="text1"/>
          <w:sz w:val="20"/>
          <w:szCs w:val="20"/>
        </w:rPr>
        <w:lastRenderedPageBreak/>
        <w:t>Garritty</w:t>
      </w:r>
      <w:proofErr w:type="spellEnd"/>
      <w:r w:rsidRPr="00B02C30">
        <w:rPr>
          <w:rFonts w:ascii="Times New Roman" w:hAnsi="Times New Roman" w:cs="Times New Roman"/>
          <w:color w:val="000000" w:themeColor="text1"/>
          <w:sz w:val="20"/>
          <w:szCs w:val="20"/>
        </w:rPr>
        <w:t>, S. Lewin, and S. E. Straus, "PRISMA extension for scoping reviews (PRISMA-</w:t>
      </w:r>
      <w:proofErr w:type="spellStart"/>
      <w:r w:rsidRPr="00B02C30">
        <w:rPr>
          <w:rFonts w:ascii="Times New Roman" w:hAnsi="Times New Roman" w:cs="Times New Roman"/>
          <w:color w:val="000000" w:themeColor="text1"/>
          <w:sz w:val="20"/>
          <w:szCs w:val="20"/>
        </w:rPr>
        <w:t>ScR</w:t>
      </w:r>
      <w:proofErr w:type="spellEnd"/>
      <w:r w:rsidRPr="00B02C30">
        <w:rPr>
          <w:rFonts w:ascii="Times New Roman" w:hAnsi="Times New Roman" w:cs="Times New Roman"/>
          <w:color w:val="000000" w:themeColor="text1"/>
          <w:sz w:val="20"/>
          <w:szCs w:val="20"/>
        </w:rPr>
        <w:t xml:space="preserve">): Checklist and explanation," Ann. Intern. Med., vol. 169, no. 7, pp. 467–473, Oct. 2018, </w:t>
      </w:r>
      <w:proofErr w:type="spellStart"/>
      <w:r w:rsidRPr="00B02C30">
        <w:rPr>
          <w:rFonts w:ascii="Times New Roman" w:hAnsi="Times New Roman" w:cs="Times New Roman"/>
          <w:color w:val="000000" w:themeColor="text1"/>
          <w:sz w:val="20"/>
          <w:szCs w:val="20"/>
        </w:rPr>
        <w:t>doi</w:t>
      </w:r>
      <w:proofErr w:type="spellEnd"/>
      <w:r w:rsidRPr="00B02C30">
        <w:rPr>
          <w:rFonts w:ascii="Times New Roman" w:hAnsi="Times New Roman" w:cs="Times New Roman"/>
          <w:color w:val="000000" w:themeColor="text1"/>
          <w:sz w:val="20"/>
          <w:szCs w:val="20"/>
        </w:rPr>
        <w:t>: 10.7326/M18-0850.</w:t>
      </w:r>
    </w:p>
    <w:p w14:paraId="7B70A60E" w14:textId="77777777" w:rsidR="002D7C83" w:rsidRPr="00B02C30" w:rsidRDefault="00000000">
      <w:pPr>
        <w:spacing w:after="100" w:line="320" w:lineRule="auto"/>
        <w:ind w:left="480" w:hanging="48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[15]</w:t>
      </w:r>
      <w:r w:rsidRPr="00B02C30">
        <w:rPr>
          <w:rFonts w:ascii="Times New Roman" w:hAnsi="Times New Roman" w:cs="Times New Roman"/>
          <w:color w:val="000000" w:themeColor="text1"/>
          <w:sz w:val="20"/>
          <w:szCs w:val="20"/>
        </w:rPr>
        <w:tab/>
        <w:t xml:space="preserve">J. A. Leeflang and P. M. Bossuyt, "Conducting systematic reviews of diagnostic test accuracy," Ann. Intern. Med., vol. 149, no. 12, pp. 889–897, Dec. 2008, </w:t>
      </w:r>
      <w:proofErr w:type="spellStart"/>
      <w:r w:rsidRPr="00B02C30">
        <w:rPr>
          <w:rFonts w:ascii="Times New Roman" w:hAnsi="Times New Roman" w:cs="Times New Roman"/>
          <w:color w:val="000000" w:themeColor="text1"/>
          <w:sz w:val="20"/>
          <w:szCs w:val="20"/>
        </w:rPr>
        <w:t>doi</w:t>
      </w:r>
      <w:proofErr w:type="spellEnd"/>
      <w:r w:rsidRPr="00B02C30">
        <w:rPr>
          <w:rFonts w:ascii="Times New Roman" w:hAnsi="Times New Roman" w:cs="Times New Roman"/>
          <w:color w:val="000000" w:themeColor="text1"/>
          <w:sz w:val="20"/>
          <w:szCs w:val="20"/>
        </w:rPr>
        <w:t>: 10.7326/0003-4819-149-12-200812160-00009.</w:t>
      </w:r>
    </w:p>
    <w:p w14:paraId="2B9F6B09" w14:textId="77777777" w:rsidR="002D7C83" w:rsidRPr="00B02C30" w:rsidRDefault="00000000">
      <w:pPr>
        <w:spacing w:after="100" w:line="320" w:lineRule="auto"/>
        <w:ind w:left="480" w:hanging="48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[16]</w:t>
      </w:r>
      <w:r w:rsidRPr="00B02C30">
        <w:rPr>
          <w:rFonts w:ascii="Times New Roman" w:hAnsi="Times New Roman" w:cs="Times New Roman"/>
          <w:color w:val="000000" w:themeColor="text1"/>
          <w:sz w:val="20"/>
          <w:szCs w:val="20"/>
        </w:rPr>
        <w:tab/>
        <w:t xml:space="preserve">A. Popay, A. Roberts, A. Sowden, M. Petticrew, L. Arai, M. Rodgers, N. Britten, K. Roen, and S. Duffy, "Guidance on the Conduct of Narrative Synthesis in Systematic Reviews," ESRC Methods </w:t>
      </w:r>
      <w:proofErr w:type="spellStart"/>
      <w:r w:rsidRPr="00B02C30">
        <w:rPr>
          <w:rFonts w:ascii="Times New Roman" w:hAnsi="Times New Roman" w:cs="Times New Roman"/>
          <w:color w:val="000000" w:themeColor="text1"/>
          <w:sz w:val="20"/>
          <w:szCs w:val="20"/>
        </w:rPr>
        <w:t>Programme</w:t>
      </w:r>
      <w:proofErr w:type="spellEnd"/>
      <w:r w:rsidRPr="00B02C30">
        <w:rPr>
          <w:rFonts w:ascii="Times New Roman" w:hAnsi="Times New Roman" w:cs="Times New Roman"/>
          <w:color w:val="000000" w:themeColor="text1"/>
          <w:sz w:val="20"/>
          <w:szCs w:val="20"/>
        </w:rPr>
        <w:t>, 2006. [Online]. Available: https://lancs.ac.uk/shm/research/nssr/research/dissemination/publications/NS_Synthesis_Guidance_v1.pdf</w:t>
      </w:r>
    </w:p>
    <w:p w14:paraId="1DDA0D2A" w14:textId="77777777" w:rsidR="002D7C83" w:rsidRPr="00B02C30" w:rsidRDefault="00000000">
      <w:pPr>
        <w:spacing w:after="100" w:line="320" w:lineRule="auto"/>
        <w:ind w:left="480" w:hanging="480"/>
        <w:rPr>
          <w:rFonts w:ascii="Times New Roman" w:hAnsi="Times New Roman" w:cs="Times New Roman"/>
          <w:color w:val="000000" w:themeColor="text1"/>
          <w:sz w:val="20"/>
          <w:szCs w:val="20"/>
        </w:rPr>
      </w:pPr>
      <w:r w:rsidRPr="00B02C30">
        <w:rPr>
          <w:rFonts w:ascii="Times New Roman" w:hAnsi="Times New Roman" w:cs="Times New Roman"/>
          <w:b/>
          <w:bCs/>
          <w:color w:val="000000" w:themeColor="text1"/>
          <w:sz w:val="20"/>
          <w:szCs w:val="20"/>
        </w:rPr>
        <w:t>[17]</w:t>
      </w:r>
      <w:r w:rsidRPr="00B02C30">
        <w:rPr>
          <w:rFonts w:ascii="Times New Roman" w:hAnsi="Times New Roman" w:cs="Times New Roman"/>
          <w:color w:val="000000" w:themeColor="text1"/>
          <w:sz w:val="20"/>
          <w:szCs w:val="20"/>
        </w:rPr>
        <w:tab/>
        <w:t xml:space="preserve">G. H. Guyatt, A. D. Oxman, G. E. </w:t>
      </w:r>
      <w:proofErr w:type="spellStart"/>
      <w:r w:rsidRPr="00B02C30">
        <w:rPr>
          <w:rFonts w:ascii="Times New Roman" w:hAnsi="Times New Roman" w:cs="Times New Roman"/>
          <w:color w:val="000000" w:themeColor="text1"/>
          <w:sz w:val="20"/>
          <w:szCs w:val="20"/>
        </w:rPr>
        <w:t>Vist</w:t>
      </w:r>
      <w:proofErr w:type="spellEnd"/>
      <w:r w:rsidRPr="00B02C30">
        <w:rPr>
          <w:rFonts w:ascii="Times New Roman" w:hAnsi="Times New Roman" w:cs="Times New Roman"/>
          <w:color w:val="000000" w:themeColor="text1"/>
          <w:sz w:val="20"/>
          <w:szCs w:val="20"/>
        </w:rPr>
        <w:t>, R. Kunz, Y. Falck-</w:t>
      </w:r>
      <w:proofErr w:type="spellStart"/>
      <w:r w:rsidRPr="00B02C30">
        <w:rPr>
          <w:rFonts w:ascii="Times New Roman" w:hAnsi="Times New Roman" w:cs="Times New Roman"/>
          <w:color w:val="000000" w:themeColor="text1"/>
          <w:sz w:val="20"/>
          <w:szCs w:val="20"/>
        </w:rPr>
        <w:t>Ytter</w:t>
      </w:r>
      <w:proofErr w:type="spellEnd"/>
      <w:r w:rsidRPr="00B02C30">
        <w:rPr>
          <w:rFonts w:ascii="Times New Roman" w:hAnsi="Times New Roman" w:cs="Times New Roman"/>
          <w:color w:val="000000" w:themeColor="text1"/>
          <w:sz w:val="20"/>
          <w:szCs w:val="20"/>
        </w:rPr>
        <w:t xml:space="preserve">, P. Alonso-Coello, and H. J. </w:t>
      </w:r>
      <w:proofErr w:type="spellStart"/>
      <w:r w:rsidRPr="00B02C30">
        <w:rPr>
          <w:rFonts w:ascii="Times New Roman" w:hAnsi="Times New Roman" w:cs="Times New Roman"/>
          <w:color w:val="000000" w:themeColor="text1"/>
          <w:sz w:val="20"/>
          <w:szCs w:val="20"/>
        </w:rPr>
        <w:t>Schünemann</w:t>
      </w:r>
      <w:proofErr w:type="spellEnd"/>
      <w:r w:rsidRPr="00B02C30">
        <w:rPr>
          <w:rFonts w:ascii="Times New Roman" w:hAnsi="Times New Roman" w:cs="Times New Roman"/>
          <w:color w:val="000000" w:themeColor="text1"/>
          <w:sz w:val="20"/>
          <w:szCs w:val="20"/>
        </w:rPr>
        <w:t xml:space="preserve">, "GRADE: An emerging consensus on rating quality of evidence and strength of recommendations," BMJ, vol. 336, pp. 924–926, Apr. 2008, </w:t>
      </w:r>
      <w:proofErr w:type="spellStart"/>
      <w:r w:rsidRPr="00B02C30">
        <w:rPr>
          <w:rFonts w:ascii="Times New Roman" w:hAnsi="Times New Roman" w:cs="Times New Roman"/>
          <w:color w:val="000000" w:themeColor="text1"/>
          <w:sz w:val="20"/>
          <w:szCs w:val="20"/>
        </w:rPr>
        <w:t>doi</w:t>
      </w:r>
      <w:proofErr w:type="spellEnd"/>
      <w:r w:rsidRPr="00B02C30">
        <w:rPr>
          <w:rFonts w:ascii="Times New Roman" w:hAnsi="Times New Roman" w:cs="Times New Roman"/>
          <w:color w:val="000000" w:themeColor="text1"/>
          <w:sz w:val="20"/>
          <w:szCs w:val="20"/>
        </w:rPr>
        <w:t>: 10.1136/bmj.39489.470347.AD.</w:t>
      </w:r>
    </w:p>
    <w:sectPr w:rsidR="002D7C83" w:rsidRPr="00B02C30">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759E2" w14:textId="77777777" w:rsidR="009C37ED" w:rsidRDefault="009C37ED">
      <w:r>
        <w:separator/>
      </w:r>
    </w:p>
  </w:endnote>
  <w:endnote w:type="continuationSeparator" w:id="0">
    <w:p w14:paraId="336DB720" w14:textId="77777777" w:rsidR="009C37ED" w:rsidRDefault="009C37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4C048" w14:textId="77777777" w:rsidR="002D7C83" w:rsidRDefault="00000000">
    <w:pPr>
      <w:pBdr>
        <w:top w:val="single" w:sz="4" w:space="1" w:color="2E75B6"/>
      </w:pBdr>
      <w:tabs>
        <w:tab w:val="right" w:pos="9026"/>
      </w:tabs>
      <w:spacing w:before="80"/>
    </w:pPr>
    <w:r>
      <w:rPr>
        <w:color w:val="595959"/>
        <w:sz w:val="18"/>
        <w:szCs w:val="18"/>
      </w:rPr>
      <w:t xml:space="preserve">Adeika &amp; </w:t>
    </w:r>
    <w:proofErr w:type="gramStart"/>
    <w:r>
      <w:rPr>
        <w:color w:val="595959"/>
        <w:sz w:val="18"/>
        <w:szCs w:val="18"/>
      </w:rPr>
      <w:t>Osuagwu  |</w:t>
    </w:r>
    <w:proofErr w:type="gramEnd"/>
    <w:r>
      <w:rPr>
        <w:color w:val="595959"/>
        <w:sz w:val="18"/>
        <w:szCs w:val="18"/>
      </w:rPr>
      <w:t xml:space="preserve">  Morgan State University</w:t>
    </w:r>
    <w:r>
      <w:rPr>
        <w:color w:val="595959"/>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52B1C" w14:textId="77777777" w:rsidR="009C37ED" w:rsidRDefault="009C37ED">
      <w:r>
        <w:separator/>
      </w:r>
    </w:p>
  </w:footnote>
  <w:footnote w:type="continuationSeparator" w:id="0">
    <w:p w14:paraId="30059896" w14:textId="77777777" w:rsidR="009C37ED" w:rsidRDefault="009C37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859EA" w14:textId="77777777" w:rsidR="002D7C83" w:rsidRDefault="00000000">
    <w:pPr>
      <w:pBdr>
        <w:bottom w:val="single" w:sz="4" w:space="1" w:color="2E75B6"/>
      </w:pBdr>
      <w:tabs>
        <w:tab w:val="right" w:pos="9026"/>
      </w:tabs>
      <w:spacing w:after="80"/>
    </w:pPr>
    <w:r>
      <w:rPr>
        <w:color w:val="595959"/>
        <w:sz w:val="18"/>
        <w:szCs w:val="18"/>
      </w:rPr>
      <w:t>AI for Brain-to-Speech Decoding: A Systematic Review</w:t>
    </w:r>
    <w:r>
      <w:rPr>
        <w:color w:val="595959"/>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3963"/>
    <w:multiLevelType w:val="hybridMultilevel"/>
    <w:tmpl w:val="A4A4BA7E"/>
    <w:lvl w:ilvl="0" w:tplc="098CB9F2">
      <w:start w:val="1"/>
      <w:numFmt w:val="bullet"/>
      <w:lvlText w:val="●"/>
      <w:lvlJc w:val="left"/>
      <w:pPr>
        <w:ind w:left="720" w:hanging="360"/>
      </w:pPr>
    </w:lvl>
    <w:lvl w:ilvl="1" w:tplc="1BF02696">
      <w:start w:val="1"/>
      <w:numFmt w:val="bullet"/>
      <w:lvlText w:val="○"/>
      <w:lvlJc w:val="left"/>
      <w:pPr>
        <w:ind w:left="1440" w:hanging="360"/>
      </w:pPr>
    </w:lvl>
    <w:lvl w:ilvl="2" w:tplc="A1DAAD64">
      <w:start w:val="1"/>
      <w:numFmt w:val="bullet"/>
      <w:lvlText w:val="■"/>
      <w:lvlJc w:val="left"/>
      <w:pPr>
        <w:ind w:left="2160" w:hanging="360"/>
      </w:pPr>
    </w:lvl>
    <w:lvl w:ilvl="3" w:tplc="482AE46C">
      <w:start w:val="1"/>
      <w:numFmt w:val="bullet"/>
      <w:lvlText w:val="●"/>
      <w:lvlJc w:val="left"/>
      <w:pPr>
        <w:ind w:left="2880" w:hanging="360"/>
      </w:pPr>
    </w:lvl>
    <w:lvl w:ilvl="4" w:tplc="AE100892">
      <w:start w:val="1"/>
      <w:numFmt w:val="bullet"/>
      <w:lvlText w:val="○"/>
      <w:lvlJc w:val="left"/>
      <w:pPr>
        <w:ind w:left="3600" w:hanging="360"/>
      </w:pPr>
    </w:lvl>
    <w:lvl w:ilvl="5" w:tplc="0B9810FE">
      <w:start w:val="1"/>
      <w:numFmt w:val="bullet"/>
      <w:lvlText w:val="■"/>
      <w:lvlJc w:val="left"/>
      <w:pPr>
        <w:ind w:left="4320" w:hanging="360"/>
      </w:pPr>
    </w:lvl>
    <w:lvl w:ilvl="6" w:tplc="3F8403DE">
      <w:start w:val="1"/>
      <w:numFmt w:val="bullet"/>
      <w:lvlText w:val="●"/>
      <w:lvlJc w:val="left"/>
      <w:pPr>
        <w:ind w:left="5040" w:hanging="360"/>
      </w:pPr>
    </w:lvl>
    <w:lvl w:ilvl="7" w:tplc="9A72812E">
      <w:start w:val="1"/>
      <w:numFmt w:val="bullet"/>
      <w:lvlText w:val="●"/>
      <w:lvlJc w:val="left"/>
      <w:pPr>
        <w:ind w:left="5760" w:hanging="360"/>
      </w:pPr>
    </w:lvl>
    <w:lvl w:ilvl="8" w:tplc="528E9976">
      <w:start w:val="1"/>
      <w:numFmt w:val="bullet"/>
      <w:lvlText w:val="●"/>
      <w:lvlJc w:val="left"/>
      <w:pPr>
        <w:ind w:left="6480" w:hanging="360"/>
      </w:pPr>
    </w:lvl>
  </w:abstractNum>
  <w:num w:numId="1" w16cid:durableId="19210140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C83"/>
    <w:rsid w:val="002D7C83"/>
    <w:rsid w:val="009C37ED"/>
    <w:rsid w:val="00B02C30"/>
    <w:rsid w:val="00EB4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5363A8"/>
  <w15:docId w15:val="{4D2F49C7-29EE-2748-9032-1EA36F137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28"/>
      <w:szCs w:val="28"/>
    </w:rPr>
  </w:style>
  <w:style w:type="paragraph" w:styleId="Heading2">
    <w:name w:val="heading 2"/>
    <w:uiPriority w:val="9"/>
    <w:unhideWhenUsed/>
    <w:qFormat/>
    <w:pPr>
      <w:spacing w:before="280" w:after="14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3012</Words>
  <Characters>17172</Characters>
  <Application>Microsoft Office Word</Application>
  <DocSecurity>0</DocSecurity>
  <Lines>143</Lines>
  <Paragraphs>40</Paragraphs>
  <ScaleCrop>false</ScaleCrop>
  <Company/>
  <LinksUpToDate>false</LinksUpToDate>
  <CharactersWithSpaces>20144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Blessing I Adeika</cp:lastModifiedBy>
  <cp:revision>2</cp:revision>
  <dcterms:created xsi:type="dcterms:W3CDTF">2026-05-01T05:56:00Z</dcterms:created>
  <dcterms:modified xsi:type="dcterms:W3CDTF">2026-05-01T06:06:00Z</dcterms:modified>
</cp:coreProperties>
</file>