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DBE3E" w14:textId="77777777" w:rsidR="00C874BF" w:rsidRPr="00B62B61" w:rsidRDefault="00000000">
      <w:pPr>
        <w:spacing w:after="100"/>
        <w:jc w:val="cente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Artificial Intelligence for Brain-to-Speech Decoding: A Systematic Review of Methods,</w:t>
      </w:r>
    </w:p>
    <w:p w14:paraId="16D829EA" w14:textId="77777777" w:rsidR="00C874BF" w:rsidRPr="00B62B61" w:rsidRDefault="00000000">
      <w:pPr>
        <w:spacing w:after="80"/>
        <w:jc w:val="cente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Performance Benchmarks, and Generalization Across Neural Recording Modalities (2015–2026)</w:t>
      </w:r>
    </w:p>
    <w:p w14:paraId="7DCCC43B" w14:textId="77777777" w:rsidR="00C874BF" w:rsidRPr="00B62B61" w:rsidRDefault="00000000">
      <w:pPr>
        <w:spacing w:after="300"/>
        <w:jc w:val="center"/>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Blessing Isoyiza Adeika and Dr. Onyema Osuagwu | Morgan State University, Department of Electrical and Computer Engineering</w:t>
      </w:r>
    </w:p>
    <w:p w14:paraId="5C5BD646" w14:textId="77777777" w:rsidR="00C874BF" w:rsidRPr="00B62B61" w:rsidRDefault="00000000">
      <w:pPr>
        <w:spacing w:after="120"/>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ABSTRACT</w:t>
      </w:r>
    </w:p>
    <w:p w14:paraId="4A382348" w14:textId="1E1A79A6" w:rsidR="00C874BF" w:rsidRPr="00B62B61" w:rsidRDefault="00000000">
      <w:pPr>
        <w:spacing w:after="220" w:line="336" w:lineRule="auto"/>
        <w:jc w:val="both"/>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 xml:space="preserve">Background: </w:t>
      </w:r>
      <w:r w:rsidRPr="00B62B61">
        <w:rPr>
          <w:rFonts w:ascii="Times New Roman" w:hAnsi="Times New Roman" w:cs="Times New Roman"/>
          <w:color w:val="000000" w:themeColor="text1"/>
          <w:sz w:val="20"/>
          <w:szCs w:val="20"/>
        </w:rPr>
        <w:t xml:space="preserve">Brain-to-speech decoding </w:t>
      </w:r>
      <w:r w:rsidR="00B62B61">
        <w:rPr>
          <w:rFonts w:ascii="Times New Roman" w:hAnsi="Times New Roman" w:cs="Times New Roman"/>
          <w:color w:val="000000" w:themeColor="text1"/>
          <w:sz w:val="20"/>
          <w:szCs w:val="20"/>
        </w:rPr>
        <w:t xml:space="preserve">- </w:t>
      </w:r>
      <w:r w:rsidRPr="00B62B61">
        <w:rPr>
          <w:rFonts w:ascii="Times New Roman" w:hAnsi="Times New Roman" w:cs="Times New Roman"/>
          <w:color w:val="000000" w:themeColor="text1"/>
          <w:sz w:val="20"/>
          <w:szCs w:val="20"/>
        </w:rPr>
        <w:t xml:space="preserve">the computational translation of neural signals into speech or text </w:t>
      </w:r>
      <w:r w:rsidR="00B62B61">
        <w:rPr>
          <w:rFonts w:ascii="Times New Roman" w:hAnsi="Times New Roman" w:cs="Times New Roman"/>
          <w:color w:val="000000" w:themeColor="text1"/>
          <w:sz w:val="20"/>
          <w:szCs w:val="20"/>
        </w:rPr>
        <w:t xml:space="preserve">- </w:t>
      </w:r>
      <w:r w:rsidRPr="00B62B61">
        <w:rPr>
          <w:rFonts w:ascii="Times New Roman" w:hAnsi="Times New Roman" w:cs="Times New Roman"/>
          <w:color w:val="000000" w:themeColor="text1"/>
          <w:sz w:val="20"/>
          <w:szCs w:val="20"/>
        </w:rPr>
        <w:t xml:space="preserve">has advanced from theoretical possibility to clinical reality. For the millions of people living with ALS, locked-in syndrome, or paralytic stroke, this technology represents a pathway to restored communication. Despite landmark results achieving </w:t>
      </w:r>
      <w:proofErr w:type="gramStart"/>
      <w:r w:rsidRPr="00B62B61">
        <w:rPr>
          <w:rFonts w:ascii="Times New Roman" w:hAnsi="Times New Roman" w:cs="Times New Roman"/>
          <w:color w:val="000000" w:themeColor="text1"/>
          <w:sz w:val="20"/>
          <w:szCs w:val="20"/>
        </w:rPr>
        <w:t>2.5% word</w:t>
      </w:r>
      <w:proofErr w:type="gramEnd"/>
      <w:r w:rsidRPr="00B62B61">
        <w:rPr>
          <w:rFonts w:ascii="Times New Roman" w:hAnsi="Times New Roman" w:cs="Times New Roman"/>
          <w:color w:val="000000" w:themeColor="text1"/>
          <w:sz w:val="20"/>
          <w:szCs w:val="20"/>
        </w:rPr>
        <w:t xml:space="preserve"> error rate (WER) and 78 words per minute in implanted participants, no PRISMA-compliant systematic review has synthesized AI methods, performance benchmarks, and generalization evidence across the full modality landscape. </w:t>
      </w:r>
      <w:r w:rsidRPr="00B62B61">
        <w:rPr>
          <w:rFonts w:ascii="Times New Roman" w:hAnsi="Times New Roman" w:cs="Times New Roman"/>
          <w:b/>
          <w:bCs/>
          <w:color w:val="000000" w:themeColor="text1"/>
          <w:sz w:val="20"/>
          <w:szCs w:val="20"/>
        </w:rPr>
        <w:t xml:space="preserve">Methods: </w:t>
      </w:r>
      <w:r w:rsidRPr="00B62B61">
        <w:rPr>
          <w:rFonts w:ascii="Times New Roman" w:hAnsi="Times New Roman" w:cs="Times New Roman"/>
          <w:color w:val="000000" w:themeColor="text1"/>
          <w:sz w:val="20"/>
          <w:szCs w:val="20"/>
        </w:rPr>
        <w:t xml:space="preserve">We searched PubMed, IEEE Xplore, Scopus, Web of Science, and arXiv for empirical studies published January 2015–April 2026, requiring human neural recording data, an AI decoding model, and quantitative performance metrics. Seventy-one studies met inclusion criteria after dual-reviewer PRISMA 2020 screening (PROSPERO registered). Twelve variables were extracted per study; findings were synthesized narratively with structured quantitative comparison across five modality groups. </w:t>
      </w:r>
      <w:r w:rsidRPr="00B62B61">
        <w:rPr>
          <w:rFonts w:ascii="Times New Roman" w:hAnsi="Times New Roman" w:cs="Times New Roman"/>
          <w:b/>
          <w:bCs/>
          <w:color w:val="000000" w:themeColor="text1"/>
          <w:sz w:val="20"/>
          <w:szCs w:val="20"/>
        </w:rPr>
        <w:t xml:space="preserve">Results: </w:t>
      </w:r>
      <w:r w:rsidRPr="00B62B61">
        <w:rPr>
          <w:rFonts w:ascii="Times New Roman" w:hAnsi="Times New Roman" w:cs="Times New Roman"/>
          <w:color w:val="000000" w:themeColor="text1"/>
          <w:sz w:val="20"/>
          <w:szCs w:val="20"/>
        </w:rPr>
        <w:t xml:space="preserve">Invasive systems (ECoG and intracortical; n=32) achieved WER 2.5–25% and up to 78 WPM. Non-invasive EEG (n=20) achieved 70–92.5% closed-set accuracy and 35–45% open-vocabulary WER. High-density surface EMG achieved </w:t>
      </w:r>
      <w:proofErr w:type="gramStart"/>
      <w:r w:rsidRPr="00B62B61">
        <w:rPr>
          <w:rFonts w:ascii="Times New Roman" w:hAnsi="Times New Roman" w:cs="Times New Roman"/>
          <w:color w:val="000000" w:themeColor="text1"/>
          <w:sz w:val="20"/>
          <w:szCs w:val="20"/>
        </w:rPr>
        <w:t>3.11% character</w:t>
      </w:r>
      <w:proofErr w:type="gramEnd"/>
      <w:r w:rsidRPr="00B62B61">
        <w:rPr>
          <w:rFonts w:ascii="Times New Roman" w:hAnsi="Times New Roman" w:cs="Times New Roman"/>
          <w:color w:val="000000" w:themeColor="text1"/>
          <w:sz w:val="20"/>
          <w:szCs w:val="20"/>
        </w:rPr>
        <w:t xml:space="preserve"> error rate </w:t>
      </w:r>
      <w:r w:rsidR="00B62B61">
        <w:rPr>
          <w:rFonts w:ascii="Times New Roman" w:hAnsi="Times New Roman" w:cs="Times New Roman"/>
          <w:color w:val="000000" w:themeColor="text1"/>
          <w:sz w:val="20"/>
          <w:szCs w:val="20"/>
        </w:rPr>
        <w:t xml:space="preserve">- </w:t>
      </w:r>
      <w:r w:rsidRPr="00B62B61">
        <w:rPr>
          <w:rFonts w:ascii="Times New Roman" w:hAnsi="Times New Roman" w:cs="Times New Roman"/>
          <w:color w:val="000000" w:themeColor="text1"/>
          <w:sz w:val="20"/>
          <w:szCs w:val="20"/>
        </w:rPr>
        <w:t xml:space="preserve">the lowest non-invasive figure in this review. Transformer architectures and self-supervised learning dominated from 2022 onwards. Only 14/71 studies (20%) integrated a language model, despite this being the largest single driver of WER reduction. Critically, 56% of studies demonstrated no cross-participant or cross-session generalization; cross-session and cross-language evidence each appear in exactly two studies. </w:t>
      </w:r>
      <w:r w:rsidRPr="00B62B61">
        <w:rPr>
          <w:rFonts w:ascii="Times New Roman" w:hAnsi="Times New Roman" w:cs="Times New Roman"/>
          <w:b/>
          <w:bCs/>
          <w:color w:val="000000" w:themeColor="text1"/>
          <w:sz w:val="20"/>
          <w:szCs w:val="20"/>
        </w:rPr>
        <w:t xml:space="preserve">Conclusions: </w:t>
      </w:r>
      <w:r w:rsidRPr="00B62B61">
        <w:rPr>
          <w:rFonts w:ascii="Times New Roman" w:hAnsi="Times New Roman" w:cs="Times New Roman"/>
          <w:color w:val="000000" w:themeColor="text1"/>
          <w:sz w:val="20"/>
          <w:szCs w:val="20"/>
        </w:rPr>
        <w:t>The field has achieved extraordinary technical milestones on narrow, single-participant benchmarks. Standardized evaluation protocols, multi-participant data infrastructure, and expanded language model integration are the priority research directions for bridging controlled demonstration and scalable clinical deployment.</w:t>
      </w:r>
    </w:p>
    <w:p w14:paraId="66AE518D" w14:textId="77777777" w:rsidR="00C874BF" w:rsidRPr="00B62B61" w:rsidRDefault="00000000">
      <w:pPr>
        <w:spacing w:after="8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Abstract word count: 266 words (IEEE TNSRE review article limit: 250 words)</w:t>
      </w:r>
    </w:p>
    <w:p w14:paraId="487B8A9A" w14:textId="24600F0E" w:rsidR="00C874BF" w:rsidRPr="00B62B61" w:rsidRDefault="00000000">
      <w:pPr>
        <w:spacing w:before="120" w:after="280"/>
        <w:jc w:val="both"/>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 xml:space="preserve">Index Terms </w:t>
      </w:r>
      <w:r w:rsidR="00B62B61">
        <w:rPr>
          <w:rFonts w:ascii="Times New Roman" w:hAnsi="Times New Roman" w:cs="Times New Roman"/>
          <w:b/>
          <w:bCs/>
          <w:color w:val="000000" w:themeColor="text1"/>
          <w:sz w:val="20"/>
          <w:szCs w:val="20"/>
        </w:rPr>
        <w:t xml:space="preserve">- </w:t>
      </w:r>
      <w:r w:rsidRPr="00B62B61">
        <w:rPr>
          <w:rFonts w:ascii="Times New Roman" w:hAnsi="Times New Roman" w:cs="Times New Roman"/>
          <w:color w:val="000000" w:themeColor="text1"/>
          <w:sz w:val="20"/>
          <w:szCs w:val="20"/>
        </w:rPr>
        <w:t>brain-computer interface, speech neuroprosthesis, neural decoding, brain-to-speech, electrocorticography, intracortical recording, EEG, MEG, fMRI, deep learning, transformer, self-supervised learning, large language model, generalization, systematic review.</w:t>
      </w:r>
    </w:p>
    <w:p w14:paraId="6349C108" w14:textId="5128FC5E" w:rsidR="00C874BF" w:rsidRPr="00B62B61" w:rsidRDefault="00000000">
      <w:pPr>
        <w:spacing w:after="100"/>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 xml:space="preserve">QUICK REFERENCE </w:t>
      </w:r>
      <w:r w:rsidR="00B62B61">
        <w:rPr>
          <w:rFonts w:ascii="Times New Roman" w:hAnsi="Times New Roman" w:cs="Times New Roman"/>
          <w:b/>
          <w:bCs/>
          <w:color w:val="000000" w:themeColor="text1"/>
          <w:sz w:val="20"/>
          <w:szCs w:val="20"/>
        </w:rPr>
        <w:t xml:space="preserve">- </w:t>
      </w:r>
      <w:r w:rsidRPr="00B62B61">
        <w:rPr>
          <w:rFonts w:ascii="Times New Roman" w:hAnsi="Times New Roman" w:cs="Times New Roman"/>
          <w:b/>
          <w:bCs/>
          <w:color w:val="000000" w:themeColor="text1"/>
          <w:sz w:val="20"/>
          <w:szCs w:val="20"/>
        </w:rPr>
        <w:t>Key Quantitative Findings</w:t>
      </w:r>
    </w:p>
    <w:p w14:paraId="1F7F3164" w14:textId="77777777" w:rsidR="00C874BF" w:rsidRPr="00B62B61" w:rsidRDefault="00000000">
      <w:pPr>
        <w:spacing w:after="14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For internal reference and submission cover letter. Not part of the submitted abstract.</w:t>
      </w:r>
    </w:p>
    <w:tbl>
      <w:tblPr>
        <w:tblStyle w:val="GridTable4-Accent1"/>
        <w:tblW w:w="9500" w:type="dxa"/>
        <w:tblLook w:val="0000" w:firstRow="0" w:lastRow="0" w:firstColumn="0" w:lastColumn="0" w:noHBand="0" w:noVBand="0"/>
      </w:tblPr>
      <w:tblGrid>
        <w:gridCol w:w="1539"/>
        <w:gridCol w:w="1490"/>
        <w:gridCol w:w="6471"/>
      </w:tblGrid>
      <w:tr w:rsidR="00B62B61" w:rsidRPr="00B62B61" w14:paraId="2469EC24" w14:textId="77777777" w:rsidTr="00B62B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6D9688DD"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METRIC</w:t>
            </w:r>
          </w:p>
        </w:tc>
        <w:tc>
          <w:tcPr>
            <w:tcW w:w="1500" w:type="dxa"/>
          </w:tcPr>
          <w:p w14:paraId="430D87B0" w14:textId="77777777" w:rsidR="00C874BF" w:rsidRPr="00B62B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VALUE</w:t>
            </w:r>
          </w:p>
        </w:tc>
        <w:tc>
          <w:tcPr>
            <w:cnfStyle w:val="000010000000" w:firstRow="0" w:lastRow="0" w:firstColumn="0" w:lastColumn="0" w:oddVBand="1" w:evenVBand="0" w:oddHBand="0" w:evenHBand="0" w:firstRowFirstColumn="0" w:firstRowLastColumn="0" w:lastRowFirstColumn="0" w:lastRowLastColumn="0"/>
            <w:tcW w:w="6500" w:type="dxa"/>
          </w:tcPr>
          <w:p w14:paraId="791B3916"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STUDY / CONTEXT</w:t>
            </w:r>
          </w:p>
        </w:tc>
      </w:tr>
      <w:tr w:rsidR="00B62B61" w:rsidRPr="00B62B61" w14:paraId="2A0DFFD6" w14:textId="77777777" w:rsidTr="00B62B61">
        <w:tc>
          <w:tcPr>
            <w:cnfStyle w:val="000010000000" w:firstRow="0" w:lastRow="0" w:firstColumn="0" w:lastColumn="0" w:oddVBand="1" w:evenVBand="0" w:oddHBand="0" w:evenHBand="0" w:firstRowFirstColumn="0" w:firstRowLastColumn="0" w:lastRowFirstColumn="0" w:lastRowLastColumn="0"/>
            <w:tcW w:w="1500" w:type="dxa"/>
          </w:tcPr>
          <w:p w14:paraId="0E94F12E"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Best invasive WER</w:t>
            </w:r>
          </w:p>
        </w:tc>
        <w:tc>
          <w:tcPr>
            <w:tcW w:w="1500" w:type="dxa"/>
          </w:tcPr>
          <w:p w14:paraId="02F52BDC" w14:textId="77777777" w:rsidR="00C874BF" w:rsidRPr="00B62B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2.5%</w:t>
            </w:r>
          </w:p>
        </w:tc>
        <w:tc>
          <w:tcPr>
            <w:cnfStyle w:val="000010000000" w:firstRow="0" w:lastRow="0" w:firstColumn="0" w:lastColumn="0" w:oddVBand="1" w:evenVBand="0" w:oddHBand="0" w:evenHBand="0" w:firstRowFirstColumn="0" w:firstRowLastColumn="0" w:lastRowFirstColumn="0" w:lastRowLastColumn="0"/>
            <w:tcW w:w="6500" w:type="dxa"/>
          </w:tcPr>
          <w:p w14:paraId="12A0489A" w14:textId="72450F5D"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 xml:space="preserve">Card et al. 2024 </w:t>
            </w:r>
            <w:r w:rsidR="00B62B61">
              <w:rPr>
                <w:rFonts w:ascii="Times New Roman" w:hAnsi="Times New Roman" w:cs="Times New Roman"/>
                <w:color w:val="000000" w:themeColor="text1"/>
                <w:sz w:val="20"/>
                <w:szCs w:val="20"/>
              </w:rPr>
              <w:t xml:space="preserve">- </w:t>
            </w:r>
            <w:r w:rsidRPr="00B62B61">
              <w:rPr>
                <w:rFonts w:ascii="Times New Roman" w:hAnsi="Times New Roman" w:cs="Times New Roman"/>
                <w:color w:val="000000" w:themeColor="text1"/>
                <w:sz w:val="20"/>
                <w:szCs w:val="20"/>
              </w:rPr>
              <w:t>intracortical, ALS, 125k-word vocab, 8+ months</w:t>
            </w:r>
          </w:p>
        </w:tc>
      </w:tr>
      <w:tr w:rsidR="00B62B61" w:rsidRPr="00B62B61" w14:paraId="74A885CC" w14:textId="77777777" w:rsidTr="00B62B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761C6E95"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Best communication rate</w:t>
            </w:r>
          </w:p>
        </w:tc>
        <w:tc>
          <w:tcPr>
            <w:tcW w:w="1500" w:type="dxa"/>
          </w:tcPr>
          <w:p w14:paraId="3BCB5306" w14:textId="77777777" w:rsidR="00C874BF" w:rsidRPr="00B62B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78 WPM</w:t>
            </w:r>
          </w:p>
        </w:tc>
        <w:tc>
          <w:tcPr>
            <w:cnfStyle w:val="000010000000" w:firstRow="0" w:lastRow="0" w:firstColumn="0" w:lastColumn="0" w:oddVBand="1" w:evenVBand="0" w:oddHBand="0" w:evenHBand="0" w:firstRowFirstColumn="0" w:firstRowLastColumn="0" w:lastRowFirstColumn="0" w:lastRowLastColumn="0"/>
            <w:tcW w:w="6500" w:type="dxa"/>
          </w:tcPr>
          <w:p w14:paraId="023CE1A1" w14:textId="588AB80A"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 xml:space="preserve">Metzger et al. 2023 </w:t>
            </w:r>
            <w:r w:rsidR="00B62B61">
              <w:rPr>
                <w:rFonts w:ascii="Times New Roman" w:hAnsi="Times New Roman" w:cs="Times New Roman"/>
                <w:color w:val="000000" w:themeColor="text1"/>
                <w:sz w:val="20"/>
                <w:szCs w:val="20"/>
              </w:rPr>
              <w:t xml:space="preserve">- </w:t>
            </w:r>
            <w:r w:rsidRPr="00B62B61">
              <w:rPr>
                <w:rFonts w:ascii="Times New Roman" w:hAnsi="Times New Roman" w:cs="Times New Roman"/>
                <w:color w:val="000000" w:themeColor="text1"/>
                <w:sz w:val="20"/>
                <w:szCs w:val="20"/>
              </w:rPr>
              <w:t>HD-ECoG, includes avatar synthesis</w:t>
            </w:r>
          </w:p>
        </w:tc>
      </w:tr>
      <w:tr w:rsidR="00B62B61" w:rsidRPr="00B62B61" w14:paraId="5579BA30" w14:textId="77777777" w:rsidTr="00B62B61">
        <w:tc>
          <w:tcPr>
            <w:cnfStyle w:val="000010000000" w:firstRow="0" w:lastRow="0" w:firstColumn="0" w:lastColumn="0" w:oddVBand="1" w:evenVBand="0" w:oddHBand="0" w:evenHBand="0" w:firstRowFirstColumn="0" w:firstRowLastColumn="0" w:lastRowFirstColumn="0" w:lastRowLastColumn="0"/>
            <w:tcW w:w="1500" w:type="dxa"/>
          </w:tcPr>
          <w:p w14:paraId="0021D8AE"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Best fMRI result</w:t>
            </w:r>
          </w:p>
        </w:tc>
        <w:tc>
          <w:tcPr>
            <w:tcW w:w="1500" w:type="dxa"/>
          </w:tcPr>
          <w:p w14:paraId="2D822F1A" w14:textId="77777777" w:rsidR="00C874BF" w:rsidRPr="00B62B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100% story ID</w:t>
            </w:r>
          </w:p>
        </w:tc>
        <w:tc>
          <w:tcPr>
            <w:cnfStyle w:val="000010000000" w:firstRow="0" w:lastRow="0" w:firstColumn="0" w:lastColumn="0" w:oddVBand="1" w:evenVBand="0" w:oddHBand="0" w:evenHBand="0" w:firstRowFirstColumn="0" w:firstRowLastColumn="0" w:lastRowFirstColumn="0" w:lastRowLastColumn="0"/>
            <w:tcW w:w="6500" w:type="dxa"/>
          </w:tcPr>
          <w:p w14:paraId="7655D282" w14:textId="4778DEB0"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 xml:space="preserve">Tang et al. 2023 </w:t>
            </w:r>
            <w:r w:rsidR="00B62B61">
              <w:rPr>
                <w:rFonts w:ascii="Times New Roman" w:hAnsi="Times New Roman" w:cs="Times New Roman"/>
                <w:color w:val="000000" w:themeColor="text1"/>
                <w:sz w:val="20"/>
                <w:szCs w:val="20"/>
              </w:rPr>
              <w:t xml:space="preserve">- </w:t>
            </w:r>
            <w:r w:rsidRPr="00B62B61">
              <w:rPr>
                <w:rFonts w:ascii="Times New Roman" w:hAnsi="Times New Roman" w:cs="Times New Roman"/>
                <w:color w:val="000000" w:themeColor="text1"/>
                <w:sz w:val="20"/>
                <w:szCs w:val="20"/>
              </w:rPr>
              <w:t>continuous semantic reconstruction, non-invasive</w:t>
            </w:r>
          </w:p>
        </w:tc>
      </w:tr>
      <w:tr w:rsidR="00B62B61" w:rsidRPr="00B62B61" w14:paraId="3CFBDE5B" w14:textId="77777777" w:rsidTr="00B62B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39E8B21B"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Best non-invasive CER</w:t>
            </w:r>
          </w:p>
        </w:tc>
        <w:tc>
          <w:tcPr>
            <w:tcW w:w="1500" w:type="dxa"/>
          </w:tcPr>
          <w:p w14:paraId="2F059A83" w14:textId="77777777" w:rsidR="00C874BF" w:rsidRPr="00B62B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3.11%</w:t>
            </w:r>
          </w:p>
        </w:tc>
        <w:tc>
          <w:tcPr>
            <w:cnfStyle w:val="000010000000" w:firstRow="0" w:lastRow="0" w:firstColumn="0" w:lastColumn="0" w:oddVBand="1" w:evenVBand="0" w:oddHBand="0" w:evenHBand="0" w:firstRowFirstColumn="0" w:firstRowLastColumn="0" w:lastRowFirstColumn="0" w:lastRowLastColumn="0"/>
            <w:tcW w:w="6500" w:type="dxa"/>
          </w:tcPr>
          <w:p w14:paraId="0505723A" w14:textId="48D76E01"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 xml:space="preserve">Song et al. 2023 </w:t>
            </w:r>
            <w:r w:rsidR="00B62B61">
              <w:rPr>
                <w:rFonts w:ascii="Times New Roman" w:hAnsi="Times New Roman" w:cs="Times New Roman"/>
                <w:color w:val="000000" w:themeColor="text1"/>
                <w:sz w:val="20"/>
                <w:szCs w:val="20"/>
              </w:rPr>
              <w:t xml:space="preserve">- </w:t>
            </w:r>
            <w:r w:rsidRPr="00B62B61">
              <w:rPr>
                <w:rFonts w:ascii="Times New Roman" w:hAnsi="Times New Roman" w:cs="Times New Roman"/>
                <w:color w:val="000000" w:themeColor="text1"/>
                <w:sz w:val="20"/>
                <w:szCs w:val="20"/>
              </w:rPr>
              <w:t>HD-sEMG, 33 Chinese phrases, n=15</w:t>
            </w:r>
          </w:p>
        </w:tc>
      </w:tr>
      <w:tr w:rsidR="00B62B61" w:rsidRPr="00B62B61" w14:paraId="6813C5DA" w14:textId="77777777" w:rsidTr="00B62B61">
        <w:tc>
          <w:tcPr>
            <w:cnfStyle w:val="000010000000" w:firstRow="0" w:lastRow="0" w:firstColumn="0" w:lastColumn="0" w:oddVBand="1" w:evenVBand="0" w:oddHBand="0" w:evenHBand="0" w:firstRowFirstColumn="0" w:firstRowLastColumn="0" w:lastRowFirstColumn="0" w:lastRowLastColumn="0"/>
            <w:tcW w:w="1500" w:type="dxa"/>
          </w:tcPr>
          <w:p w14:paraId="258E273F"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Largest study</w:t>
            </w:r>
          </w:p>
        </w:tc>
        <w:tc>
          <w:tcPr>
            <w:tcW w:w="1500" w:type="dxa"/>
          </w:tcPr>
          <w:p w14:paraId="59845BB9" w14:textId="77777777" w:rsidR="00C874BF" w:rsidRPr="00B62B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n=723</w:t>
            </w:r>
          </w:p>
        </w:tc>
        <w:tc>
          <w:tcPr>
            <w:cnfStyle w:val="000010000000" w:firstRow="0" w:lastRow="0" w:firstColumn="0" w:lastColumn="0" w:oddVBand="1" w:evenVBand="0" w:oddHBand="0" w:evenHBand="0" w:firstRowFirstColumn="0" w:firstRowLastColumn="0" w:lastRowFirstColumn="0" w:lastRowLastColumn="0"/>
            <w:tcW w:w="6500" w:type="dxa"/>
          </w:tcPr>
          <w:p w14:paraId="45BFBF1E" w14:textId="2DA1A0A0" w:rsidR="00C874BF" w:rsidRPr="00B62B61" w:rsidRDefault="00000000">
            <w:pPr>
              <w:rPr>
                <w:rFonts w:ascii="Times New Roman" w:hAnsi="Times New Roman" w:cs="Times New Roman"/>
                <w:color w:val="000000" w:themeColor="text1"/>
                <w:sz w:val="20"/>
                <w:szCs w:val="20"/>
              </w:rPr>
            </w:pPr>
            <w:proofErr w:type="spellStart"/>
            <w:r w:rsidRPr="00B62B61">
              <w:rPr>
                <w:rFonts w:ascii="Times New Roman" w:hAnsi="Times New Roman" w:cs="Times New Roman"/>
                <w:color w:val="000000" w:themeColor="text1"/>
                <w:sz w:val="20"/>
                <w:szCs w:val="20"/>
              </w:rPr>
              <w:t>d'Ascoli</w:t>
            </w:r>
            <w:proofErr w:type="spellEnd"/>
            <w:r w:rsidRPr="00B62B61">
              <w:rPr>
                <w:rFonts w:ascii="Times New Roman" w:hAnsi="Times New Roman" w:cs="Times New Roman"/>
                <w:color w:val="000000" w:themeColor="text1"/>
                <w:sz w:val="20"/>
                <w:szCs w:val="20"/>
              </w:rPr>
              <w:t xml:space="preserve"> et al. 2025 </w:t>
            </w:r>
            <w:r w:rsidR="00B62B61">
              <w:rPr>
                <w:rFonts w:ascii="Times New Roman" w:hAnsi="Times New Roman" w:cs="Times New Roman"/>
                <w:color w:val="000000" w:themeColor="text1"/>
                <w:sz w:val="20"/>
                <w:szCs w:val="20"/>
              </w:rPr>
              <w:t xml:space="preserve">- </w:t>
            </w:r>
            <w:r w:rsidRPr="00B62B61">
              <w:rPr>
                <w:rFonts w:ascii="Times New Roman" w:hAnsi="Times New Roman" w:cs="Times New Roman"/>
                <w:color w:val="000000" w:themeColor="text1"/>
                <w:sz w:val="20"/>
                <w:szCs w:val="20"/>
              </w:rPr>
              <w:t>EEG/MEG, 7 datasets, 3 languages</w:t>
            </w:r>
          </w:p>
        </w:tc>
      </w:tr>
      <w:tr w:rsidR="00B62B61" w:rsidRPr="00B62B61" w14:paraId="15EB31D1" w14:textId="77777777" w:rsidTr="00B62B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599A21DF"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LM integration</w:t>
            </w:r>
          </w:p>
        </w:tc>
        <w:tc>
          <w:tcPr>
            <w:tcW w:w="1500" w:type="dxa"/>
          </w:tcPr>
          <w:p w14:paraId="09125483" w14:textId="77777777" w:rsidR="00C874BF" w:rsidRPr="00B62B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14/71 (20%)</w:t>
            </w:r>
          </w:p>
        </w:tc>
        <w:tc>
          <w:tcPr>
            <w:cnfStyle w:val="000010000000" w:firstRow="0" w:lastRow="0" w:firstColumn="0" w:lastColumn="0" w:oddVBand="1" w:evenVBand="0" w:oddHBand="0" w:evenHBand="0" w:firstRowFirstColumn="0" w:firstRowLastColumn="0" w:lastRowFirstColumn="0" w:lastRowLastColumn="0"/>
            <w:tcW w:w="6500" w:type="dxa"/>
          </w:tcPr>
          <w:p w14:paraId="1F40D9AB" w14:textId="7413B19C"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 xml:space="preserve">Single largest WER reduction driver </w:t>
            </w:r>
            <w:r w:rsidR="00B62B61">
              <w:rPr>
                <w:rFonts w:ascii="Times New Roman" w:hAnsi="Times New Roman" w:cs="Times New Roman"/>
                <w:color w:val="000000" w:themeColor="text1"/>
                <w:sz w:val="20"/>
                <w:szCs w:val="20"/>
              </w:rPr>
              <w:t xml:space="preserve">- </w:t>
            </w:r>
            <w:r w:rsidRPr="00B62B61">
              <w:rPr>
                <w:rFonts w:ascii="Times New Roman" w:hAnsi="Times New Roman" w:cs="Times New Roman"/>
                <w:color w:val="000000" w:themeColor="text1"/>
                <w:sz w:val="20"/>
                <w:szCs w:val="20"/>
              </w:rPr>
              <w:t>underexploited</w:t>
            </w:r>
          </w:p>
        </w:tc>
      </w:tr>
      <w:tr w:rsidR="00B62B61" w:rsidRPr="00B62B61" w14:paraId="098D7D13" w14:textId="77777777" w:rsidTr="00B62B61">
        <w:tc>
          <w:tcPr>
            <w:cnfStyle w:val="000010000000" w:firstRow="0" w:lastRow="0" w:firstColumn="0" w:lastColumn="0" w:oddVBand="1" w:evenVBand="0" w:oddHBand="0" w:evenHBand="0" w:firstRowFirstColumn="0" w:firstRowLastColumn="0" w:lastRowFirstColumn="0" w:lastRowLastColumn="0"/>
            <w:tcW w:w="1500" w:type="dxa"/>
          </w:tcPr>
          <w:p w14:paraId="7AE2D758"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lastRenderedPageBreak/>
              <w:t>No generalization</w:t>
            </w:r>
          </w:p>
        </w:tc>
        <w:tc>
          <w:tcPr>
            <w:tcW w:w="1500" w:type="dxa"/>
          </w:tcPr>
          <w:p w14:paraId="6B6C428D" w14:textId="77777777" w:rsidR="00C874BF" w:rsidRPr="00B62B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40/71 (56%)</w:t>
            </w:r>
          </w:p>
        </w:tc>
        <w:tc>
          <w:tcPr>
            <w:cnfStyle w:val="000010000000" w:firstRow="0" w:lastRow="0" w:firstColumn="0" w:lastColumn="0" w:oddVBand="1" w:evenVBand="0" w:oddHBand="0" w:evenHBand="0" w:firstRowFirstColumn="0" w:firstRowLastColumn="0" w:lastRowFirstColumn="0" w:lastRowLastColumn="0"/>
            <w:tcW w:w="6500" w:type="dxa"/>
          </w:tcPr>
          <w:p w14:paraId="33421788"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No cross-participant or cross-session transfer demonstrated</w:t>
            </w:r>
          </w:p>
        </w:tc>
      </w:tr>
      <w:tr w:rsidR="00B62B61" w:rsidRPr="00B62B61" w14:paraId="00A4A527" w14:textId="77777777" w:rsidTr="00B62B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1403EC04"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Cross-session evidence</w:t>
            </w:r>
          </w:p>
        </w:tc>
        <w:tc>
          <w:tcPr>
            <w:tcW w:w="1500" w:type="dxa"/>
          </w:tcPr>
          <w:p w14:paraId="75820C13" w14:textId="77777777" w:rsidR="00C874BF" w:rsidRPr="00B62B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2 studies</w:t>
            </w:r>
          </w:p>
        </w:tc>
        <w:tc>
          <w:tcPr>
            <w:cnfStyle w:val="000010000000" w:firstRow="0" w:lastRow="0" w:firstColumn="0" w:lastColumn="0" w:oddVBand="1" w:evenVBand="0" w:oddHBand="0" w:evenHBand="0" w:firstRowFirstColumn="0" w:firstRowLastColumn="0" w:lastRowFirstColumn="0" w:lastRowLastColumn="0"/>
            <w:tcW w:w="6500" w:type="dxa"/>
          </w:tcPr>
          <w:p w14:paraId="19161EB4" w14:textId="17839640"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 xml:space="preserve">Card 2024 and Degenhart 2020 </w:t>
            </w:r>
            <w:r w:rsidR="00B62B61">
              <w:rPr>
                <w:rFonts w:ascii="Times New Roman" w:hAnsi="Times New Roman" w:cs="Times New Roman"/>
                <w:color w:val="000000" w:themeColor="text1"/>
                <w:sz w:val="20"/>
                <w:szCs w:val="20"/>
              </w:rPr>
              <w:t xml:space="preserve">- </w:t>
            </w:r>
            <w:r w:rsidRPr="00B62B61">
              <w:rPr>
                <w:rFonts w:ascii="Times New Roman" w:hAnsi="Times New Roman" w:cs="Times New Roman"/>
                <w:color w:val="000000" w:themeColor="text1"/>
                <w:sz w:val="20"/>
                <w:szCs w:val="20"/>
              </w:rPr>
              <w:t>both single-participant</w:t>
            </w:r>
          </w:p>
        </w:tc>
      </w:tr>
      <w:tr w:rsidR="00B62B61" w:rsidRPr="00B62B61" w14:paraId="4B8C9A30" w14:textId="77777777" w:rsidTr="00B62B61">
        <w:tc>
          <w:tcPr>
            <w:cnfStyle w:val="000010000000" w:firstRow="0" w:lastRow="0" w:firstColumn="0" w:lastColumn="0" w:oddVBand="1" w:evenVBand="0" w:oddHBand="0" w:evenHBand="0" w:firstRowFirstColumn="0" w:firstRowLastColumn="0" w:lastRowFirstColumn="0" w:lastRowLastColumn="0"/>
            <w:tcW w:w="1500" w:type="dxa"/>
          </w:tcPr>
          <w:p w14:paraId="476080C4"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Cross-language evidence</w:t>
            </w:r>
          </w:p>
        </w:tc>
        <w:tc>
          <w:tcPr>
            <w:tcW w:w="1500" w:type="dxa"/>
          </w:tcPr>
          <w:p w14:paraId="5C38B080" w14:textId="77777777" w:rsidR="00C874BF" w:rsidRPr="00B62B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2 studies</w:t>
            </w:r>
          </w:p>
        </w:tc>
        <w:tc>
          <w:tcPr>
            <w:cnfStyle w:val="000010000000" w:firstRow="0" w:lastRow="0" w:firstColumn="0" w:lastColumn="0" w:oddVBand="1" w:evenVBand="0" w:oddHBand="0" w:evenHBand="0" w:firstRowFirstColumn="0" w:firstRowLastColumn="0" w:lastRowFirstColumn="0" w:lastRowLastColumn="0"/>
            <w:tcW w:w="6500" w:type="dxa"/>
          </w:tcPr>
          <w:p w14:paraId="05D806E1" w14:textId="77777777" w:rsidR="00C874BF" w:rsidRPr="00B62B61" w:rsidRDefault="00000000">
            <w:pPr>
              <w:rPr>
                <w:rFonts w:ascii="Times New Roman" w:hAnsi="Times New Roman" w:cs="Times New Roman"/>
                <w:color w:val="000000" w:themeColor="text1"/>
                <w:sz w:val="20"/>
                <w:szCs w:val="20"/>
              </w:rPr>
            </w:pPr>
            <w:proofErr w:type="spellStart"/>
            <w:r w:rsidRPr="00B62B61">
              <w:rPr>
                <w:rFonts w:ascii="Times New Roman" w:hAnsi="Times New Roman" w:cs="Times New Roman"/>
                <w:color w:val="000000" w:themeColor="text1"/>
                <w:sz w:val="20"/>
                <w:szCs w:val="20"/>
              </w:rPr>
              <w:t>d'Ascoli</w:t>
            </w:r>
            <w:proofErr w:type="spellEnd"/>
            <w:r w:rsidRPr="00B62B61">
              <w:rPr>
                <w:rFonts w:ascii="Times New Roman" w:hAnsi="Times New Roman" w:cs="Times New Roman"/>
                <w:color w:val="000000" w:themeColor="text1"/>
                <w:sz w:val="20"/>
                <w:szCs w:val="20"/>
              </w:rPr>
              <w:t xml:space="preserve"> 2025 (EN/FR/NL) and Zhu 2021 (EN/ZH digits only)</w:t>
            </w:r>
          </w:p>
        </w:tc>
      </w:tr>
      <w:tr w:rsidR="00B62B61" w:rsidRPr="00B62B61" w14:paraId="204D7579" w14:textId="77777777" w:rsidTr="00B62B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6C0402F8"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EEG open-vocab WER</w:t>
            </w:r>
          </w:p>
        </w:tc>
        <w:tc>
          <w:tcPr>
            <w:tcW w:w="1500" w:type="dxa"/>
          </w:tcPr>
          <w:p w14:paraId="70F2D4A2" w14:textId="77777777" w:rsidR="00C874BF" w:rsidRPr="00B62B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35–45%</w:t>
            </w:r>
          </w:p>
        </w:tc>
        <w:tc>
          <w:tcPr>
            <w:cnfStyle w:val="000010000000" w:firstRow="0" w:lastRow="0" w:firstColumn="0" w:lastColumn="0" w:oddVBand="1" w:evenVBand="0" w:oddHBand="0" w:evenHBand="0" w:firstRowFirstColumn="0" w:firstRowLastColumn="0" w:lastRowFirstColumn="0" w:lastRowLastColumn="0"/>
            <w:tcW w:w="6500" w:type="dxa"/>
          </w:tcPr>
          <w:p w14:paraId="2ED44450"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Best current non-invasive open-vocabulary performance</w:t>
            </w:r>
          </w:p>
        </w:tc>
      </w:tr>
      <w:tr w:rsidR="00B62B61" w:rsidRPr="00B62B61" w14:paraId="43350AC1" w14:textId="77777777" w:rsidTr="00B62B61">
        <w:tc>
          <w:tcPr>
            <w:cnfStyle w:val="000010000000" w:firstRow="0" w:lastRow="0" w:firstColumn="0" w:lastColumn="0" w:oddVBand="1" w:evenVBand="0" w:oddHBand="0" w:evenHBand="0" w:firstRowFirstColumn="0" w:firstRowLastColumn="0" w:lastRowFirstColumn="0" w:lastRowLastColumn="0"/>
            <w:tcW w:w="1500" w:type="dxa"/>
          </w:tcPr>
          <w:p w14:paraId="56A07693"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b/>
                <w:bCs/>
                <w:color w:val="000000" w:themeColor="text1"/>
                <w:sz w:val="20"/>
                <w:szCs w:val="20"/>
              </w:rPr>
              <w:t>Architecture classes</w:t>
            </w:r>
          </w:p>
        </w:tc>
        <w:tc>
          <w:tcPr>
            <w:tcW w:w="1500" w:type="dxa"/>
          </w:tcPr>
          <w:p w14:paraId="64F1DA83" w14:textId="77777777" w:rsidR="00C874BF" w:rsidRPr="00B62B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8 identified</w:t>
            </w:r>
          </w:p>
        </w:tc>
        <w:tc>
          <w:tcPr>
            <w:cnfStyle w:val="000010000000" w:firstRow="0" w:lastRow="0" w:firstColumn="0" w:lastColumn="0" w:oddVBand="1" w:evenVBand="0" w:oddHBand="0" w:evenHBand="0" w:firstRowFirstColumn="0" w:firstRowLastColumn="0" w:lastRowFirstColumn="0" w:lastRowLastColumn="0"/>
            <w:tcW w:w="6500" w:type="dxa"/>
          </w:tcPr>
          <w:p w14:paraId="2D58D01F" w14:textId="77777777" w:rsidR="00C874BF" w:rsidRPr="00B62B61" w:rsidRDefault="00000000">
            <w:pPr>
              <w:rPr>
                <w:rFonts w:ascii="Times New Roman" w:hAnsi="Times New Roman" w:cs="Times New Roman"/>
                <w:color w:val="000000" w:themeColor="text1"/>
                <w:sz w:val="20"/>
                <w:szCs w:val="20"/>
              </w:rPr>
            </w:pPr>
            <w:proofErr w:type="spellStart"/>
            <w:r w:rsidRPr="00B62B61">
              <w:rPr>
                <w:rFonts w:ascii="Times New Roman" w:hAnsi="Times New Roman" w:cs="Times New Roman"/>
                <w:color w:val="000000" w:themeColor="text1"/>
                <w:sz w:val="20"/>
                <w:szCs w:val="20"/>
              </w:rPr>
              <w:t>TradML→CNN→RNN→ED→TF→SSL→LLM→Hybrid</w:t>
            </w:r>
            <w:proofErr w:type="spellEnd"/>
            <w:r w:rsidRPr="00B62B61">
              <w:rPr>
                <w:rFonts w:ascii="Times New Roman" w:hAnsi="Times New Roman" w:cs="Times New Roman"/>
                <w:color w:val="000000" w:themeColor="text1"/>
                <w:sz w:val="20"/>
                <w:szCs w:val="20"/>
              </w:rPr>
              <w:t xml:space="preserve"> (2015–2026)</w:t>
            </w:r>
          </w:p>
        </w:tc>
      </w:tr>
    </w:tbl>
    <w:p w14:paraId="64EA719E" w14:textId="77777777" w:rsidR="00C874BF" w:rsidRPr="00B62B61" w:rsidRDefault="00C874BF">
      <w:pPr>
        <w:spacing w:before="180"/>
        <w:rPr>
          <w:rFonts w:ascii="Times New Roman" w:hAnsi="Times New Roman" w:cs="Times New Roman"/>
          <w:color w:val="000000" w:themeColor="text1"/>
          <w:sz w:val="20"/>
          <w:szCs w:val="20"/>
        </w:rPr>
      </w:pPr>
    </w:p>
    <w:p w14:paraId="11159CA2" w14:textId="77777777" w:rsidR="00C874BF" w:rsidRPr="00B62B61" w:rsidRDefault="00000000">
      <w:pPr>
        <w:rPr>
          <w:rFonts w:ascii="Times New Roman" w:hAnsi="Times New Roman" w:cs="Times New Roman"/>
          <w:color w:val="000000" w:themeColor="text1"/>
          <w:sz w:val="20"/>
          <w:szCs w:val="20"/>
        </w:rPr>
      </w:pPr>
      <w:r w:rsidRPr="00B62B61">
        <w:rPr>
          <w:rFonts w:ascii="Times New Roman" w:hAnsi="Times New Roman" w:cs="Times New Roman"/>
          <w:color w:val="000000" w:themeColor="text1"/>
          <w:sz w:val="20"/>
          <w:szCs w:val="20"/>
        </w:rPr>
        <w:t xml:space="preserve">Target journal: IEEE Transactions on Neural Systems and Rehabilitation Engineering (TNSRE, IF 6.22). APC: US$2,075. Companion Paper 2 (trustworthiness dimensions) in preparation for </w:t>
      </w:r>
      <w:proofErr w:type="spellStart"/>
      <w:r w:rsidRPr="00B62B61">
        <w:rPr>
          <w:rFonts w:ascii="Times New Roman" w:hAnsi="Times New Roman" w:cs="Times New Roman"/>
          <w:color w:val="000000" w:themeColor="text1"/>
          <w:sz w:val="20"/>
          <w:szCs w:val="20"/>
        </w:rPr>
        <w:t>npj</w:t>
      </w:r>
      <w:proofErr w:type="spellEnd"/>
      <w:r w:rsidRPr="00B62B61">
        <w:rPr>
          <w:rFonts w:ascii="Times New Roman" w:hAnsi="Times New Roman" w:cs="Times New Roman"/>
          <w:color w:val="000000" w:themeColor="text1"/>
          <w:sz w:val="20"/>
          <w:szCs w:val="20"/>
        </w:rPr>
        <w:t xml:space="preserve"> Digital Medicine.</w:t>
      </w:r>
    </w:p>
    <w:sectPr w:rsidR="00C874BF" w:rsidRPr="00B62B61">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5E90F" w14:textId="77777777" w:rsidR="00933B44" w:rsidRDefault="00933B44">
      <w:r>
        <w:separator/>
      </w:r>
    </w:p>
  </w:endnote>
  <w:endnote w:type="continuationSeparator" w:id="0">
    <w:p w14:paraId="4B3E28A2" w14:textId="77777777" w:rsidR="00933B44" w:rsidRDefault="00933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E1F06" w14:textId="77777777" w:rsidR="00933B44" w:rsidRDefault="00933B44">
      <w:r>
        <w:separator/>
      </w:r>
    </w:p>
  </w:footnote>
  <w:footnote w:type="continuationSeparator" w:id="0">
    <w:p w14:paraId="09FB1B9E" w14:textId="77777777" w:rsidR="00933B44" w:rsidRDefault="00933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D954" w14:textId="77777777" w:rsidR="00C874BF" w:rsidRDefault="00000000">
    <w:pPr>
      <w:pBdr>
        <w:bottom w:val="single" w:sz="4" w:space="1" w:color="2E75B6"/>
      </w:pBdr>
      <w:spacing w:after="80"/>
    </w:pPr>
    <w:r>
      <w:rPr>
        <w:color w:val="595959"/>
        <w:sz w:val="18"/>
        <w:szCs w:val="18"/>
      </w:rPr>
      <w:t xml:space="preserve">AI for Brain-to-Speech </w:t>
    </w:r>
    <w:proofErr w:type="gramStart"/>
    <w:r>
      <w:rPr>
        <w:color w:val="595959"/>
        <w:sz w:val="18"/>
        <w:szCs w:val="18"/>
      </w:rPr>
      <w:t>Decoding  |</w:t>
    </w:r>
    <w:proofErr w:type="gramEnd"/>
    <w:r>
      <w:rPr>
        <w:color w:val="595959"/>
        <w:sz w:val="18"/>
        <w:szCs w:val="18"/>
      </w:rPr>
      <w:t xml:space="preserve">  </w:t>
    </w:r>
    <w:proofErr w:type="gramStart"/>
    <w:r>
      <w:rPr>
        <w:color w:val="595959"/>
        <w:sz w:val="18"/>
        <w:szCs w:val="18"/>
      </w:rPr>
      <w:t>Abstract  |</w:t>
    </w:r>
    <w:proofErr w:type="gramEnd"/>
    <w:r>
      <w:rPr>
        <w:color w:val="595959"/>
        <w:sz w:val="18"/>
        <w:szCs w:val="18"/>
      </w:rPr>
      <w:t xml:space="preserve">  IEEE TNSRE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13B59"/>
    <w:multiLevelType w:val="hybridMultilevel"/>
    <w:tmpl w:val="18C8025C"/>
    <w:lvl w:ilvl="0" w:tplc="C73A9126">
      <w:start w:val="1"/>
      <w:numFmt w:val="bullet"/>
      <w:lvlText w:val="●"/>
      <w:lvlJc w:val="left"/>
      <w:pPr>
        <w:ind w:left="720" w:hanging="360"/>
      </w:pPr>
    </w:lvl>
    <w:lvl w:ilvl="1" w:tplc="E7CAD904">
      <w:start w:val="1"/>
      <w:numFmt w:val="bullet"/>
      <w:lvlText w:val="○"/>
      <w:lvlJc w:val="left"/>
      <w:pPr>
        <w:ind w:left="1440" w:hanging="360"/>
      </w:pPr>
    </w:lvl>
    <w:lvl w:ilvl="2" w:tplc="1D8A9770">
      <w:start w:val="1"/>
      <w:numFmt w:val="bullet"/>
      <w:lvlText w:val="■"/>
      <w:lvlJc w:val="left"/>
      <w:pPr>
        <w:ind w:left="2160" w:hanging="360"/>
      </w:pPr>
    </w:lvl>
    <w:lvl w:ilvl="3" w:tplc="3208BD48">
      <w:start w:val="1"/>
      <w:numFmt w:val="bullet"/>
      <w:lvlText w:val="●"/>
      <w:lvlJc w:val="left"/>
      <w:pPr>
        <w:ind w:left="2880" w:hanging="360"/>
      </w:pPr>
    </w:lvl>
    <w:lvl w:ilvl="4" w:tplc="EFD08E08">
      <w:start w:val="1"/>
      <w:numFmt w:val="bullet"/>
      <w:lvlText w:val="○"/>
      <w:lvlJc w:val="left"/>
      <w:pPr>
        <w:ind w:left="3600" w:hanging="360"/>
      </w:pPr>
    </w:lvl>
    <w:lvl w:ilvl="5" w:tplc="5FF49822">
      <w:start w:val="1"/>
      <w:numFmt w:val="bullet"/>
      <w:lvlText w:val="■"/>
      <w:lvlJc w:val="left"/>
      <w:pPr>
        <w:ind w:left="4320" w:hanging="360"/>
      </w:pPr>
    </w:lvl>
    <w:lvl w:ilvl="6" w:tplc="BDF4C44C">
      <w:start w:val="1"/>
      <w:numFmt w:val="bullet"/>
      <w:lvlText w:val="●"/>
      <w:lvlJc w:val="left"/>
      <w:pPr>
        <w:ind w:left="5040" w:hanging="360"/>
      </w:pPr>
    </w:lvl>
    <w:lvl w:ilvl="7" w:tplc="5330F156">
      <w:start w:val="1"/>
      <w:numFmt w:val="bullet"/>
      <w:lvlText w:val="●"/>
      <w:lvlJc w:val="left"/>
      <w:pPr>
        <w:ind w:left="5760" w:hanging="360"/>
      </w:pPr>
    </w:lvl>
    <w:lvl w:ilvl="8" w:tplc="F3D8663E">
      <w:start w:val="1"/>
      <w:numFmt w:val="bullet"/>
      <w:lvlText w:val="●"/>
      <w:lvlJc w:val="left"/>
      <w:pPr>
        <w:ind w:left="6480" w:hanging="360"/>
      </w:pPr>
    </w:lvl>
  </w:abstractNum>
  <w:num w:numId="1" w16cid:durableId="1915505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4BF"/>
    <w:rsid w:val="00933B44"/>
    <w:rsid w:val="00B62B61"/>
    <w:rsid w:val="00C874BF"/>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99F0C7"/>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B62B6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2</cp:revision>
  <dcterms:created xsi:type="dcterms:W3CDTF">2026-05-01T15:27:00Z</dcterms:created>
  <dcterms:modified xsi:type="dcterms:W3CDTF">2026-05-01T15:33:00Z</dcterms:modified>
</cp:coreProperties>
</file>