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97481" w14:textId="77777777" w:rsidR="00264FEC" w:rsidRDefault="00000000">
      <w:pPr>
        <w:pStyle w:val="Heading1"/>
      </w:pPr>
      <w:r>
        <w:t>2. Methodology</w:t>
      </w:r>
    </w:p>
    <w:p w14:paraId="6CC731A8" w14:textId="77777777" w:rsidR="00264FEC" w:rsidRDefault="00264FEC">
      <w:pPr>
        <w:pBdr>
          <w:bottom w:val="single" w:sz="4" w:space="1" w:color="BDD7EE"/>
        </w:pBdr>
        <w:spacing w:after="180"/>
      </w:pPr>
    </w:p>
    <w:p w14:paraId="30C8EE19" w14:textId="77777777" w:rsidR="00264FEC" w:rsidRDefault="00000000">
      <w:pPr>
        <w:pStyle w:val="Heading2"/>
      </w:pPr>
      <w:proofErr w:type="gramStart"/>
      <w:r>
        <w:t>2.1  Review</w:t>
      </w:r>
      <w:proofErr w:type="gramEnd"/>
      <w:r>
        <w:t xml:space="preserve"> Protocol and Registration</w:t>
      </w:r>
    </w:p>
    <w:p w14:paraId="2762F67F" w14:textId="77777777" w:rsidR="00264FEC" w:rsidRDefault="00000000">
      <w:pPr>
        <w:spacing w:after="160" w:line="348" w:lineRule="auto"/>
        <w:jc w:val="both"/>
      </w:pPr>
      <w:r>
        <w:rPr>
          <w:color w:val="000000"/>
        </w:rPr>
        <w:t xml:space="preserve">This review was designed and reported in accordance with the PRISMA 2020 statement </w:t>
      </w:r>
      <w:r>
        <w:rPr>
          <w:color w:val="2E75B6"/>
          <w:sz w:val="18"/>
          <w:szCs w:val="18"/>
          <w:vertAlign w:val="superscript"/>
        </w:rPr>
        <w:t>[1]</w:t>
      </w:r>
      <w:r>
        <w:rPr>
          <w:color w:val="000000"/>
        </w:rPr>
        <w:t xml:space="preserve"> and the PRISMA-P 2015 protocol checklist </w:t>
      </w:r>
      <w:r>
        <w:rPr>
          <w:color w:val="2E75B6"/>
          <w:sz w:val="18"/>
          <w:szCs w:val="18"/>
          <w:vertAlign w:val="superscript"/>
        </w:rPr>
        <w:t>[2]</w:t>
      </w:r>
      <w:r>
        <w:rPr>
          <w:color w:val="000000"/>
        </w:rPr>
        <w:t xml:space="preserve">. A full protocol was developed prior to formal searches and prospectively registered in the PROSPERO International Register of Systematic Reviews </w:t>
      </w:r>
      <w:r>
        <w:rPr>
          <w:color w:val="2E75B6"/>
          <w:sz w:val="18"/>
          <w:szCs w:val="18"/>
          <w:vertAlign w:val="superscript"/>
        </w:rPr>
        <w:t>[3]</w:t>
      </w:r>
      <w:r>
        <w:rPr>
          <w:color w:val="000000"/>
        </w:rPr>
        <w:t>. A late registration disclosure was included in the PROSPERO record, noting that preliminary scoping commenced in January 2025 and formal database searches were executed on April 13, 2026. No deviations from the registered protocol were made; visual synthesis elements were developed from pre-specified extracted variables and represent presentation choices, not analytical deviations. The PROSPERO registration number will be inserted upon confirmation by the supervising author.</w:t>
      </w:r>
    </w:p>
    <w:p w14:paraId="1A972F92" w14:textId="77777777" w:rsidR="00264FEC" w:rsidRDefault="00000000">
      <w:pPr>
        <w:pStyle w:val="Heading2"/>
      </w:pPr>
      <w:proofErr w:type="gramStart"/>
      <w:r>
        <w:t>2.2  Eligibility</w:t>
      </w:r>
      <w:proofErr w:type="gramEnd"/>
      <w:r>
        <w:t xml:space="preserve"> Criteria (PICOS Framework)</w:t>
      </w:r>
    </w:p>
    <w:p w14:paraId="3508A7D1" w14:textId="77777777" w:rsidR="00264FEC" w:rsidRDefault="00000000">
      <w:pPr>
        <w:spacing w:after="160" w:line="348" w:lineRule="auto"/>
        <w:jc w:val="both"/>
      </w:pPr>
      <w:r>
        <w:rPr>
          <w:color w:val="000000"/>
        </w:rPr>
        <w:t xml:space="preserve">Eligibility was operationalized using the PICOS framework </w:t>
      </w:r>
      <w:r>
        <w:rPr>
          <w:color w:val="2E75B6"/>
          <w:sz w:val="18"/>
          <w:szCs w:val="18"/>
          <w:vertAlign w:val="superscript"/>
        </w:rPr>
        <w:t>[4]</w:t>
      </w:r>
      <w:r>
        <w:rPr>
          <w:color w:val="000000"/>
        </w:rPr>
        <w:t xml:space="preserve">. Studies were required to meet </w:t>
      </w:r>
      <w:proofErr w:type="gramStart"/>
      <w:r>
        <w:rPr>
          <w:color w:val="000000"/>
        </w:rPr>
        <w:t>all of</w:t>
      </w:r>
      <w:proofErr w:type="gramEnd"/>
      <w:r>
        <w:rPr>
          <w:color w:val="000000"/>
        </w:rPr>
        <w:t xml:space="preserve"> the following criteria:</w:t>
      </w:r>
    </w:p>
    <w:p w14:paraId="281AC41C" w14:textId="77777777" w:rsidR="00264FEC" w:rsidRDefault="00000000">
      <w:pPr>
        <w:spacing w:after="80" w:line="340" w:lineRule="auto"/>
        <w:ind w:left="640"/>
        <w:jc w:val="both"/>
      </w:pPr>
      <w:r>
        <w:rPr>
          <w:b/>
          <w:bCs/>
          <w:color w:val="000000"/>
        </w:rPr>
        <w:t xml:space="preserve">Population: </w:t>
      </w:r>
      <w:r>
        <w:rPr>
          <w:color w:val="000000"/>
        </w:rPr>
        <w:t>Human participants (healthy volunteers or individuals with neurological conditions including ALS, paralysis, locked-in syndrome, epilepsy, aphasia, or anarthria).</w:t>
      </w:r>
    </w:p>
    <w:p w14:paraId="25E22F14" w14:textId="77777777" w:rsidR="00264FEC" w:rsidRDefault="00000000">
      <w:pPr>
        <w:spacing w:after="80" w:line="340" w:lineRule="auto"/>
        <w:ind w:left="640"/>
        <w:jc w:val="both"/>
      </w:pPr>
      <w:r>
        <w:rPr>
          <w:b/>
          <w:bCs/>
          <w:color w:val="000000"/>
        </w:rPr>
        <w:t xml:space="preserve">Intervention: </w:t>
      </w:r>
      <w:r>
        <w:rPr>
          <w:color w:val="000000"/>
        </w:rPr>
        <w:t>An AI or machine learning computational model applied to decode or reconstruct speech-related output (text, audio, semantic representations, or phoneme/word classifications) from recorded neural signals.</w:t>
      </w:r>
    </w:p>
    <w:p w14:paraId="7134E1FD" w14:textId="77777777" w:rsidR="00264FEC" w:rsidRDefault="00000000">
      <w:pPr>
        <w:spacing w:after="80" w:line="340" w:lineRule="auto"/>
        <w:ind w:left="640"/>
        <w:jc w:val="both"/>
      </w:pPr>
      <w:r>
        <w:rPr>
          <w:b/>
          <w:bCs/>
          <w:color w:val="000000"/>
        </w:rPr>
        <w:t xml:space="preserve">Comparator: </w:t>
      </w:r>
      <w:r>
        <w:rPr>
          <w:color w:val="000000"/>
        </w:rPr>
        <w:t>No comparator required; single-architecture and comparative studies were both eligible.</w:t>
      </w:r>
    </w:p>
    <w:p w14:paraId="14CE8AF1" w14:textId="77777777" w:rsidR="00264FEC" w:rsidRDefault="00000000">
      <w:pPr>
        <w:spacing w:after="80" w:line="340" w:lineRule="auto"/>
        <w:ind w:left="640"/>
        <w:jc w:val="both"/>
      </w:pPr>
      <w:r>
        <w:rPr>
          <w:b/>
          <w:bCs/>
          <w:color w:val="000000"/>
        </w:rPr>
        <w:t xml:space="preserve">Outcomes: </w:t>
      </w:r>
      <w:r>
        <w:rPr>
          <w:color w:val="000000"/>
        </w:rPr>
        <w:t>At least one quantitative performance metric (WER, CER, accuracy, PCC, WPM, BLEU, or listener intelligibility).</w:t>
      </w:r>
    </w:p>
    <w:p w14:paraId="52B505E8" w14:textId="77777777" w:rsidR="00264FEC" w:rsidRDefault="00000000">
      <w:pPr>
        <w:spacing w:after="80" w:line="340" w:lineRule="auto"/>
        <w:ind w:left="640"/>
        <w:jc w:val="both"/>
      </w:pPr>
      <w:r>
        <w:rPr>
          <w:b/>
          <w:bCs/>
          <w:color w:val="000000"/>
        </w:rPr>
        <w:t xml:space="preserve">Study design: </w:t>
      </w:r>
      <w:r>
        <w:rPr>
          <w:color w:val="000000"/>
        </w:rPr>
        <w:t xml:space="preserve">Empirical studies (journal articles, conference proceedings, preprints) published between January 1, </w:t>
      </w:r>
      <w:proofErr w:type="gramStart"/>
      <w:r>
        <w:rPr>
          <w:color w:val="000000"/>
        </w:rPr>
        <w:t>2015</w:t>
      </w:r>
      <w:proofErr w:type="gramEnd"/>
      <w:r>
        <w:rPr>
          <w:color w:val="000000"/>
        </w:rPr>
        <w:t xml:space="preserve"> and April 13, 2026. The 2015 lower boundary captures the modern deep learning era, anchored by Herff and colleagues </w:t>
      </w:r>
      <w:r>
        <w:rPr>
          <w:color w:val="2E75B6"/>
          <w:sz w:val="18"/>
          <w:szCs w:val="18"/>
          <w:vertAlign w:val="superscript"/>
        </w:rPr>
        <w:t>[5]</w:t>
      </w:r>
      <w:r>
        <w:rPr>
          <w:color w:val="000000"/>
        </w:rPr>
        <w:t>. Reviews, editorials, and conference abstracts without full experimental reporting were excluded.</w:t>
      </w:r>
    </w:p>
    <w:p w14:paraId="05B084A1" w14:textId="77777777" w:rsidR="00264FEC" w:rsidRDefault="00000000">
      <w:pPr>
        <w:spacing w:after="160" w:line="348" w:lineRule="auto"/>
        <w:jc w:val="both"/>
      </w:pPr>
      <w:r>
        <w:rPr>
          <w:color w:val="000000"/>
        </w:rPr>
        <w:t>Additional exclusions: studies decoding non-speech neural signals (motor imagery, visual perception, or emotion) where speech decoding was not a primary outcome; studies using exclusively simulated data; and studies where neural signals were used to improve NLP models rather than to decode speech output (reversed decoding direction).</w:t>
      </w:r>
    </w:p>
    <w:p w14:paraId="5FDCC4D1" w14:textId="77777777" w:rsidR="00264FEC" w:rsidRDefault="00000000">
      <w:pPr>
        <w:pStyle w:val="Heading2"/>
      </w:pPr>
      <w:proofErr w:type="gramStart"/>
      <w:r>
        <w:lastRenderedPageBreak/>
        <w:t>2.3  Information</w:t>
      </w:r>
      <w:proofErr w:type="gramEnd"/>
      <w:r>
        <w:t xml:space="preserve"> Sources and Search Strategy</w:t>
      </w:r>
    </w:p>
    <w:p w14:paraId="337765D6" w14:textId="77777777" w:rsidR="00264FEC" w:rsidRDefault="00000000">
      <w:pPr>
        <w:spacing w:after="160" w:line="348" w:lineRule="auto"/>
        <w:jc w:val="both"/>
      </w:pPr>
      <w:r>
        <w:rPr>
          <w:color w:val="000000"/>
        </w:rPr>
        <w:t>Searches were executed across five databases on April 13, 2026: MEDLINE/PubMed, Scopus, IEEE Xplore, Web of Science (Core Collection), and arXiv (</w:t>
      </w:r>
      <w:proofErr w:type="spellStart"/>
      <w:proofErr w:type="gramStart"/>
      <w:r>
        <w:rPr>
          <w:color w:val="000000"/>
        </w:rPr>
        <w:t>cs.LG</w:t>
      </w:r>
      <w:proofErr w:type="spellEnd"/>
      <w:proofErr w:type="gramEnd"/>
      <w:r>
        <w:rPr>
          <w:color w:val="000000"/>
        </w:rPr>
        <w:t xml:space="preserve">, cs.NE, </w:t>
      </w:r>
      <w:proofErr w:type="spellStart"/>
      <w:proofErr w:type="gramStart"/>
      <w:r>
        <w:rPr>
          <w:color w:val="000000"/>
        </w:rPr>
        <w:t>eess.SP</w:t>
      </w:r>
      <w:proofErr w:type="spellEnd"/>
      <w:proofErr w:type="gramEnd"/>
      <w:r>
        <w:rPr>
          <w:color w:val="000000"/>
        </w:rPr>
        <w:t>, q-bio.NC). Three Boolean concept blocks were combined with AND:</w:t>
      </w:r>
    </w:p>
    <w:p w14:paraId="068A8967" w14:textId="77777777" w:rsidR="00264FEC" w:rsidRDefault="00000000">
      <w:pPr>
        <w:spacing w:after="80" w:line="340" w:lineRule="auto"/>
        <w:ind w:left="640"/>
        <w:jc w:val="both"/>
      </w:pPr>
      <w:r>
        <w:rPr>
          <w:b/>
          <w:bCs/>
          <w:color w:val="000000"/>
        </w:rPr>
        <w:t xml:space="preserve">Block 1 — Neural signals: </w:t>
      </w:r>
      <w:r>
        <w:rPr>
          <w:color w:val="000000"/>
        </w:rPr>
        <w:t>("brain-computer interface" OR "BCI" OR "neural decoding" OR "electrocorticography" OR "ECoG" OR "intracortical" OR "sEEG" OR "EEG" OR "MEG" OR "fMRI" OR "sEMG" OR "neuroprosthesis")</w:t>
      </w:r>
    </w:p>
    <w:p w14:paraId="0BC5F2E9" w14:textId="77777777" w:rsidR="00264FEC" w:rsidRDefault="00000000">
      <w:pPr>
        <w:spacing w:after="80" w:line="340" w:lineRule="auto"/>
        <w:ind w:left="640"/>
        <w:jc w:val="both"/>
      </w:pPr>
      <w:r>
        <w:rPr>
          <w:b/>
          <w:bCs/>
          <w:color w:val="000000"/>
        </w:rPr>
        <w:t xml:space="preserve">Block 2 — Speech output: </w:t>
      </w:r>
      <w:r>
        <w:rPr>
          <w:color w:val="000000"/>
        </w:rPr>
        <w:t>("speech decoding" OR "brain-to-speech" OR "brain-to-text" OR "imagined speech" OR "covert speech" OR "attempted speech" OR "silent speech" OR "speech neuroprosthesis" OR "phoneme decoding" OR "language decoding")</w:t>
      </w:r>
    </w:p>
    <w:p w14:paraId="44049ADA" w14:textId="77777777" w:rsidR="00264FEC" w:rsidRDefault="00000000">
      <w:pPr>
        <w:spacing w:after="80" w:line="340" w:lineRule="auto"/>
        <w:ind w:left="640"/>
        <w:jc w:val="both"/>
      </w:pPr>
      <w:r>
        <w:rPr>
          <w:b/>
          <w:bCs/>
          <w:color w:val="000000"/>
        </w:rPr>
        <w:t xml:space="preserve">Block 3 — AI methods: </w:t>
      </w:r>
      <w:r>
        <w:rPr>
          <w:color w:val="000000"/>
        </w:rPr>
        <w:t>("machine learning" OR "deep learning" OR "neural network" OR "convolutional" OR "recurrent" OR "transformer" OR "self-supervised" OR "encoder-decoder" OR "large language model" OR "transfer learning")</w:t>
      </w:r>
    </w:p>
    <w:p w14:paraId="7FB57E99" w14:textId="77777777" w:rsidR="00264FEC" w:rsidRDefault="00000000">
      <w:pPr>
        <w:spacing w:after="160" w:line="348" w:lineRule="auto"/>
        <w:jc w:val="both"/>
      </w:pPr>
      <w:r>
        <w:rPr>
          <w:color w:val="000000"/>
        </w:rPr>
        <w:t xml:space="preserve">The full PubMed string with </w:t>
      </w:r>
      <w:proofErr w:type="spellStart"/>
      <w:r>
        <w:rPr>
          <w:color w:val="000000"/>
        </w:rPr>
        <w:t>MeSH</w:t>
      </w:r>
      <w:proofErr w:type="spellEnd"/>
      <w:r>
        <w:rPr>
          <w:color w:val="000000"/>
        </w:rPr>
        <w:t xml:space="preserve"> terms is provided in Appendix A. Forward and backward citation chaining was conducted on 15 landmark studies identified during protocol development </w:t>
      </w:r>
      <w:r>
        <w:rPr>
          <w:color w:val="2E75B6"/>
          <w:sz w:val="18"/>
          <w:szCs w:val="18"/>
          <w:vertAlign w:val="superscript"/>
        </w:rPr>
        <w:t>[5][6][7]</w:t>
      </w:r>
      <w:r>
        <w:rPr>
          <w:color w:val="000000"/>
        </w:rPr>
        <w:t>. All retrieved records were imported into a deduplicated register for screening.</w:t>
      </w:r>
    </w:p>
    <w:p w14:paraId="70C6B8E0" w14:textId="77777777" w:rsidR="00264FEC" w:rsidRDefault="00000000">
      <w:pPr>
        <w:pStyle w:val="Heading2"/>
      </w:pPr>
      <w:proofErr w:type="gramStart"/>
      <w:r>
        <w:t>2.4  Study</w:t>
      </w:r>
      <w:proofErr w:type="gramEnd"/>
      <w:r>
        <w:t xml:space="preserve"> Selection Process</w:t>
      </w:r>
    </w:p>
    <w:p w14:paraId="12AF6EFA" w14:textId="77777777" w:rsidR="00264FEC" w:rsidRDefault="00000000">
      <w:pPr>
        <w:spacing w:after="160" w:line="348" w:lineRule="auto"/>
        <w:jc w:val="both"/>
      </w:pPr>
      <w:r>
        <w:rPr>
          <w:color w:val="000000"/>
        </w:rPr>
        <w:t xml:space="preserve">Selection proceeded in two stages, each performed independently by both authors (B.I.A. and O.O.) with consensus adjudication of discrepancies </w:t>
      </w:r>
      <w:r>
        <w:rPr>
          <w:color w:val="2E75B6"/>
          <w:sz w:val="18"/>
          <w:szCs w:val="18"/>
          <w:vertAlign w:val="superscript"/>
        </w:rPr>
        <w:t>[1]</w:t>
      </w:r>
      <w:r>
        <w:rPr>
          <w:color w:val="000000"/>
        </w:rPr>
        <w:t xml:space="preserve">. Stage 1: title and abstract screening of all deduplicated records. Stage 2: full-text assessment of all records classified as Include or Uncertain by either reviewer. Reasons for full-text exclusion were recorded across six pre-specified categories: wrong population; wrong intervention (no AI decoding model); wrong outcome (no quantitative metric); out of scope (non-speech signal); wrong publication type; and date out of range. Inter-rater reliability was quantified using Cohen's kappa </w:t>
      </w:r>
      <w:r>
        <w:rPr>
          <w:color w:val="2E75B6"/>
          <w:sz w:val="18"/>
          <w:szCs w:val="18"/>
          <w:vertAlign w:val="superscript"/>
        </w:rPr>
        <w:t>[8]</w:t>
      </w:r>
      <w:r>
        <w:rPr>
          <w:color w:val="000000"/>
        </w:rPr>
        <w:t xml:space="preserve"> at each stage. The complete selection process is documented in the PRISMA 2020 flow diagram (Fig. 1).</w:t>
      </w:r>
    </w:p>
    <w:p w14:paraId="6F411B33" w14:textId="77777777" w:rsidR="00264FEC" w:rsidRDefault="00000000">
      <w:pPr>
        <w:pStyle w:val="Heading2"/>
      </w:pPr>
      <w:proofErr w:type="gramStart"/>
      <w:r>
        <w:t>2.5  Data</w:t>
      </w:r>
      <w:proofErr w:type="gramEnd"/>
      <w:r>
        <w:t xml:space="preserve"> Extraction</w:t>
      </w:r>
    </w:p>
    <w:p w14:paraId="2FBD5E14" w14:textId="77777777" w:rsidR="00264FEC" w:rsidRDefault="00000000">
      <w:pPr>
        <w:spacing w:after="160" w:line="348" w:lineRule="auto"/>
        <w:jc w:val="both"/>
      </w:pPr>
      <w:r>
        <w:rPr>
          <w:color w:val="000000"/>
        </w:rPr>
        <w:t xml:space="preserve">A structured extraction form was developed a priori and pilot-tested on five randomly selected studies. Twelve variables were extracted for each included study: bibliographic details; neural recording modality; participant count and clinical status; decoding task type (overt, imagined, attempted, or perceived); vocabulary type (closed-set or open-vocabulary); output type (text, audio, semantic, or classification label); AI architecture class; language model integration (yes/no); primary performance metric and value; generalization type (none, cross-participant, cross-session, cross-language, cross-modal, or multiple); real-time evaluation (yes/no); and open code or data availability (yes/no). For </w:t>
      </w:r>
      <w:r>
        <w:rPr>
          <w:color w:val="000000"/>
        </w:rPr>
        <w:lastRenderedPageBreak/>
        <w:t>studies reporting multiple performance values under different vocabulary conditions, all values were extracted with experimental conditions documented, to enable the benchmark comparability analysis in Section 5.5.</w:t>
      </w:r>
    </w:p>
    <w:p w14:paraId="0ECEE3FC" w14:textId="77777777" w:rsidR="00264FEC" w:rsidRDefault="00000000">
      <w:pPr>
        <w:pStyle w:val="Heading2"/>
      </w:pPr>
      <w:proofErr w:type="gramStart"/>
      <w:r>
        <w:t>2.6  Quality</w:t>
      </w:r>
      <w:proofErr w:type="gramEnd"/>
      <w:r>
        <w:t xml:space="preserve"> Assessment</w:t>
      </w:r>
    </w:p>
    <w:p w14:paraId="320CEF4C" w14:textId="77777777" w:rsidR="00264FEC" w:rsidRDefault="00000000">
      <w:pPr>
        <w:spacing w:after="160" w:line="348" w:lineRule="auto"/>
        <w:jc w:val="both"/>
      </w:pPr>
      <w:r>
        <w:rPr>
          <w:color w:val="000000"/>
        </w:rPr>
        <w:t xml:space="preserve">No single validated quality tool applies across the heterogeneous study designs in this review — standard instruments such as the Cochrane Risk of Bias tool </w:t>
      </w:r>
      <w:r>
        <w:rPr>
          <w:color w:val="2E75B6"/>
          <w:sz w:val="18"/>
          <w:szCs w:val="18"/>
          <w:vertAlign w:val="superscript"/>
        </w:rPr>
        <w:t>[9]</w:t>
      </w:r>
      <w:r>
        <w:rPr>
          <w:color w:val="000000"/>
        </w:rPr>
        <w:t xml:space="preserve"> are designed for randomized controlled trials. An adapted seven-item methodological quality checklist was developed, drawing on criteria for evaluating AI-based biomedical studies </w:t>
      </w:r>
      <w:r>
        <w:rPr>
          <w:color w:val="2E75B6"/>
          <w:sz w:val="18"/>
          <w:szCs w:val="18"/>
          <w:vertAlign w:val="superscript"/>
        </w:rPr>
        <w:t>[10]</w:t>
      </w:r>
      <w:r>
        <w:rPr>
          <w:color w:val="000000"/>
        </w:rPr>
        <w:t xml:space="preserve"> and neural decoding research </w:t>
      </w:r>
      <w:r>
        <w:rPr>
          <w:color w:val="2E75B6"/>
          <w:sz w:val="18"/>
          <w:szCs w:val="18"/>
          <w:vertAlign w:val="superscript"/>
        </w:rPr>
        <w:t>[11][12]</w:t>
      </w:r>
      <w:r>
        <w:rPr>
          <w:color w:val="000000"/>
        </w:rPr>
        <w:t>. Each item was scored as met (1), partially met (0.5), or not met (0):</w:t>
      </w:r>
    </w:p>
    <w:p w14:paraId="35450BA7" w14:textId="77777777" w:rsidR="00264FEC" w:rsidRDefault="00000000">
      <w:pPr>
        <w:spacing w:after="80" w:line="340" w:lineRule="auto"/>
        <w:ind w:left="640"/>
        <w:jc w:val="both"/>
      </w:pPr>
      <w:r>
        <w:rPr>
          <w:b/>
          <w:bCs/>
          <w:color w:val="000000"/>
        </w:rPr>
        <w:t xml:space="preserve">Q1: </w:t>
      </w:r>
      <w:r>
        <w:rPr>
          <w:color w:val="000000"/>
        </w:rPr>
        <w:t>Research question clearly stated.</w:t>
      </w:r>
    </w:p>
    <w:p w14:paraId="34DCE5BA" w14:textId="77777777" w:rsidR="00264FEC" w:rsidRDefault="00000000">
      <w:pPr>
        <w:spacing w:after="80" w:line="340" w:lineRule="auto"/>
        <w:ind w:left="640"/>
        <w:jc w:val="both"/>
      </w:pPr>
      <w:r>
        <w:rPr>
          <w:b/>
          <w:bCs/>
          <w:color w:val="000000"/>
        </w:rPr>
        <w:t xml:space="preserve">Q2: </w:t>
      </w:r>
      <w:r>
        <w:rPr>
          <w:color w:val="000000"/>
        </w:rPr>
        <w:t>Participant characteristics described in sufficient detail.</w:t>
      </w:r>
    </w:p>
    <w:p w14:paraId="1965E52B" w14:textId="77777777" w:rsidR="00264FEC" w:rsidRDefault="00000000">
      <w:pPr>
        <w:spacing w:after="80" w:line="340" w:lineRule="auto"/>
        <w:ind w:left="640"/>
        <w:jc w:val="both"/>
      </w:pPr>
      <w:r>
        <w:rPr>
          <w:b/>
          <w:bCs/>
          <w:color w:val="000000"/>
        </w:rPr>
        <w:t xml:space="preserve">Q3: </w:t>
      </w:r>
      <w:r>
        <w:rPr>
          <w:color w:val="000000"/>
        </w:rPr>
        <w:t>Neural recording paradigm and acquisition described reproducibly.</w:t>
      </w:r>
    </w:p>
    <w:p w14:paraId="751558DE" w14:textId="77777777" w:rsidR="00264FEC" w:rsidRDefault="00000000">
      <w:pPr>
        <w:spacing w:after="80" w:line="340" w:lineRule="auto"/>
        <w:ind w:left="640"/>
        <w:jc w:val="both"/>
      </w:pPr>
      <w:r>
        <w:rPr>
          <w:b/>
          <w:bCs/>
          <w:color w:val="000000"/>
        </w:rPr>
        <w:t xml:space="preserve">Q4: </w:t>
      </w:r>
      <w:r>
        <w:rPr>
          <w:color w:val="000000"/>
        </w:rPr>
        <w:t>AI architecture described with sufficient detail to enable replication.</w:t>
      </w:r>
    </w:p>
    <w:p w14:paraId="4EFF29F8" w14:textId="77777777" w:rsidR="00264FEC" w:rsidRDefault="00000000">
      <w:pPr>
        <w:spacing w:after="80" w:line="340" w:lineRule="auto"/>
        <w:ind w:left="640"/>
        <w:jc w:val="both"/>
      </w:pPr>
      <w:r>
        <w:rPr>
          <w:b/>
          <w:bCs/>
          <w:color w:val="000000"/>
        </w:rPr>
        <w:t xml:space="preserve">Q5: </w:t>
      </w:r>
      <w:r>
        <w:rPr>
          <w:color w:val="000000"/>
        </w:rPr>
        <w:t>Primary metric pre-specified and reported with variability measures (SD, CI, or participant range).</w:t>
      </w:r>
    </w:p>
    <w:p w14:paraId="2DF9E989" w14:textId="77777777" w:rsidR="00264FEC" w:rsidRDefault="00000000">
      <w:pPr>
        <w:spacing w:after="80" w:line="340" w:lineRule="auto"/>
        <w:ind w:left="640"/>
        <w:jc w:val="both"/>
      </w:pPr>
      <w:r>
        <w:rPr>
          <w:b/>
          <w:bCs/>
          <w:color w:val="000000"/>
        </w:rPr>
        <w:t xml:space="preserve">Q6: </w:t>
      </w:r>
      <w:r>
        <w:rPr>
          <w:color w:val="000000"/>
        </w:rPr>
        <w:t>Performance compared to a baseline or control condition.</w:t>
      </w:r>
    </w:p>
    <w:p w14:paraId="6780E976" w14:textId="77777777" w:rsidR="00264FEC" w:rsidRDefault="00000000">
      <w:pPr>
        <w:spacing w:after="80" w:line="340" w:lineRule="auto"/>
        <w:ind w:left="640"/>
        <w:jc w:val="both"/>
      </w:pPr>
      <w:r>
        <w:rPr>
          <w:b/>
          <w:bCs/>
          <w:color w:val="000000"/>
        </w:rPr>
        <w:t xml:space="preserve">Q7: </w:t>
      </w:r>
      <w:r>
        <w:rPr>
          <w:color w:val="000000"/>
        </w:rPr>
        <w:t>Risk of performance overestimation (data leakage, acoustic contamination, or within-session CV inflation) explicitly discussed or mitigated.</w:t>
      </w:r>
    </w:p>
    <w:p w14:paraId="578932A6" w14:textId="77777777" w:rsidR="00264FEC" w:rsidRDefault="00000000">
      <w:pPr>
        <w:spacing w:after="160" w:line="348" w:lineRule="auto"/>
        <w:jc w:val="both"/>
      </w:pPr>
      <w:r>
        <w:rPr>
          <w:color w:val="000000"/>
        </w:rPr>
        <w:t>Scores ranged from 0 to 7; studies were classified as high (≥5.5), moderate (3.5–5.0), or low quality (&lt;3.5). No studies were excluded solely on quality grounds. Full quality results appear in Appendix D.</w:t>
      </w:r>
    </w:p>
    <w:p w14:paraId="456901E4" w14:textId="77777777" w:rsidR="00264FEC" w:rsidRDefault="00000000">
      <w:pPr>
        <w:pStyle w:val="Heading2"/>
      </w:pPr>
      <w:proofErr w:type="gramStart"/>
      <w:r>
        <w:t>2.7  Data</w:t>
      </w:r>
      <w:proofErr w:type="gramEnd"/>
      <w:r>
        <w:t xml:space="preserve"> Synthesis Approach</w:t>
      </w:r>
    </w:p>
    <w:p w14:paraId="687A5DC5" w14:textId="77777777" w:rsidR="00264FEC" w:rsidRDefault="00000000">
      <w:pPr>
        <w:spacing w:after="160" w:line="348" w:lineRule="auto"/>
        <w:jc w:val="both"/>
      </w:pPr>
      <w:r>
        <w:rPr>
          <w:color w:val="000000"/>
        </w:rPr>
        <w:t xml:space="preserve">The heterogeneity of modalities, architectures, tasks, populations, and metrics across the 71 included studies precluded statistical meta-analysis — a conclusion supported by the benchmark comparability analysis in Section 5.5 and Table 5 of this review, and consistent with published guidance on evidence synthesis for heterogeneous AI studies </w:t>
      </w:r>
      <w:r>
        <w:rPr>
          <w:color w:val="2E75B6"/>
          <w:sz w:val="18"/>
          <w:szCs w:val="18"/>
          <w:vertAlign w:val="superscript"/>
        </w:rPr>
        <w:t>[13]</w:t>
      </w:r>
      <w:r>
        <w:rPr>
          <w:color w:val="000000"/>
        </w:rPr>
        <w:t xml:space="preserve">. Findings were synthesized using structured narrative synthesis </w:t>
      </w:r>
      <w:r>
        <w:rPr>
          <w:color w:val="2E75B6"/>
          <w:sz w:val="18"/>
          <w:szCs w:val="18"/>
          <w:vertAlign w:val="superscript"/>
        </w:rPr>
        <w:t>[14]</w:t>
      </w:r>
      <w:r>
        <w:rPr>
          <w:color w:val="000000"/>
        </w:rPr>
        <w:t>, supplemented by: a modality comparison matrix (Table 1); core performance benchmarks (Table 2); AI architecture summary (Table 3); generalization evidence summary (Table 4); benchmark comparability analysis (Table 5); a study distribution chart (Fig. 5); an architecture evolution timeline (Fig. 2); a WER trajectory figure (Fig. 3); and a modality-task performance heatmap (Fig. 4).</w:t>
      </w:r>
    </w:p>
    <w:p w14:paraId="396C3585" w14:textId="77777777" w:rsidR="00264FEC" w:rsidRDefault="00264FEC">
      <w:pPr>
        <w:pBdr>
          <w:bottom w:val="single" w:sz="4" w:space="1" w:color="BDD7EE"/>
        </w:pBdr>
        <w:spacing w:after="180"/>
      </w:pPr>
    </w:p>
    <w:p w14:paraId="074DF8D3" w14:textId="77777777" w:rsidR="00264FEC" w:rsidRDefault="00000000">
      <w:pPr>
        <w:spacing w:before="260" w:after="120"/>
      </w:pPr>
      <w:r>
        <w:rPr>
          <w:b/>
          <w:bCs/>
          <w:color w:val="1F4E79"/>
          <w:sz w:val="24"/>
          <w:szCs w:val="24"/>
        </w:rPr>
        <w:t>References</w:t>
      </w:r>
    </w:p>
    <w:p w14:paraId="554F7165" w14:textId="77777777" w:rsidR="00264FEC" w:rsidRDefault="00000000">
      <w:pPr>
        <w:spacing w:before="100" w:line="296" w:lineRule="auto"/>
      </w:pPr>
      <w:r>
        <w:rPr>
          <w:color w:val="595959"/>
          <w:sz w:val="18"/>
          <w:szCs w:val="18"/>
        </w:rPr>
        <w:t>Section 2 references — to be renumbered in the final manuscript pass.</w:t>
      </w:r>
    </w:p>
    <w:p w14:paraId="63BE191D" w14:textId="77777777" w:rsidR="00264FEC" w:rsidRDefault="00264FEC">
      <w:pPr>
        <w:spacing w:after="60"/>
      </w:pPr>
    </w:p>
    <w:p w14:paraId="0ED65D2E" w14:textId="77777777" w:rsidR="00264FEC" w:rsidRDefault="00000000">
      <w:pPr>
        <w:spacing w:after="80" w:line="296" w:lineRule="auto"/>
        <w:ind w:left="480" w:hanging="480"/>
      </w:pPr>
      <w:r>
        <w:rPr>
          <w:b/>
          <w:bCs/>
          <w:color w:val="2E75B6"/>
          <w:sz w:val="18"/>
          <w:szCs w:val="18"/>
        </w:rPr>
        <w:t>[1]</w:t>
      </w:r>
      <w:r>
        <w:rPr>
          <w:color w:val="000000"/>
          <w:sz w:val="18"/>
          <w:szCs w:val="18"/>
        </w:rPr>
        <w:tab/>
        <w:t xml:space="preserve">M. J. Page et al., "The PRISMA 2020 statement: An updated guideline for reporting systematic reviews," BMJ, vol. 372, Art. no. n71, Mar. 2021, </w:t>
      </w:r>
      <w:proofErr w:type="spellStart"/>
      <w:r>
        <w:rPr>
          <w:color w:val="000000"/>
          <w:sz w:val="18"/>
          <w:szCs w:val="18"/>
        </w:rPr>
        <w:t>doi</w:t>
      </w:r>
      <w:proofErr w:type="spellEnd"/>
      <w:r>
        <w:rPr>
          <w:color w:val="000000"/>
          <w:sz w:val="18"/>
          <w:szCs w:val="18"/>
        </w:rPr>
        <w:t>: 10.1136/</w:t>
      </w:r>
      <w:proofErr w:type="gramStart"/>
      <w:r>
        <w:rPr>
          <w:color w:val="000000"/>
          <w:sz w:val="18"/>
          <w:szCs w:val="18"/>
        </w:rPr>
        <w:t>bmj.n</w:t>
      </w:r>
      <w:proofErr w:type="gramEnd"/>
      <w:r>
        <w:rPr>
          <w:color w:val="000000"/>
          <w:sz w:val="18"/>
          <w:szCs w:val="18"/>
        </w:rPr>
        <w:t>71.</w:t>
      </w:r>
    </w:p>
    <w:p w14:paraId="50C179EA" w14:textId="77777777" w:rsidR="00264FEC" w:rsidRDefault="00000000">
      <w:pPr>
        <w:spacing w:after="80" w:line="296" w:lineRule="auto"/>
        <w:ind w:left="480" w:hanging="480"/>
      </w:pPr>
      <w:r>
        <w:rPr>
          <w:b/>
          <w:bCs/>
          <w:color w:val="2E75B6"/>
          <w:sz w:val="18"/>
          <w:szCs w:val="18"/>
        </w:rPr>
        <w:t>[2]</w:t>
      </w:r>
      <w:r>
        <w:rPr>
          <w:color w:val="000000"/>
          <w:sz w:val="18"/>
          <w:szCs w:val="18"/>
        </w:rPr>
        <w:tab/>
        <w:t xml:space="preserve">L. </w:t>
      </w:r>
      <w:proofErr w:type="spellStart"/>
      <w:r>
        <w:rPr>
          <w:color w:val="000000"/>
          <w:sz w:val="18"/>
          <w:szCs w:val="18"/>
        </w:rPr>
        <w:t>Shamseer</w:t>
      </w:r>
      <w:proofErr w:type="spellEnd"/>
      <w:r>
        <w:rPr>
          <w:color w:val="000000"/>
          <w:sz w:val="18"/>
          <w:szCs w:val="18"/>
        </w:rPr>
        <w:t xml:space="preserve"> et al., "Preferred reporting items for systematic review and meta-analysis protocols (PRISMA-P) 2015: Elaboration and explanation," BMJ, vol. 349, Art. no. g7647, Jan. 2015, </w:t>
      </w:r>
      <w:proofErr w:type="spellStart"/>
      <w:r>
        <w:rPr>
          <w:color w:val="000000"/>
          <w:sz w:val="18"/>
          <w:szCs w:val="18"/>
        </w:rPr>
        <w:t>doi</w:t>
      </w:r>
      <w:proofErr w:type="spellEnd"/>
      <w:r>
        <w:rPr>
          <w:color w:val="000000"/>
          <w:sz w:val="18"/>
          <w:szCs w:val="18"/>
        </w:rPr>
        <w:t>: 10.1136/</w:t>
      </w:r>
      <w:proofErr w:type="gramStart"/>
      <w:r>
        <w:rPr>
          <w:color w:val="000000"/>
          <w:sz w:val="18"/>
          <w:szCs w:val="18"/>
        </w:rPr>
        <w:t>bmj.g</w:t>
      </w:r>
      <w:proofErr w:type="gramEnd"/>
      <w:r>
        <w:rPr>
          <w:color w:val="000000"/>
          <w:sz w:val="18"/>
          <w:szCs w:val="18"/>
        </w:rPr>
        <w:t>7647.</w:t>
      </w:r>
    </w:p>
    <w:p w14:paraId="296ED56F" w14:textId="77777777" w:rsidR="00264FEC" w:rsidRDefault="00000000">
      <w:pPr>
        <w:spacing w:after="80" w:line="296" w:lineRule="auto"/>
        <w:ind w:left="480" w:hanging="480"/>
      </w:pPr>
      <w:r>
        <w:rPr>
          <w:b/>
          <w:bCs/>
          <w:color w:val="2E75B6"/>
          <w:sz w:val="18"/>
          <w:szCs w:val="18"/>
        </w:rPr>
        <w:t>[3]</w:t>
      </w:r>
      <w:r>
        <w:rPr>
          <w:color w:val="000000"/>
          <w:sz w:val="18"/>
          <w:szCs w:val="18"/>
        </w:rPr>
        <w:tab/>
        <w:t>National Institute for Health Research, "PROSPERO: International Prospective Register of Systematic Reviews," University of York, York, UK. [Online]. Available: https://www.crd.york.ac.uk/prospero/</w:t>
      </w:r>
    </w:p>
    <w:p w14:paraId="1BFECB7C" w14:textId="77777777" w:rsidR="00264FEC" w:rsidRDefault="00000000">
      <w:pPr>
        <w:spacing w:after="80" w:line="296" w:lineRule="auto"/>
        <w:ind w:left="480" w:hanging="480"/>
      </w:pPr>
      <w:r>
        <w:rPr>
          <w:b/>
          <w:bCs/>
          <w:color w:val="2E75B6"/>
          <w:sz w:val="18"/>
          <w:szCs w:val="18"/>
        </w:rPr>
        <w:t>[4]</w:t>
      </w:r>
      <w:r>
        <w:rPr>
          <w:color w:val="000000"/>
          <w:sz w:val="18"/>
          <w:szCs w:val="18"/>
        </w:rPr>
        <w:tab/>
        <w:t>W. S. Richardson, M. C. Wilson, J. Nishikawa, and R. S. Hayward, "The well-built clinical question: A key to evidence-based decisions," ACP J. Club, vol. 123, no. 3, pp. A12–A13, Nov.–Dec. 1995.</w:t>
      </w:r>
    </w:p>
    <w:p w14:paraId="18D10474" w14:textId="77777777" w:rsidR="00264FEC" w:rsidRDefault="00000000">
      <w:pPr>
        <w:spacing w:after="80" w:line="296" w:lineRule="auto"/>
        <w:ind w:left="480" w:hanging="480"/>
      </w:pPr>
      <w:r>
        <w:rPr>
          <w:b/>
          <w:bCs/>
          <w:color w:val="2E75B6"/>
          <w:sz w:val="18"/>
          <w:szCs w:val="18"/>
        </w:rPr>
        <w:t>[5]</w:t>
      </w:r>
      <w:r>
        <w:rPr>
          <w:color w:val="000000"/>
          <w:sz w:val="18"/>
          <w:szCs w:val="18"/>
        </w:rPr>
        <w:tab/>
        <w:t xml:space="preserve">C. Herff et al., "Brain-to-text: Decoding spoken phrases from phonetic representations in the brain," Front. Neurosci., vol. 9, Art. no. 217, Jun. 2015, </w:t>
      </w:r>
      <w:proofErr w:type="spellStart"/>
      <w:r>
        <w:rPr>
          <w:color w:val="000000"/>
          <w:sz w:val="18"/>
          <w:szCs w:val="18"/>
        </w:rPr>
        <w:t>doi</w:t>
      </w:r>
      <w:proofErr w:type="spellEnd"/>
      <w:r>
        <w:rPr>
          <w:color w:val="000000"/>
          <w:sz w:val="18"/>
          <w:szCs w:val="18"/>
        </w:rPr>
        <w:t>: 10.3389/fnins.2015.00217.</w:t>
      </w:r>
    </w:p>
    <w:p w14:paraId="25A496A8" w14:textId="77777777" w:rsidR="00264FEC" w:rsidRDefault="00000000">
      <w:pPr>
        <w:spacing w:after="80" w:line="296" w:lineRule="auto"/>
        <w:ind w:left="480" w:hanging="480"/>
      </w:pPr>
      <w:r>
        <w:rPr>
          <w:b/>
          <w:bCs/>
          <w:color w:val="2E75B6"/>
          <w:sz w:val="18"/>
          <w:szCs w:val="18"/>
        </w:rPr>
        <w:t>[6]</w:t>
      </w:r>
      <w:r>
        <w:rPr>
          <w:color w:val="000000"/>
          <w:sz w:val="18"/>
          <w:szCs w:val="18"/>
        </w:rPr>
        <w:tab/>
        <w:t xml:space="preserve">D. A. Moses et al., "Neuroprosthesis for decoding speech in a paralyzed person with anarthria," N. Engl. J. Med., vol. 385, no. 3, pp. 217–227, Jul. 2021, </w:t>
      </w:r>
      <w:proofErr w:type="spellStart"/>
      <w:r>
        <w:rPr>
          <w:color w:val="000000"/>
          <w:sz w:val="18"/>
          <w:szCs w:val="18"/>
        </w:rPr>
        <w:t>doi</w:t>
      </w:r>
      <w:proofErr w:type="spellEnd"/>
      <w:r>
        <w:rPr>
          <w:color w:val="000000"/>
          <w:sz w:val="18"/>
          <w:szCs w:val="18"/>
        </w:rPr>
        <w:t>: 10.1056/NEJMoa2119271.</w:t>
      </w:r>
    </w:p>
    <w:p w14:paraId="36346D92" w14:textId="77777777" w:rsidR="00264FEC" w:rsidRDefault="00000000">
      <w:pPr>
        <w:spacing w:after="80" w:line="296" w:lineRule="auto"/>
        <w:ind w:left="480" w:hanging="480"/>
      </w:pPr>
      <w:r>
        <w:rPr>
          <w:b/>
          <w:bCs/>
          <w:color w:val="2E75B6"/>
          <w:sz w:val="18"/>
          <w:szCs w:val="18"/>
        </w:rPr>
        <w:t>[7]</w:t>
      </w:r>
      <w:r>
        <w:rPr>
          <w:color w:val="000000"/>
          <w:sz w:val="18"/>
          <w:szCs w:val="18"/>
        </w:rPr>
        <w:tab/>
        <w:t xml:space="preserve">F. R. Willett et al., "A high-performance speech neuroprosthesis," Nature, vol. 620, pp. 1031–1036, Aug. 2023, </w:t>
      </w:r>
      <w:proofErr w:type="spellStart"/>
      <w:r>
        <w:rPr>
          <w:color w:val="000000"/>
          <w:sz w:val="18"/>
          <w:szCs w:val="18"/>
        </w:rPr>
        <w:t>doi</w:t>
      </w:r>
      <w:proofErr w:type="spellEnd"/>
      <w:r>
        <w:rPr>
          <w:color w:val="000000"/>
          <w:sz w:val="18"/>
          <w:szCs w:val="18"/>
        </w:rPr>
        <w:t>: 10.1038/s41586-023-06377-x.</w:t>
      </w:r>
    </w:p>
    <w:p w14:paraId="145C38E8" w14:textId="77777777" w:rsidR="00264FEC" w:rsidRDefault="00000000">
      <w:pPr>
        <w:spacing w:after="80" w:line="296" w:lineRule="auto"/>
        <w:ind w:left="480" w:hanging="480"/>
      </w:pPr>
      <w:r>
        <w:rPr>
          <w:b/>
          <w:bCs/>
          <w:color w:val="2E75B6"/>
          <w:sz w:val="18"/>
          <w:szCs w:val="18"/>
        </w:rPr>
        <w:t>[8]</w:t>
      </w:r>
      <w:r>
        <w:rPr>
          <w:color w:val="000000"/>
          <w:sz w:val="18"/>
          <w:szCs w:val="18"/>
        </w:rPr>
        <w:tab/>
        <w:t xml:space="preserve">J. Cohen, "A coefficient of agreement for nominal scales," Educ. Psychol. Meas., vol. 20, no. 1, pp. 37–46, Apr. 1960, </w:t>
      </w:r>
      <w:proofErr w:type="spellStart"/>
      <w:r>
        <w:rPr>
          <w:color w:val="000000"/>
          <w:sz w:val="18"/>
          <w:szCs w:val="18"/>
        </w:rPr>
        <w:t>doi</w:t>
      </w:r>
      <w:proofErr w:type="spellEnd"/>
      <w:r>
        <w:rPr>
          <w:color w:val="000000"/>
          <w:sz w:val="18"/>
          <w:szCs w:val="18"/>
        </w:rPr>
        <w:t>: 10.1177/001316446002000104.</w:t>
      </w:r>
    </w:p>
    <w:p w14:paraId="30FFDEF8" w14:textId="77777777" w:rsidR="00264FEC" w:rsidRDefault="00000000">
      <w:pPr>
        <w:spacing w:after="80" w:line="296" w:lineRule="auto"/>
        <w:ind w:left="480" w:hanging="480"/>
      </w:pPr>
      <w:r>
        <w:rPr>
          <w:b/>
          <w:bCs/>
          <w:color w:val="2E75B6"/>
          <w:sz w:val="18"/>
          <w:szCs w:val="18"/>
        </w:rPr>
        <w:t>[9]</w:t>
      </w:r>
      <w:r>
        <w:rPr>
          <w:color w:val="000000"/>
          <w:sz w:val="18"/>
          <w:szCs w:val="18"/>
        </w:rPr>
        <w:tab/>
        <w:t>J. P. T. Higgins et al., "A revised tool to assess risk of bias in randomized trials," Cochrane Database Syst. Rev., Suppl. 1, pp. 29–31, 2016.</w:t>
      </w:r>
    </w:p>
    <w:p w14:paraId="63199CE5" w14:textId="77777777" w:rsidR="00264FEC" w:rsidRDefault="00000000">
      <w:pPr>
        <w:spacing w:after="80" w:line="296" w:lineRule="auto"/>
        <w:ind w:left="480" w:hanging="480"/>
      </w:pPr>
      <w:r>
        <w:rPr>
          <w:b/>
          <w:bCs/>
          <w:color w:val="2E75B6"/>
          <w:sz w:val="18"/>
          <w:szCs w:val="18"/>
        </w:rPr>
        <w:t>[10]</w:t>
      </w:r>
      <w:r>
        <w:rPr>
          <w:color w:val="000000"/>
          <w:sz w:val="18"/>
          <w:szCs w:val="18"/>
        </w:rPr>
        <w:tab/>
        <w:t xml:space="preserve">G. S. Collins, J. B. Reitsma, D. G. Altman, and K. G. Moons, "Transparent reporting of a multivariable prediction model for individual prognosis or diagnosis (TRIPOD)," Ann. Intern. Med., vol. 162, no. 1, pp. 55–63, Jan. 2015, </w:t>
      </w:r>
      <w:proofErr w:type="spellStart"/>
      <w:r>
        <w:rPr>
          <w:color w:val="000000"/>
          <w:sz w:val="18"/>
          <w:szCs w:val="18"/>
        </w:rPr>
        <w:t>doi</w:t>
      </w:r>
      <w:proofErr w:type="spellEnd"/>
      <w:r>
        <w:rPr>
          <w:color w:val="000000"/>
          <w:sz w:val="18"/>
          <w:szCs w:val="18"/>
        </w:rPr>
        <w:t>: 10.7326/M14-0697.</w:t>
      </w:r>
    </w:p>
    <w:p w14:paraId="68A4DDFF" w14:textId="77777777" w:rsidR="00264FEC" w:rsidRDefault="00000000">
      <w:pPr>
        <w:spacing w:after="80" w:line="296" w:lineRule="auto"/>
        <w:ind w:left="480" w:hanging="480"/>
      </w:pPr>
      <w:r>
        <w:rPr>
          <w:b/>
          <w:bCs/>
          <w:color w:val="2E75B6"/>
          <w:sz w:val="18"/>
          <w:szCs w:val="18"/>
        </w:rPr>
        <w:t>[11]</w:t>
      </w:r>
      <w:r>
        <w:rPr>
          <w:color w:val="000000"/>
          <w:sz w:val="18"/>
          <w:szCs w:val="18"/>
        </w:rPr>
        <w:tab/>
        <w:t xml:space="preserve">J. T. Panachakel and A. G. Ramakrishnan, "Decoding covert speech from EEG — A comprehensive review," Front. Neurosci., vol. 15, Art. no. 642251, Apr. 2021, </w:t>
      </w:r>
      <w:proofErr w:type="spellStart"/>
      <w:r>
        <w:rPr>
          <w:color w:val="000000"/>
          <w:sz w:val="18"/>
          <w:szCs w:val="18"/>
        </w:rPr>
        <w:t>doi</w:t>
      </w:r>
      <w:proofErr w:type="spellEnd"/>
      <w:r>
        <w:rPr>
          <w:color w:val="000000"/>
          <w:sz w:val="18"/>
          <w:szCs w:val="18"/>
        </w:rPr>
        <w:t>: 10.3389/fnins.2021.642251.</w:t>
      </w:r>
    </w:p>
    <w:p w14:paraId="17E5738E" w14:textId="77777777" w:rsidR="00264FEC" w:rsidRDefault="00000000">
      <w:pPr>
        <w:spacing w:after="80" w:line="296" w:lineRule="auto"/>
        <w:ind w:left="480" w:hanging="480"/>
      </w:pPr>
      <w:r>
        <w:rPr>
          <w:b/>
          <w:bCs/>
          <w:color w:val="2E75B6"/>
          <w:sz w:val="18"/>
          <w:szCs w:val="18"/>
        </w:rPr>
        <w:t>[12]</w:t>
      </w:r>
      <w:r>
        <w:rPr>
          <w:color w:val="000000"/>
          <w:sz w:val="18"/>
          <w:szCs w:val="18"/>
        </w:rPr>
        <w:tab/>
        <w:t xml:space="preserve">D. Lopez-Bernal et al., "A state-of-the-art review of EEG-based imagined speech decoding," Front. Hum. Neurosci., vol. 16, Art. no. 867281, May 2022, </w:t>
      </w:r>
      <w:proofErr w:type="spellStart"/>
      <w:r>
        <w:rPr>
          <w:color w:val="000000"/>
          <w:sz w:val="18"/>
          <w:szCs w:val="18"/>
        </w:rPr>
        <w:t>doi</w:t>
      </w:r>
      <w:proofErr w:type="spellEnd"/>
      <w:r>
        <w:rPr>
          <w:color w:val="000000"/>
          <w:sz w:val="18"/>
          <w:szCs w:val="18"/>
        </w:rPr>
        <w:t>: 10.3389/fnhum.2022.867281.</w:t>
      </w:r>
    </w:p>
    <w:p w14:paraId="588EC1FC" w14:textId="77777777" w:rsidR="00264FEC" w:rsidRDefault="00000000">
      <w:pPr>
        <w:spacing w:after="80" w:line="296" w:lineRule="auto"/>
        <w:ind w:left="480" w:hanging="480"/>
      </w:pPr>
      <w:r>
        <w:rPr>
          <w:b/>
          <w:bCs/>
          <w:color w:val="2E75B6"/>
          <w:sz w:val="18"/>
          <w:szCs w:val="18"/>
        </w:rPr>
        <w:t>[13]</w:t>
      </w:r>
      <w:r>
        <w:rPr>
          <w:color w:val="000000"/>
          <w:sz w:val="18"/>
          <w:szCs w:val="18"/>
        </w:rPr>
        <w:tab/>
        <w:t xml:space="preserve">A. C. </w:t>
      </w:r>
      <w:proofErr w:type="spellStart"/>
      <w:r>
        <w:rPr>
          <w:color w:val="000000"/>
          <w:sz w:val="18"/>
          <w:szCs w:val="18"/>
        </w:rPr>
        <w:t>Tricco</w:t>
      </w:r>
      <w:proofErr w:type="spellEnd"/>
      <w:r>
        <w:rPr>
          <w:color w:val="000000"/>
          <w:sz w:val="18"/>
          <w:szCs w:val="18"/>
        </w:rPr>
        <w:t xml:space="preserve"> et al., "PRISMA extension for scoping reviews (PRISMA-</w:t>
      </w:r>
      <w:proofErr w:type="spellStart"/>
      <w:r>
        <w:rPr>
          <w:color w:val="000000"/>
          <w:sz w:val="18"/>
          <w:szCs w:val="18"/>
        </w:rPr>
        <w:t>ScR</w:t>
      </w:r>
      <w:proofErr w:type="spellEnd"/>
      <w:r>
        <w:rPr>
          <w:color w:val="000000"/>
          <w:sz w:val="18"/>
          <w:szCs w:val="18"/>
        </w:rPr>
        <w:t xml:space="preserve">): Checklist and explanation," Ann. Intern. Med., vol. 169, no. 7, pp. 467–473, Oct. 2018, </w:t>
      </w:r>
      <w:proofErr w:type="spellStart"/>
      <w:r>
        <w:rPr>
          <w:color w:val="000000"/>
          <w:sz w:val="18"/>
          <w:szCs w:val="18"/>
        </w:rPr>
        <w:t>doi</w:t>
      </w:r>
      <w:proofErr w:type="spellEnd"/>
      <w:r>
        <w:rPr>
          <w:color w:val="000000"/>
          <w:sz w:val="18"/>
          <w:szCs w:val="18"/>
        </w:rPr>
        <w:t>: 10.7326/M18-0850.</w:t>
      </w:r>
    </w:p>
    <w:p w14:paraId="77B4D19C" w14:textId="77777777" w:rsidR="00264FEC" w:rsidRDefault="00000000">
      <w:pPr>
        <w:spacing w:after="80" w:line="296" w:lineRule="auto"/>
        <w:ind w:left="480" w:hanging="480"/>
      </w:pPr>
      <w:r>
        <w:rPr>
          <w:b/>
          <w:bCs/>
          <w:color w:val="2E75B6"/>
          <w:sz w:val="18"/>
          <w:szCs w:val="18"/>
        </w:rPr>
        <w:t>[14]</w:t>
      </w:r>
      <w:r>
        <w:rPr>
          <w:color w:val="000000"/>
          <w:sz w:val="18"/>
          <w:szCs w:val="18"/>
        </w:rPr>
        <w:tab/>
        <w:t xml:space="preserve">J. Popay et al., </w:t>
      </w:r>
      <w:bookmarkStart w:id="0" w:name="OLE_LINK1"/>
      <w:r>
        <w:rPr>
          <w:color w:val="000000"/>
          <w:sz w:val="18"/>
          <w:szCs w:val="18"/>
        </w:rPr>
        <w:t xml:space="preserve">"Guidance on the Conduct of Narrative Synthesis in Systematic Reviews," ESRC Methods </w:t>
      </w:r>
      <w:proofErr w:type="spellStart"/>
      <w:r>
        <w:rPr>
          <w:color w:val="000000"/>
          <w:sz w:val="18"/>
          <w:szCs w:val="18"/>
        </w:rPr>
        <w:t>Programme</w:t>
      </w:r>
      <w:proofErr w:type="spellEnd"/>
      <w:r>
        <w:rPr>
          <w:color w:val="000000"/>
          <w:sz w:val="18"/>
          <w:szCs w:val="18"/>
        </w:rPr>
        <w:t>, 2006.</w:t>
      </w:r>
      <w:bookmarkEnd w:id="0"/>
    </w:p>
    <w:sectPr w:rsidR="00264FE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F6FC4" w14:textId="77777777" w:rsidR="00D91C3F" w:rsidRDefault="00D91C3F">
      <w:r>
        <w:separator/>
      </w:r>
    </w:p>
  </w:endnote>
  <w:endnote w:type="continuationSeparator" w:id="0">
    <w:p w14:paraId="61476B93" w14:textId="77777777" w:rsidR="00D91C3F" w:rsidRDefault="00D91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7291D" w14:textId="77777777" w:rsidR="00264FEC" w:rsidRDefault="00000000">
    <w:pPr>
      <w:pBdr>
        <w:top w:val="single" w:sz="4" w:space="1" w:color="2E75B6"/>
      </w:pBdr>
      <w:tabs>
        <w:tab w:val="right" w:pos="9026"/>
      </w:tabs>
      <w:spacing w:before="80"/>
    </w:pPr>
    <w:r>
      <w:rPr>
        <w:color w:val="595959"/>
        <w:sz w:val="18"/>
        <w:szCs w:val="18"/>
      </w:rPr>
      <w:t xml:space="preserve">Adeika &amp; </w:t>
    </w:r>
    <w:proofErr w:type="gramStart"/>
    <w:r>
      <w:rPr>
        <w:color w:val="595959"/>
        <w:sz w:val="18"/>
        <w:szCs w:val="18"/>
      </w:rPr>
      <w:t>Osuagwu  |</w:t>
    </w:r>
    <w:proofErr w:type="gramEnd"/>
    <w:r>
      <w:rPr>
        <w:color w:val="595959"/>
        <w:sz w:val="18"/>
        <w:szCs w:val="18"/>
      </w:rPr>
      <w:t xml:space="preserve">  Morgan State University</w:t>
    </w:r>
    <w:r>
      <w:rPr>
        <w:color w:val="595959"/>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56A3F" w14:textId="77777777" w:rsidR="00D91C3F" w:rsidRDefault="00D91C3F">
      <w:r>
        <w:separator/>
      </w:r>
    </w:p>
  </w:footnote>
  <w:footnote w:type="continuationSeparator" w:id="0">
    <w:p w14:paraId="2ADB6188" w14:textId="77777777" w:rsidR="00D91C3F" w:rsidRDefault="00D91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9529" w14:textId="77777777" w:rsidR="00264FEC" w:rsidRDefault="00000000">
    <w:pPr>
      <w:pBdr>
        <w:bottom w:val="single" w:sz="4" w:space="1" w:color="2E75B6"/>
      </w:pBdr>
      <w:tabs>
        <w:tab w:val="right" w:pos="9026"/>
      </w:tabs>
      <w:spacing w:after="80"/>
    </w:pPr>
    <w:r>
      <w:rPr>
        <w:color w:val="595959"/>
        <w:sz w:val="18"/>
        <w:szCs w:val="18"/>
      </w:rPr>
      <w:t>AI for Brain-to-Speech Decoding: A Systematic Review</w:t>
    </w:r>
    <w:r>
      <w:rPr>
        <w:color w:val="595959"/>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87639"/>
    <w:multiLevelType w:val="hybridMultilevel"/>
    <w:tmpl w:val="77628CF2"/>
    <w:lvl w:ilvl="0" w:tplc="9B268E8E">
      <w:start w:val="1"/>
      <w:numFmt w:val="bullet"/>
      <w:lvlText w:val="●"/>
      <w:lvlJc w:val="left"/>
      <w:pPr>
        <w:ind w:left="720" w:hanging="360"/>
      </w:pPr>
    </w:lvl>
    <w:lvl w:ilvl="1" w:tplc="482075CE">
      <w:start w:val="1"/>
      <w:numFmt w:val="bullet"/>
      <w:lvlText w:val="○"/>
      <w:lvlJc w:val="left"/>
      <w:pPr>
        <w:ind w:left="1440" w:hanging="360"/>
      </w:pPr>
    </w:lvl>
    <w:lvl w:ilvl="2" w:tplc="EDD6B888">
      <w:start w:val="1"/>
      <w:numFmt w:val="bullet"/>
      <w:lvlText w:val="■"/>
      <w:lvlJc w:val="left"/>
      <w:pPr>
        <w:ind w:left="2160" w:hanging="360"/>
      </w:pPr>
    </w:lvl>
    <w:lvl w:ilvl="3" w:tplc="D6728DEC">
      <w:start w:val="1"/>
      <w:numFmt w:val="bullet"/>
      <w:lvlText w:val="●"/>
      <w:lvlJc w:val="left"/>
      <w:pPr>
        <w:ind w:left="2880" w:hanging="360"/>
      </w:pPr>
    </w:lvl>
    <w:lvl w:ilvl="4" w:tplc="39C4A020">
      <w:start w:val="1"/>
      <w:numFmt w:val="bullet"/>
      <w:lvlText w:val="○"/>
      <w:lvlJc w:val="left"/>
      <w:pPr>
        <w:ind w:left="3600" w:hanging="360"/>
      </w:pPr>
    </w:lvl>
    <w:lvl w:ilvl="5" w:tplc="8B8E4D22">
      <w:start w:val="1"/>
      <w:numFmt w:val="bullet"/>
      <w:lvlText w:val="■"/>
      <w:lvlJc w:val="left"/>
      <w:pPr>
        <w:ind w:left="4320" w:hanging="360"/>
      </w:pPr>
    </w:lvl>
    <w:lvl w:ilvl="6" w:tplc="6B8E9E0A">
      <w:start w:val="1"/>
      <w:numFmt w:val="bullet"/>
      <w:lvlText w:val="●"/>
      <w:lvlJc w:val="left"/>
      <w:pPr>
        <w:ind w:left="5040" w:hanging="360"/>
      </w:pPr>
    </w:lvl>
    <w:lvl w:ilvl="7" w:tplc="6DB08A96">
      <w:start w:val="1"/>
      <w:numFmt w:val="bullet"/>
      <w:lvlText w:val="●"/>
      <w:lvlJc w:val="left"/>
      <w:pPr>
        <w:ind w:left="5760" w:hanging="360"/>
      </w:pPr>
    </w:lvl>
    <w:lvl w:ilvl="8" w:tplc="3B1E7E04">
      <w:start w:val="1"/>
      <w:numFmt w:val="bullet"/>
      <w:lvlText w:val="●"/>
      <w:lvlJc w:val="left"/>
      <w:pPr>
        <w:ind w:left="6480" w:hanging="360"/>
      </w:pPr>
    </w:lvl>
  </w:abstractNum>
  <w:num w:numId="1" w16cid:durableId="21401073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FEC"/>
    <w:rsid w:val="00264FEC"/>
    <w:rsid w:val="004310F4"/>
    <w:rsid w:val="007842BD"/>
    <w:rsid w:val="00D91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42EEF2"/>
  <w15:docId w15:val="{0235A003-9ABB-2743-8362-F7E6DBCD6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6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1481</Words>
  <Characters>8448</Characters>
  <Application>Microsoft Office Word</Application>
  <DocSecurity>0</DocSecurity>
  <Lines>70</Lines>
  <Paragraphs>19</Paragraphs>
  <ScaleCrop>false</ScaleCrop>
  <Company/>
  <LinksUpToDate>false</LinksUpToDate>
  <CharactersWithSpaces>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I Adeika</cp:lastModifiedBy>
  <cp:revision>2</cp:revision>
  <dcterms:created xsi:type="dcterms:W3CDTF">2026-05-01T14:51:00Z</dcterms:created>
  <dcterms:modified xsi:type="dcterms:W3CDTF">2026-05-12T01:59:00Z</dcterms:modified>
</cp:coreProperties>
</file>