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E1E08" w14:textId="77777777" w:rsidR="00E34A0C" w:rsidRPr="00191A0A" w:rsidRDefault="00000000">
      <w:pPr>
        <w:pStyle w:val="Heading1"/>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3. Neural Signal Modalities: Landscape and Characteristics</w:t>
      </w:r>
    </w:p>
    <w:p w14:paraId="462307A6" w14:textId="77777777" w:rsidR="00E34A0C" w:rsidRPr="00191A0A" w:rsidRDefault="00E34A0C">
      <w:pPr>
        <w:pBdr>
          <w:bottom w:val="single" w:sz="4" w:space="1" w:color="BDD7EE"/>
        </w:pBdr>
        <w:spacing w:after="200"/>
        <w:rPr>
          <w:rFonts w:ascii="Times New Roman" w:hAnsi="Times New Roman" w:cs="Times New Roman"/>
          <w:color w:val="000000" w:themeColor="text1"/>
          <w:sz w:val="20"/>
          <w:szCs w:val="20"/>
        </w:rPr>
      </w:pPr>
    </w:p>
    <w:p w14:paraId="48E956FA"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Every brain-to-speech system begins at the same point: a decision about how to listen to the brain. That decision — which neural recording modality to use — shapes everything that follows. It determines the spatial granularity of the signal, the temporal fidelity with which speech dynamics can be captured, the risk the participant must accept, and ultimately the ceiling on what any downstream AI architecture can achieve. No amount of algorithmic sophistication can recover information that was never present in the recording. This section </w:t>
      </w:r>
      <w:proofErr w:type="spellStart"/>
      <w:r w:rsidRPr="00191A0A">
        <w:rPr>
          <w:rFonts w:ascii="Times New Roman" w:hAnsi="Times New Roman" w:cs="Times New Roman"/>
          <w:color w:val="000000" w:themeColor="text1"/>
          <w:sz w:val="20"/>
          <w:szCs w:val="20"/>
        </w:rPr>
        <w:t>characterises</w:t>
      </w:r>
      <w:proofErr w:type="spellEnd"/>
      <w:r w:rsidRPr="00191A0A">
        <w:rPr>
          <w:rFonts w:ascii="Times New Roman" w:hAnsi="Times New Roman" w:cs="Times New Roman"/>
          <w:color w:val="000000" w:themeColor="text1"/>
          <w:sz w:val="20"/>
          <w:szCs w:val="20"/>
        </w:rPr>
        <w:t xml:space="preserve"> the six primary neural recording modalities and three hybrid or emerging approaches represented across the 71 studies included in this review, grounding each in the neurophysiology of speech production and perception that underpins the decoding task. A comparative summary is provided in Table 1.</w:t>
      </w:r>
    </w:p>
    <w:p w14:paraId="3ABA8F56"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Speech is not generated by a single cortical region but by a distributed, hierarchically organized network. The dual-stream model of Hickok and Poeppel </w:t>
      </w:r>
      <w:r w:rsidRPr="00191A0A">
        <w:rPr>
          <w:rFonts w:ascii="Times New Roman" w:hAnsi="Times New Roman" w:cs="Times New Roman"/>
          <w:color w:val="000000" w:themeColor="text1"/>
          <w:sz w:val="20"/>
          <w:szCs w:val="20"/>
          <w:vertAlign w:val="superscript"/>
        </w:rPr>
        <w:t>[1]</w:t>
      </w:r>
      <w:r w:rsidRPr="00191A0A">
        <w:rPr>
          <w:rFonts w:ascii="Times New Roman" w:hAnsi="Times New Roman" w:cs="Times New Roman"/>
          <w:color w:val="000000" w:themeColor="text1"/>
          <w:sz w:val="20"/>
          <w:szCs w:val="20"/>
        </w:rPr>
        <w:t xml:space="preserve"> describes a dorsal pathway connecting auditory cortex to sensorimotor regions — responsible for the sensorimotor transformations of speech production — and a ventral pathway connecting auditory cortex to the frontal lobe via the temporal lobe, supporting speech comprehension and phonological working memory. Both pathways contribute signals of interest to brain-to-speech decoding, and the modality employed determines which parts of this network are accessible. The choice of modality is therefore not merely an engineering decision — it is a decision about which aspects of the speech-language system the AI decoder will have the opportunity to learn from </w:t>
      </w:r>
      <w:r w:rsidRPr="00191A0A">
        <w:rPr>
          <w:rFonts w:ascii="Times New Roman" w:hAnsi="Times New Roman" w:cs="Times New Roman"/>
          <w:color w:val="000000" w:themeColor="text1"/>
          <w:sz w:val="20"/>
          <w:szCs w:val="20"/>
          <w:vertAlign w:val="superscript"/>
        </w:rPr>
        <w:t>[2]</w:t>
      </w:r>
      <w:r w:rsidRPr="00191A0A">
        <w:rPr>
          <w:rFonts w:ascii="Times New Roman" w:hAnsi="Times New Roman" w:cs="Times New Roman"/>
          <w:color w:val="000000" w:themeColor="text1"/>
          <w:sz w:val="20"/>
          <w:szCs w:val="20"/>
        </w:rPr>
        <w:t>.</w:t>
      </w:r>
    </w:p>
    <w:p w14:paraId="221999E8" w14:textId="77777777" w:rsidR="00E34A0C" w:rsidRPr="00191A0A" w:rsidRDefault="00000000">
      <w:pPr>
        <w:pStyle w:val="Heading2"/>
        <w:rPr>
          <w:rFonts w:ascii="Times New Roman" w:hAnsi="Times New Roman" w:cs="Times New Roman"/>
          <w:color w:val="000000" w:themeColor="text1"/>
          <w:sz w:val="20"/>
          <w:szCs w:val="20"/>
        </w:rPr>
      </w:pPr>
      <w:proofErr w:type="gramStart"/>
      <w:r w:rsidRPr="00191A0A">
        <w:rPr>
          <w:rFonts w:ascii="Times New Roman" w:hAnsi="Times New Roman" w:cs="Times New Roman"/>
          <w:color w:val="000000" w:themeColor="text1"/>
          <w:sz w:val="20"/>
          <w:szCs w:val="20"/>
        </w:rPr>
        <w:t>3.1  Invasive</w:t>
      </w:r>
      <w:proofErr w:type="gramEnd"/>
      <w:r w:rsidRPr="00191A0A">
        <w:rPr>
          <w:rFonts w:ascii="Times New Roman" w:hAnsi="Times New Roman" w:cs="Times New Roman"/>
          <w:color w:val="000000" w:themeColor="text1"/>
          <w:sz w:val="20"/>
          <w:szCs w:val="20"/>
        </w:rPr>
        <w:t xml:space="preserve"> Modalities</w:t>
      </w:r>
    </w:p>
    <w:p w14:paraId="4B320D95"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Invasive neural recording requires surgical access to the brain. In exchange for that irreversible commitment, invasive modalities provide signal quality that non-invasive approaches cannot approach — higher spatial resolution, broader frequency bandwidth, substantially higher signal-to-noise ratio, and direct access to the cortical regions most tightly coupled to speech motor execution. The landmark clinical results of the past five years — communication rates approaching natural speech, word error rates below 10% — have been achieved exclusively with invasive modalities. Whether that clinical performance can ultimately be matched without the surgical requirement remains the defining open question of the field.</w:t>
      </w:r>
    </w:p>
    <w:p w14:paraId="5A3FDEB9" w14:textId="77777777" w:rsidR="00E34A0C" w:rsidRPr="00191A0A" w:rsidRDefault="00000000">
      <w:pPr>
        <w:pStyle w:val="Heading3"/>
        <w:rPr>
          <w:rFonts w:ascii="Times New Roman" w:hAnsi="Times New Roman" w:cs="Times New Roman"/>
          <w:color w:val="000000" w:themeColor="text1"/>
          <w:sz w:val="20"/>
          <w:szCs w:val="20"/>
        </w:rPr>
      </w:pPr>
      <w:proofErr w:type="gramStart"/>
      <w:r w:rsidRPr="00191A0A">
        <w:rPr>
          <w:rFonts w:ascii="Times New Roman" w:hAnsi="Times New Roman" w:cs="Times New Roman"/>
          <w:color w:val="000000" w:themeColor="text1"/>
          <w:sz w:val="20"/>
          <w:szCs w:val="20"/>
        </w:rPr>
        <w:t>3.1.1  Electrocorticography</w:t>
      </w:r>
      <w:proofErr w:type="gramEnd"/>
      <w:r w:rsidRPr="00191A0A">
        <w:rPr>
          <w:rFonts w:ascii="Times New Roman" w:hAnsi="Times New Roman" w:cs="Times New Roman"/>
          <w:color w:val="000000" w:themeColor="text1"/>
          <w:sz w:val="20"/>
          <w:szCs w:val="20"/>
        </w:rPr>
        <w:t xml:space="preserve"> (ECoG)</w:t>
      </w:r>
    </w:p>
    <w:p w14:paraId="5F5057FD"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Electrocorticography involves placing an electrode array directly on the cortical surface following a craniotomy, recording the local field potentials generated by the aggregate synaptic and neuronal activity of underlying cortical columns. Unlike scalp EEG, ECoG electrodes are positioned beneath the skull and dura, eliminating the spatial </w:t>
      </w:r>
      <w:proofErr w:type="gramStart"/>
      <w:r w:rsidRPr="00191A0A">
        <w:rPr>
          <w:rFonts w:ascii="Times New Roman" w:hAnsi="Times New Roman" w:cs="Times New Roman"/>
          <w:color w:val="000000" w:themeColor="text1"/>
          <w:sz w:val="20"/>
          <w:szCs w:val="20"/>
        </w:rPr>
        <w:t>low-pass</w:t>
      </w:r>
      <w:proofErr w:type="gramEnd"/>
      <w:r w:rsidRPr="00191A0A">
        <w:rPr>
          <w:rFonts w:ascii="Times New Roman" w:hAnsi="Times New Roman" w:cs="Times New Roman"/>
          <w:color w:val="000000" w:themeColor="text1"/>
          <w:sz w:val="20"/>
          <w:szCs w:val="20"/>
        </w:rPr>
        <w:t xml:space="preserve"> filtering that severely degrades surface recordings. Standard clinical ECoG grids typically have 4 mm inter-electrode spacing and 2.3 mm electrode diameters, whilst high-density research arrays achieve 1 mm or sub-</w:t>
      </w:r>
      <w:proofErr w:type="spellStart"/>
      <w:r w:rsidRPr="00191A0A">
        <w:rPr>
          <w:rFonts w:ascii="Times New Roman" w:hAnsi="Times New Roman" w:cs="Times New Roman"/>
          <w:color w:val="000000" w:themeColor="text1"/>
          <w:sz w:val="20"/>
          <w:szCs w:val="20"/>
        </w:rPr>
        <w:t>millimetre</w:t>
      </w:r>
      <w:proofErr w:type="spellEnd"/>
      <w:r w:rsidRPr="00191A0A">
        <w:rPr>
          <w:rFonts w:ascii="Times New Roman" w:hAnsi="Times New Roman" w:cs="Times New Roman"/>
          <w:color w:val="000000" w:themeColor="text1"/>
          <w:sz w:val="20"/>
          <w:szCs w:val="20"/>
        </w:rPr>
        <w:t xml:space="preserve"> spacing over selected cortical regions. This spatial resolution enables the differentiation of signals from adjacent cortical areas — a capability that is </w:t>
      </w:r>
      <w:r w:rsidRPr="00191A0A">
        <w:rPr>
          <w:rFonts w:ascii="Times New Roman" w:hAnsi="Times New Roman" w:cs="Times New Roman"/>
          <w:color w:val="000000" w:themeColor="text1"/>
          <w:sz w:val="20"/>
          <w:szCs w:val="20"/>
        </w:rPr>
        <w:lastRenderedPageBreak/>
        <w:t xml:space="preserve">critical for decoding speech, where the phonotopic and articulatory maps of the sensorimotor cortex have spatial structure on the scale of </w:t>
      </w:r>
      <w:proofErr w:type="spellStart"/>
      <w:r w:rsidRPr="00191A0A">
        <w:rPr>
          <w:rFonts w:ascii="Times New Roman" w:hAnsi="Times New Roman" w:cs="Times New Roman"/>
          <w:color w:val="000000" w:themeColor="text1"/>
          <w:sz w:val="20"/>
          <w:szCs w:val="20"/>
        </w:rPr>
        <w:t>millimetres</w:t>
      </w:r>
      <w:proofErr w:type="spellEnd"/>
      <w:r w:rsidRPr="00191A0A">
        <w:rPr>
          <w:rFonts w:ascii="Times New Roman" w:hAnsi="Times New Roman" w:cs="Times New Roman"/>
          <w:color w:val="000000" w:themeColor="text1"/>
          <w:sz w:val="20"/>
          <w:szCs w:val="20"/>
        </w:rPr>
        <w:t xml:space="preserve"> </w:t>
      </w:r>
      <w:r w:rsidRPr="00191A0A">
        <w:rPr>
          <w:rFonts w:ascii="Times New Roman" w:hAnsi="Times New Roman" w:cs="Times New Roman"/>
          <w:color w:val="000000" w:themeColor="text1"/>
          <w:sz w:val="20"/>
          <w:szCs w:val="20"/>
          <w:vertAlign w:val="superscript"/>
        </w:rPr>
        <w:t>[1][2]</w:t>
      </w:r>
      <w:r w:rsidRPr="00191A0A">
        <w:rPr>
          <w:rFonts w:ascii="Times New Roman" w:hAnsi="Times New Roman" w:cs="Times New Roman"/>
          <w:color w:val="000000" w:themeColor="text1"/>
          <w:sz w:val="20"/>
          <w:szCs w:val="20"/>
        </w:rPr>
        <w:t>.</w:t>
      </w:r>
    </w:p>
    <w:p w14:paraId="284C7D9F"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The temporal bandwidth of ECoG is equally valuable. High-gamma activity (70–150 Hz) is particularly informative for speech decoding, reflecting the firing of neuronal ensembles that modulate reliably with phonological and articulatory events. The envelope of the high-gamma band correlates well with speech production kinematics </w:t>
      </w:r>
      <w:r w:rsidRPr="00191A0A">
        <w:rPr>
          <w:rFonts w:ascii="Times New Roman" w:hAnsi="Times New Roman" w:cs="Times New Roman"/>
          <w:color w:val="000000" w:themeColor="text1"/>
          <w:sz w:val="20"/>
          <w:szCs w:val="20"/>
          <w:vertAlign w:val="superscript"/>
        </w:rPr>
        <w:t>[3]</w:t>
      </w:r>
      <w:r w:rsidRPr="00191A0A">
        <w:rPr>
          <w:rFonts w:ascii="Times New Roman" w:hAnsi="Times New Roman" w:cs="Times New Roman"/>
          <w:color w:val="000000" w:themeColor="text1"/>
          <w:sz w:val="20"/>
          <w:szCs w:val="20"/>
        </w:rPr>
        <w:t xml:space="preserve">, and its rapid temporal dynamics allow the system to track the fine structure of running speech at rates approaching natural articulation — approximately 4–6 syllables per second in fluent English. Lower-frequency oscillations (alpha at 8–13 Hz and beta at 13–30 Hz) also carry speech-relevant information, particularly for imagined and covert speech where the high-gamma signal is weaker </w:t>
      </w:r>
      <w:r w:rsidRPr="00191A0A">
        <w:rPr>
          <w:rFonts w:ascii="Times New Roman" w:hAnsi="Times New Roman" w:cs="Times New Roman"/>
          <w:color w:val="000000" w:themeColor="text1"/>
          <w:sz w:val="20"/>
          <w:szCs w:val="20"/>
          <w:vertAlign w:val="superscript"/>
        </w:rPr>
        <w:t>[4]</w:t>
      </w:r>
      <w:r w:rsidRPr="00191A0A">
        <w:rPr>
          <w:rFonts w:ascii="Times New Roman" w:hAnsi="Times New Roman" w:cs="Times New Roman"/>
          <w:color w:val="000000" w:themeColor="text1"/>
          <w:sz w:val="20"/>
          <w:szCs w:val="20"/>
        </w:rPr>
        <w:t>.</w:t>
      </w:r>
    </w:p>
    <w:p w14:paraId="197C0824"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The research history of ECoG-based speech decoding spans the full timeline of this review. The Brain-to-Text study of Herff and colleagues in 2015 </w:t>
      </w:r>
      <w:r w:rsidRPr="00191A0A">
        <w:rPr>
          <w:rFonts w:ascii="Times New Roman" w:hAnsi="Times New Roman" w:cs="Times New Roman"/>
          <w:color w:val="000000" w:themeColor="text1"/>
          <w:sz w:val="20"/>
          <w:szCs w:val="20"/>
          <w:vertAlign w:val="superscript"/>
        </w:rPr>
        <w:t>[5]</w:t>
      </w:r>
      <w:r w:rsidRPr="00191A0A">
        <w:rPr>
          <w:rFonts w:ascii="Times New Roman" w:hAnsi="Times New Roman" w:cs="Times New Roman"/>
          <w:color w:val="000000" w:themeColor="text1"/>
          <w:sz w:val="20"/>
          <w:szCs w:val="20"/>
        </w:rPr>
        <w:t xml:space="preserve"> established the proof of principle, achieving ~25% WER on continuous spoken phrases from seven participants — a striking result at the time, despite the architecture relying on classical hidden Markov model speech recognition. Subsequent work by Chartier and colleagues demonstrated that articulatory kinematic trajectories can be encoded in sensorimotor cortex with Pearson correlations reaching r=0.87, providing the neurophysiological basis for the articulatory intermediate representation approach that Anumanchipalli, Chartier and Chang would later exploit in their landmark 2019 Nature paper, which produced the first fluent and intelligible ECoG-synthesized speech </w:t>
      </w:r>
      <w:r w:rsidRPr="00191A0A">
        <w:rPr>
          <w:rFonts w:ascii="Times New Roman" w:hAnsi="Times New Roman" w:cs="Times New Roman"/>
          <w:color w:val="000000" w:themeColor="text1"/>
          <w:sz w:val="20"/>
          <w:szCs w:val="20"/>
          <w:vertAlign w:val="superscript"/>
        </w:rPr>
        <w:t>[6][7]</w:t>
      </w:r>
      <w:r w:rsidRPr="00191A0A">
        <w:rPr>
          <w:rFonts w:ascii="Times New Roman" w:hAnsi="Times New Roman" w:cs="Times New Roman"/>
          <w:color w:val="000000" w:themeColor="text1"/>
          <w:sz w:val="20"/>
          <w:szCs w:val="20"/>
        </w:rPr>
        <w:t xml:space="preserve">. The machine translation analogy of Makin, Moses and Chang in 2020 then introduced the encoder-decoder framework that enabled direct cortical activity-to-text decoding at ~3% WER on a constrained corpus </w:t>
      </w:r>
      <w:r w:rsidRPr="00191A0A">
        <w:rPr>
          <w:rFonts w:ascii="Times New Roman" w:hAnsi="Times New Roman" w:cs="Times New Roman"/>
          <w:color w:val="000000" w:themeColor="text1"/>
          <w:sz w:val="20"/>
          <w:szCs w:val="20"/>
          <w:vertAlign w:val="superscript"/>
        </w:rPr>
        <w:t>[8]</w:t>
      </w:r>
      <w:r w:rsidRPr="00191A0A">
        <w:rPr>
          <w:rFonts w:ascii="Times New Roman" w:hAnsi="Times New Roman" w:cs="Times New Roman"/>
          <w:color w:val="000000" w:themeColor="text1"/>
          <w:sz w:val="20"/>
          <w:szCs w:val="20"/>
        </w:rPr>
        <w:t>.</w:t>
      </w:r>
    </w:p>
    <w:p w14:paraId="46511C94"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ECoG has also proved particularly valuable for studying imagined and covert speech — decoding the neural correlates of speech one intends to produce but does not articulate. Martin and colleagues demonstrated above-chance classification of imagined word pairs from ECoG in 2016 </w:t>
      </w:r>
      <w:r w:rsidRPr="00191A0A">
        <w:rPr>
          <w:rFonts w:ascii="Times New Roman" w:hAnsi="Times New Roman" w:cs="Times New Roman"/>
          <w:color w:val="000000" w:themeColor="text1"/>
          <w:sz w:val="20"/>
          <w:szCs w:val="20"/>
          <w:vertAlign w:val="superscript"/>
        </w:rPr>
        <w:t>[9]</w:t>
      </w:r>
      <w:r w:rsidRPr="00191A0A">
        <w:rPr>
          <w:rFonts w:ascii="Times New Roman" w:hAnsi="Times New Roman" w:cs="Times New Roman"/>
          <w:color w:val="000000" w:themeColor="text1"/>
          <w:sz w:val="20"/>
          <w:szCs w:val="20"/>
        </w:rPr>
        <w:t xml:space="preserve">, and </w:t>
      </w:r>
      <w:proofErr w:type="spellStart"/>
      <w:r w:rsidRPr="00191A0A">
        <w:rPr>
          <w:rFonts w:ascii="Times New Roman" w:hAnsi="Times New Roman" w:cs="Times New Roman"/>
          <w:color w:val="000000" w:themeColor="text1"/>
          <w:sz w:val="20"/>
          <w:szCs w:val="20"/>
        </w:rPr>
        <w:t>Proix</w:t>
      </w:r>
      <w:proofErr w:type="spellEnd"/>
      <w:r w:rsidRPr="00191A0A">
        <w:rPr>
          <w:rFonts w:ascii="Times New Roman" w:hAnsi="Times New Roman" w:cs="Times New Roman"/>
          <w:color w:val="000000" w:themeColor="text1"/>
          <w:sz w:val="20"/>
          <w:szCs w:val="20"/>
        </w:rPr>
        <w:t xml:space="preserve"> and colleagues in 2022 showed that imagined speech can be decoded from low- and cross-frequency ECoG features, revealing a neural oscillatory basis for inner speech distinct from the high-gamma activity dominant in overt speech </w:t>
      </w:r>
      <w:r w:rsidRPr="00191A0A">
        <w:rPr>
          <w:rFonts w:ascii="Times New Roman" w:hAnsi="Times New Roman" w:cs="Times New Roman"/>
          <w:color w:val="000000" w:themeColor="text1"/>
          <w:sz w:val="20"/>
          <w:szCs w:val="20"/>
          <w:vertAlign w:val="superscript"/>
        </w:rPr>
        <w:t>[4]</w:t>
      </w:r>
      <w:r w:rsidRPr="00191A0A">
        <w:rPr>
          <w:rFonts w:ascii="Times New Roman" w:hAnsi="Times New Roman" w:cs="Times New Roman"/>
          <w:color w:val="000000" w:themeColor="text1"/>
          <w:sz w:val="20"/>
          <w:szCs w:val="20"/>
        </w:rPr>
        <w:t xml:space="preserve">. The high-density ECoG (HD-ECoG) approach of Ramsey and colleagues, employing 256-channel grids at 1 mm spacing, demonstrated phoneme-level decoding accuracy of 75.5% across five participants </w:t>
      </w:r>
      <w:r w:rsidRPr="00191A0A">
        <w:rPr>
          <w:rFonts w:ascii="Times New Roman" w:hAnsi="Times New Roman" w:cs="Times New Roman"/>
          <w:color w:val="000000" w:themeColor="text1"/>
          <w:sz w:val="20"/>
          <w:szCs w:val="20"/>
          <w:vertAlign w:val="superscript"/>
        </w:rPr>
        <w:t>[10]</w:t>
      </w:r>
      <w:r w:rsidRPr="00191A0A">
        <w:rPr>
          <w:rFonts w:ascii="Times New Roman" w:hAnsi="Times New Roman" w:cs="Times New Roman"/>
          <w:color w:val="000000" w:themeColor="text1"/>
          <w:sz w:val="20"/>
          <w:szCs w:val="20"/>
        </w:rPr>
        <w:t xml:space="preserve"> — establishing that increased spatial sampling of the sensorimotor cortex yields commensurate improvements in phonological decoding. The largest ECoG cohort assembled to date, by Chen and colleagues in 2024, trained cross-subject deep CNN decoders across 48 participants, achieving Pearson correlations of r=0.804 for acoustic reconstruction — demonstrating for the first time that ECoG decoding is scalable to population-level data </w:t>
      </w:r>
      <w:r w:rsidRPr="00191A0A">
        <w:rPr>
          <w:rFonts w:ascii="Times New Roman" w:hAnsi="Times New Roman" w:cs="Times New Roman"/>
          <w:color w:val="000000" w:themeColor="text1"/>
          <w:sz w:val="20"/>
          <w:szCs w:val="20"/>
          <w:vertAlign w:val="superscript"/>
        </w:rPr>
        <w:t>[11]</w:t>
      </w:r>
      <w:r w:rsidRPr="00191A0A">
        <w:rPr>
          <w:rFonts w:ascii="Times New Roman" w:hAnsi="Times New Roman" w:cs="Times New Roman"/>
          <w:color w:val="000000" w:themeColor="text1"/>
          <w:sz w:val="20"/>
          <w:szCs w:val="20"/>
        </w:rPr>
        <w:t>.</w:t>
      </w:r>
    </w:p>
    <w:p w14:paraId="30C228E4"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The principal limitation of standard ECoG is its requirement for craniotomy. Most research ECoG studies are conducted in epilepsy patients undergoing clinical seizure monitoring, who are implanted for clinical rather than research purposes — a population whose neural characteristics may not fully generalize to the ALS and paralysis populations that speech neuroprostheses are designed to serve. The Metzger and colleagues 2023 Nature study, using high-density ECoG in a participant with a degenerative brainstem condition, demonstrated that this gap can be bridged </w:t>
      </w:r>
      <w:r w:rsidRPr="00191A0A">
        <w:rPr>
          <w:rFonts w:ascii="Times New Roman" w:hAnsi="Times New Roman" w:cs="Times New Roman"/>
          <w:color w:val="000000" w:themeColor="text1"/>
          <w:sz w:val="20"/>
          <w:szCs w:val="20"/>
          <w:vertAlign w:val="superscript"/>
        </w:rPr>
        <w:t>[12]</w:t>
      </w:r>
      <w:r w:rsidRPr="00191A0A">
        <w:rPr>
          <w:rFonts w:ascii="Times New Roman" w:hAnsi="Times New Roman" w:cs="Times New Roman"/>
          <w:color w:val="000000" w:themeColor="text1"/>
          <w:sz w:val="20"/>
          <w:szCs w:val="20"/>
        </w:rPr>
        <w:t xml:space="preserve">, but the surgical requirement remains an irreducible entry barrier for </w:t>
      </w:r>
      <w:proofErr w:type="gramStart"/>
      <w:r w:rsidRPr="00191A0A">
        <w:rPr>
          <w:rFonts w:ascii="Times New Roman" w:hAnsi="Times New Roman" w:cs="Times New Roman"/>
          <w:color w:val="000000" w:themeColor="text1"/>
          <w:sz w:val="20"/>
          <w:szCs w:val="20"/>
        </w:rPr>
        <w:t>the majority of</w:t>
      </w:r>
      <w:proofErr w:type="gramEnd"/>
      <w:r w:rsidRPr="00191A0A">
        <w:rPr>
          <w:rFonts w:ascii="Times New Roman" w:hAnsi="Times New Roman" w:cs="Times New Roman"/>
          <w:color w:val="000000" w:themeColor="text1"/>
          <w:sz w:val="20"/>
          <w:szCs w:val="20"/>
        </w:rPr>
        <w:t xml:space="preserve"> potential beneficiaries.</w:t>
      </w:r>
    </w:p>
    <w:p w14:paraId="23A7857A" w14:textId="77777777" w:rsidR="00E34A0C" w:rsidRPr="00191A0A" w:rsidRDefault="00000000">
      <w:pPr>
        <w:pStyle w:val="Heading3"/>
        <w:rPr>
          <w:rFonts w:ascii="Times New Roman" w:hAnsi="Times New Roman" w:cs="Times New Roman"/>
          <w:color w:val="000000" w:themeColor="text1"/>
          <w:sz w:val="20"/>
          <w:szCs w:val="20"/>
        </w:rPr>
      </w:pPr>
      <w:proofErr w:type="gramStart"/>
      <w:r w:rsidRPr="00191A0A">
        <w:rPr>
          <w:rFonts w:ascii="Times New Roman" w:hAnsi="Times New Roman" w:cs="Times New Roman"/>
          <w:color w:val="000000" w:themeColor="text1"/>
          <w:sz w:val="20"/>
          <w:szCs w:val="20"/>
        </w:rPr>
        <w:t>3.1.2  Intracortical</w:t>
      </w:r>
      <w:proofErr w:type="gramEnd"/>
      <w:r w:rsidRPr="00191A0A">
        <w:rPr>
          <w:rFonts w:ascii="Times New Roman" w:hAnsi="Times New Roman" w:cs="Times New Roman"/>
          <w:color w:val="000000" w:themeColor="text1"/>
          <w:sz w:val="20"/>
          <w:szCs w:val="20"/>
        </w:rPr>
        <w:t xml:space="preserve"> Microelectrode Arrays</w:t>
      </w:r>
    </w:p>
    <w:p w14:paraId="6CB85A35"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lastRenderedPageBreak/>
        <w:t xml:space="preserve">Where ECoG samples the aggregate activity of cortical columns, intracortical microelectrode arrays penetrate the cortical grey matter itself, recording the extracellular electrical signatures of individual neurons or small neuronal clusters within </w:t>
      </w:r>
      <w:proofErr w:type="spellStart"/>
      <w:r w:rsidRPr="00191A0A">
        <w:rPr>
          <w:rFonts w:ascii="Times New Roman" w:hAnsi="Times New Roman" w:cs="Times New Roman"/>
          <w:color w:val="000000" w:themeColor="text1"/>
          <w:sz w:val="20"/>
          <w:szCs w:val="20"/>
        </w:rPr>
        <w:t>millimetres</w:t>
      </w:r>
      <w:proofErr w:type="spellEnd"/>
      <w:r w:rsidRPr="00191A0A">
        <w:rPr>
          <w:rFonts w:ascii="Times New Roman" w:hAnsi="Times New Roman" w:cs="Times New Roman"/>
          <w:color w:val="000000" w:themeColor="text1"/>
          <w:sz w:val="20"/>
          <w:szCs w:val="20"/>
        </w:rPr>
        <w:t xml:space="preserve"> of the electrode tip. The Utah array — a 10×10 grid of 1.5 mm silicon shanks with 400 μm inter-electrode spacing — is the most widely deployed implant in the BrainGate program and the device underlying the most clinically significant speech decoding results published to date. The richness of the single-unit and multi-unit activity available from intracortical recordings provides a fundamentally higher-bandwidth communication channel between brain and decoder than any surface modality can offer.</w:t>
      </w:r>
    </w:p>
    <w:p w14:paraId="776988A1"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The clinical results from the intracortical modality represent the current frontier of the field. Moses and colleagues in 2021 demonstrated the first real-time sentence decoding in a person with anarthria at 15 words per minute </w:t>
      </w:r>
      <w:r w:rsidRPr="00191A0A">
        <w:rPr>
          <w:rFonts w:ascii="Times New Roman" w:hAnsi="Times New Roman" w:cs="Times New Roman"/>
          <w:color w:val="000000" w:themeColor="text1"/>
          <w:sz w:val="20"/>
          <w:szCs w:val="20"/>
          <w:vertAlign w:val="superscript"/>
        </w:rPr>
        <w:t>[13]</w:t>
      </w:r>
      <w:r w:rsidRPr="00191A0A">
        <w:rPr>
          <w:rFonts w:ascii="Times New Roman" w:hAnsi="Times New Roman" w:cs="Times New Roman"/>
          <w:color w:val="000000" w:themeColor="text1"/>
          <w:sz w:val="20"/>
          <w:szCs w:val="20"/>
        </w:rPr>
        <w:t xml:space="preserve">. Willett and colleagues in 2023 extended this to 62 words per minute at 9% WER for a 50-word vocabulary — a communication rate approaching that of impaired natural speech </w:t>
      </w:r>
      <w:r w:rsidRPr="00191A0A">
        <w:rPr>
          <w:rFonts w:ascii="Times New Roman" w:hAnsi="Times New Roman" w:cs="Times New Roman"/>
          <w:color w:val="000000" w:themeColor="text1"/>
          <w:sz w:val="20"/>
          <w:szCs w:val="20"/>
          <w:vertAlign w:val="superscript"/>
        </w:rPr>
        <w:t>[14]</w:t>
      </w:r>
      <w:r w:rsidRPr="00191A0A">
        <w:rPr>
          <w:rFonts w:ascii="Times New Roman" w:hAnsi="Times New Roman" w:cs="Times New Roman"/>
          <w:color w:val="000000" w:themeColor="text1"/>
          <w:sz w:val="20"/>
          <w:szCs w:val="20"/>
        </w:rPr>
        <w:t xml:space="preserve">. Card and colleagues in 2024 achieved 2.5% WER sustained over eight months with a 30-minute daily calibration protocol </w:t>
      </w:r>
      <w:r w:rsidRPr="00191A0A">
        <w:rPr>
          <w:rFonts w:ascii="Times New Roman" w:hAnsi="Times New Roman" w:cs="Times New Roman"/>
          <w:color w:val="000000" w:themeColor="text1"/>
          <w:sz w:val="20"/>
          <w:szCs w:val="20"/>
          <w:vertAlign w:val="superscript"/>
        </w:rPr>
        <w:t>[15]</w:t>
      </w:r>
      <w:r w:rsidRPr="00191A0A">
        <w:rPr>
          <w:rFonts w:ascii="Times New Roman" w:hAnsi="Times New Roman" w:cs="Times New Roman"/>
          <w:color w:val="000000" w:themeColor="text1"/>
          <w:sz w:val="20"/>
          <w:szCs w:val="20"/>
        </w:rPr>
        <w:t xml:space="preserve">. Wairagkar and colleagues in 2025 demonstrated an instantaneous voice synthesis neuroprosthesis capable of reproducing paralinguistic features including intonation and prosody in real time </w:t>
      </w:r>
      <w:r w:rsidRPr="00191A0A">
        <w:rPr>
          <w:rFonts w:ascii="Times New Roman" w:hAnsi="Times New Roman" w:cs="Times New Roman"/>
          <w:color w:val="000000" w:themeColor="text1"/>
          <w:sz w:val="20"/>
          <w:szCs w:val="20"/>
          <w:vertAlign w:val="superscript"/>
        </w:rPr>
        <w:t>[16]</w:t>
      </w:r>
      <w:r w:rsidRPr="00191A0A">
        <w:rPr>
          <w:rFonts w:ascii="Times New Roman" w:hAnsi="Times New Roman" w:cs="Times New Roman"/>
          <w:color w:val="000000" w:themeColor="text1"/>
          <w:sz w:val="20"/>
          <w:szCs w:val="20"/>
        </w:rPr>
        <w:t>. Collectively, these results establish intracortical recording as the currently dominant modality for clinical speech neuroprosthesis performance.</w:t>
      </w:r>
    </w:p>
    <w:p w14:paraId="26AB7F8D"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Several properties of intracortical recordings beyond raw signal quality contribute to this dominance. The threshold crossing rates of motor cortical neurons are tightly coupled to attempted articulatory movements, providing a high-bandwidth, rapidly modulating signal even in individuals who can no longer produce any overt speech output </w:t>
      </w:r>
      <w:r w:rsidRPr="00191A0A">
        <w:rPr>
          <w:rFonts w:ascii="Times New Roman" w:hAnsi="Times New Roman" w:cs="Times New Roman"/>
          <w:color w:val="000000" w:themeColor="text1"/>
          <w:sz w:val="20"/>
          <w:szCs w:val="20"/>
          <w:vertAlign w:val="superscript"/>
        </w:rPr>
        <w:t>[17]</w:t>
      </w:r>
      <w:r w:rsidRPr="00191A0A">
        <w:rPr>
          <w:rFonts w:ascii="Times New Roman" w:hAnsi="Times New Roman" w:cs="Times New Roman"/>
          <w:color w:val="000000" w:themeColor="text1"/>
          <w:sz w:val="20"/>
          <w:szCs w:val="20"/>
        </w:rPr>
        <w:t xml:space="preserve">. Degenhart and colleagues demonstrated that low-dimensional manifold alignment between sessions preserves approximately 95% of decoding performance without re-collecting labeled data </w:t>
      </w:r>
      <w:r w:rsidRPr="00191A0A">
        <w:rPr>
          <w:rFonts w:ascii="Times New Roman" w:hAnsi="Times New Roman" w:cs="Times New Roman"/>
          <w:color w:val="000000" w:themeColor="text1"/>
          <w:sz w:val="20"/>
          <w:szCs w:val="20"/>
          <w:vertAlign w:val="superscript"/>
        </w:rPr>
        <w:t>[18]</w:t>
      </w:r>
      <w:r w:rsidRPr="00191A0A">
        <w:rPr>
          <w:rFonts w:ascii="Times New Roman" w:hAnsi="Times New Roman" w:cs="Times New Roman"/>
          <w:color w:val="000000" w:themeColor="text1"/>
          <w:sz w:val="20"/>
          <w:szCs w:val="20"/>
        </w:rPr>
        <w:t xml:space="preserve"> — addressing the practical challenge of daily signal drift that all chronically implanted systems face. Wandelt and colleagues showed that individual neurons in the supramarginal gyrus, an area involved in phonological working memory, encode internal speech representations even in patients who have been unable to speak for years </w:t>
      </w:r>
      <w:r w:rsidRPr="00191A0A">
        <w:rPr>
          <w:rFonts w:ascii="Times New Roman" w:hAnsi="Times New Roman" w:cs="Times New Roman"/>
          <w:color w:val="000000" w:themeColor="text1"/>
          <w:sz w:val="20"/>
          <w:szCs w:val="20"/>
          <w:vertAlign w:val="superscript"/>
        </w:rPr>
        <w:t>[19]</w:t>
      </w:r>
      <w:r w:rsidRPr="00191A0A">
        <w:rPr>
          <w:rFonts w:ascii="Times New Roman" w:hAnsi="Times New Roman" w:cs="Times New Roman"/>
          <w:color w:val="000000" w:themeColor="text1"/>
          <w:sz w:val="20"/>
          <w:szCs w:val="20"/>
        </w:rPr>
        <w:t>, extending the reach of intracortical decoding beyond primary motor cortex to the broader speech-language network.</w:t>
      </w:r>
    </w:p>
    <w:p w14:paraId="1C490FD4"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The primary limitation of intracortical arrays is biological. Microelectrodes induce a chronic inflammatory response — glial scarring — that progressively attenuates signal quality over months to years. Signal loss and electrode failure are significant concerns for long-term clinical deployment, and the surgical risk of intracortical implantation, whilst manageable, is higher than that of epidural ECoG. The FDA-regulated approval pathway for such devices is correspondingly complex, and the number of participants who have undergone research intracortical implantation remains small </w:t>
      </w:r>
      <w:r w:rsidRPr="00191A0A">
        <w:rPr>
          <w:rFonts w:ascii="Times New Roman" w:hAnsi="Times New Roman" w:cs="Times New Roman"/>
          <w:color w:val="000000" w:themeColor="text1"/>
          <w:sz w:val="20"/>
          <w:szCs w:val="20"/>
          <w:vertAlign w:val="superscript"/>
        </w:rPr>
        <w:t>[20]</w:t>
      </w:r>
      <w:r w:rsidRPr="00191A0A">
        <w:rPr>
          <w:rFonts w:ascii="Times New Roman" w:hAnsi="Times New Roman" w:cs="Times New Roman"/>
          <w:color w:val="000000" w:themeColor="text1"/>
          <w:sz w:val="20"/>
          <w:szCs w:val="20"/>
        </w:rPr>
        <w:t>.</w:t>
      </w:r>
    </w:p>
    <w:p w14:paraId="39F0F60F" w14:textId="77777777" w:rsidR="00E34A0C" w:rsidRPr="00191A0A" w:rsidRDefault="00000000">
      <w:pPr>
        <w:pStyle w:val="Heading3"/>
        <w:rPr>
          <w:rFonts w:ascii="Times New Roman" w:hAnsi="Times New Roman" w:cs="Times New Roman"/>
          <w:color w:val="000000" w:themeColor="text1"/>
          <w:sz w:val="20"/>
          <w:szCs w:val="20"/>
        </w:rPr>
      </w:pPr>
      <w:proofErr w:type="gramStart"/>
      <w:r w:rsidRPr="00191A0A">
        <w:rPr>
          <w:rFonts w:ascii="Times New Roman" w:hAnsi="Times New Roman" w:cs="Times New Roman"/>
          <w:color w:val="000000" w:themeColor="text1"/>
          <w:sz w:val="20"/>
          <w:szCs w:val="20"/>
        </w:rPr>
        <w:t>3.1.3  Stereotactic</w:t>
      </w:r>
      <w:proofErr w:type="gramEnd"/>
      <w:r w:rsidRPr="00191A0A">
        <w:rPr>
          <w:rFonts w:ascii="Times New Roman" w:hAnsi="Times New Roman" w:cs="Times New Roman"/>
          <w:color w:val="000000" w:themeColor="text1"/>
          <w:sz w:val="20"/>
          <w:szCs w:val="20"/>
        </w:rPr>
        <w:t xml:space="preserve"> EEG and Depth Electrodes (sEEG)</w:t>
      </w:r>
    </w:p>
    <w:p w14:paraId="6C1C6035"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Stereotactic EEG (sEEG) occupies a compelling middle ground in the invasiveness landscape. Thin multi-contact depth electrodes — typically 0.8–1.0 mm in diameter with contact separations of 3.5 mm — are implanted via small burr holes without craniotomy, traversing the brain to sample cortical and subcortical structures along their trajectory. The surgical footprint is substantially smaller than that of ECoG, and the ability to sample deep structures — the insula, hippocampus, </w:t>
      </w:r>
      <w:r w:rsidRPr="00191A0A">
        <w:rPr>
          <w:rFonts w:ascii="Times New Roman" w:hAnsi="Times New Roman" w:cs="Times New Roman"/>
          <w:color w:val="000000" w:themeColor="text1"/>
          <w:sz w:val="20"/>
          <w:szCs w:val="20"/>
        </w:rPr>
        <w:lastRenderedPageBreak/>
        <w:t xml:space="preserve">and basal ganglia — that are inaccessible to surface electrodes makes sEEG uniquely informative about the broader cortical-subcortical networks involved in speech production and comprehension </w:t>
      </w:r>
      <w:r w:rsidRPr="00191A0A">
        <w:rPr>
          <w:rFonts w:ascii="Times New Roman" w:hAnsi="Times New Roman" w:cs="Times New Roman"/>
          <w:color w:val="000000" w:themeColor="text1"/>
          <w:sz w:val="20"/>
          <w:szCs w:val="20"/>
          <w:vertAlign w:val="superscript"/>
        </w:rPr>
        <w:t>[2]</w:t>
      </w:r>
      <w:r w:rsidRPr="00191A0A">
        <w:rPr>
          <w:rFonts w:ascii="Times New Roman" w:hAnsi="Times New Roman" w:cs="Times New Roman"/>
          <w:color w:val="000000" w:themeColor="text1"/>
          <w:sz w:val="20"/>
          <w:szCs w:val="20"/>
        </w:rPr>
        <w:t>.</w:t>
      </w:r>
    </w:p>
    <w:p w14:paraId="17A3CB64"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The minimally invasive nature of sEEG has begun to attract growing research attention for speech BCIs. Angrick and colleagues in 2021 demonstrated real-time synthesis of imagined speech from frontal cortex sEEG signals using a CNN-neural vocoder pipeline </w:t>
      </w:r>
      <w:r w:rsidRPr="00191A0A">
        <w:rPr>
          <w:rFonts w:ascii="Times New Roman" w:hAnsi="Times New Roman" w:cs="Times New Roman"/>
          <w:color w:val="000000" w:themeColor="text1"/>
          <w:sz w:val="20"/>
          <w:szCs w:val="20"/>
          <w:vertAlign w:val="superscript"/>
        </w:rPr>
        <w:t>[21]</w:t>
      </w:r>
      <w:r w:rsidRPr="00191A0A">
        <w:rPr>
          <w:rFonts w:ascii="Times New Roman" w:hAnsi="Times New Roman" w:cs="Times New Roman"/>
          <w:color w:val="000000" w:themeColor="text1"/>
          <w:sz w:val="20"/>
          <w:szCs w:val="20"/>
        </w:rPr>
        <w:t xml:space="preserve">, whilst Kohler and colleagues showed that encoder-decoder architectures applied to sEEG depth electrodes can achieve acoustic reconstruction quality comparable to ECoG </w:t>
      </w:r>
      <w:r w:rsidRPr="00191A0A">
        <w:rPr>
          <w:rFonts w:ascii="Times New Roman" w:hAnsi="Times New Roman" w:cs="Times New Roman"/>
          <w:color w:val="000000" w:themeColor="text1"/>
          <w:sz w:val="20"/>
          <w:szCs w:val="20"/>
          <w:vertAlign w:val="superscript"/>
        </w:rPr>
        <w:t>[22]</w:t>
      </w:r>
      <w:r w:rsidRPr="00191A0A">
        <w:rPr>
          <w:rFonts w:ascii="Times New Roman" w:hAnsi="Times New Roman" w:cs="Times New Roman"/>
          <w:color w:val="000000" w:themeColor="text1"/>
          <w:sz w:val="20"/>
          <w:szCs w:val="20"/>
        </w:rPr>
        <w:t xml:space="preserve">. Most significantly, Singh and colleagues in 2025 assembled the largest sEEG speech decoding cohort reported in the literature, pooling distributed recordings from 25 participants to demonstrate that a group decoder trained across participants outperforms any individual participant decoder — establishing cross-participant generalization as achievable for sEEG, not merely for surface modalities </w:t>
      </w:r>
      <w:r w:rsidRPr="00191A0A">
        <w:rPr>
          <w:rFonts w:ascii="Times New Roman" w:hAnsi="Times New Roman" w:cs="Times New Roman"/>
          <w:color w:val="000000" w:themeColor="text1"/>
          <w:sz w:val="20"/>
          <w:szCs w:val="20"/>
          <w:vertAlign w:val="superscript"/>
        </w:rPr>
        <w:t>[23]</w:t>
      </w:r>
      <w:r w:rsidRPr="00191A0A">
        <w:rPr>
          <w:rFonts w:ascii="Times New Roman" w:hAnsi="Times New Roman" w:cs="Times New Roman"/>
          <w:color w:val="000000" w:themeColor="text1"/>
          <w:sz w:val="20"/>
          <w:szCs w:val="20"/>
        </w:rPr>
        <w:t>. The sEEG modality represents 4 of the 32 invasive studies in this review, but its clinical accessibility and unique access to deep structures suggest its representation in the literature will grow substantially.</w:t>
      </w:r>
    </w:p>
    <w:p w14:paraId="01BE71A8" w14:textId="77777777" w:rsidR="00E34A0C" w:rsidRPr="00191A0A" w:rsidRDefault="00000000">
      <w:pPr>
        <w:pStyle w:val="Heading2"/>
        <w:rPr>
          <w:rFonts w:ascii="Times New Roman" w:hAnsi="Times New Roman" w:cs="Times New Roman"/>
          <w:color w:val="000000" w:themeColor="text1"/>
          <w:sz w:val="20"/>
          <w:szCs w:val="20"/>
        </w:rPr>
      </w:pPr>
      <w:proofErr w:type="gramStart"/>
      <w:r w:rsidRPr="00191A0A">
        <w:rPr>
          <w:rFonts w:ascii="Times New Roman" w:hAnsi="Times New Roman" w:cs="Times New Roman"/>
          <w:color w:val="000000" w:themeColor="text1"/>
          <w:sz w:val="20"/>
          <w:szCs w:val="20"/>
        </w:rPr>
        <w:t>3.2  Non</w:t>
      </w:r>
      <w:proofErr w:type="gramEnd"/>
      <w:r w:rsidRPr="00191A0A">
        <w:rPr>
          <w:rFonts w:ascii="Times New Roman" w:hAnsi="Times New Roman" w:cs="Times New Roman"/>
          <w:color w:val="000000" w:themeColor="text1"/>
          <w:sz w:val="20"/>
          <w:szCs w:val="20"/>
        </w:rPr>
        <w:t>-Invasive Modalities</w:t>
      </w:r>
    </w:p>
    <w:p w14:paraId="021AE199"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Non-invasive modalities offer a fundamentally different proposition: access to neural signals without any surgical procedure, with correspondingly lower signal quality and a different set of constraints on what can be decoded and how. For the hundreds of millions of individuals with speech or language impairments who are ineligible for surgical intervention — or who would not choose it — non-invasive BCI represents the only viable neural pathway to communication assistance. The scientific and engineering challenges are formidable, but the clinical imperative is equally compelling.</w:t>
      </w:r>
    </w:p>
    <w:p w14:paraId="5C4D5A76" w14:textId="77777777" w:rsidR="00E34A0C" w:rsidRPr="00191A0A" w:rsidRDefault="00000000">
      <w:pPr>
        <w:pStyle w:val="Heading3"/>
        <w:rPr>
          <w:rFonts w:ascii="Times New Roman" w:hAnsi="Times New Roman" w:cs="Times New Roman"/>
          <w:color w:val="000000" w:themeColor="text1"/>
          <w:sz w:val="20"/>
          <w:szCs w:val="20"/>
        </w:rPr>
      </w:pPr>
      <w:proofErr w:type="gramStart"/>
      <w:r w:rsidRPr="00191A0A">
        <w:rPr>
          <w:rFonts w:ascii="Times New Roman" w:hAnsi="Times New Roman" w:cs="Times New Roman"/>
          <w:color w:val="000000" w:themeColor="text1"/>
          <w:sz w:val="20"/>
          <w:szCs w:val="20"/>
        </w:rPr>
        <w:t>3.2.1  Scalp</w:t>
      </w:r>
      <w:proofErr w:type="gramEnd"/>
      <w:r w:rsidRPr="00191A0A">
        <w:rPr>
          <w:rFonts w:ascii="Times New Roman" w:hAnsi="Times New Roman" w:cs="Times New Roman"/>
          <w:color w:val="000000" w:themeColor="text1"/>
          <w:sz w:val="20"/>
          <w:szCs w:val="20"/>
        </w:rPr>
        <w:t xml:space="preserve"> Electroencephalography (EEG)</w:t>
      </w:r>
    </w:p>
    <w:p w14:paraId="1E945454"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Scalp EEG measures the sum of postsynaptic currents from millions of synchronously active cortical neurons via electrodes placed on the scalp surface, typically in a 64- or 128-channel configuration following the standardized 10-20 system. The skull, cerebrospinal fluid, and scalp tissue act collectively as a spatial low-pass filter, attenuating high-frequency components, blurring the spatial specificity of cortical sources, and mixing signals from distinct generators into composite scalp recordings that are difficult to unmix. The signal-to-noise ratio is substantially lower than ECoG across all frequency bands, and the high-gamma range — so informative for invasive speech decoding — is effectively inaccessible due to muscle artifact contamination above approximately 40 Hz </w:t>
      </w:r>
      <w:r w:rsidRPr="00191A0A">
        <w:rPr>
          <w:rFonts w:ascii="Times New Roman" w:hAnsi="Times New Roman" w:cs="Times New Roman"/>
          <w:color w:val="000000" w:themeColor="text1"/>
          <w:sz w:val="20"/>
          <w:szCs w:val="20"/>
          <w:vertAlign w:val="superscript"/>
        </w:rPr>
        <w:t>[24]</w:t>
      </w:r>
      <w:r w:rsidRPr="00191A0A">
        <w:rPr>
          <w:rFonts w:ascii="Times New Roman" w:hAnsi="Times New Roman" w:cs="Times New Roman"/>
          <w:color w:val="000000" w:themeColor="text1"/>
          <w:sz w:val="20"/>
          <w:szCs w:val="20"/>
        </w:rPr>
        <w:t>.</w:t>
      </w:r>
    </w:p>
    <w:p w14:paraId="3B73E931"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Despite these constraints, EEG has attracted considerable research attention for brain-to-speech decoding, driven by its accessibility, low cost, and the absence of surgical risk. Early EEG speech decoding work focused on closed-set imagined speech classification — identifying which of a small set of words or phonemes a participant was imagining — typically using support vector machines or linear discriminant analysis applied to spectral features </w:t>
      </w:r>
      <w:r w:rsidRPr="00191A0A">
        <w:rPr>
          <w:rFonts w:ascii="Times New Roman" w:hAnsi="Times New Roman" w:cs="Times New Roman"/>
          <w:color w:val="000000" w:themeColor="text1"/>
          <w:sz w:val="20"/>
          <w:szCs w:val="20"/>
          <w:vertAlign w:val="superscript"/>
        </w:rPr>
        <w:t>[24]</w:t>
      </w:r>
      <w:r w:rsidRPr="00191A0A">
        <w:rPr>
          <w:rFonts w:ascii="Times New Roman" w:hAnsi="Times New Roman" w:cs="Times New Roman"/>
          <w:color w:val="000000" w:themeColor="text1"/>
          <w:sz w:val="20"/>
          <w:szCs w:val="20"/>
        </w:rPr>
        <w:t xml:space="preserve">. The deep learning era brought convolutional and recurrent architectures that improved classification accuracies, with Saha and colleagues demonstrating subject-independent hierarchical deep learning achieving ~70–75% accuracy across ten participants in 2019 </w:t>
      </w:r>
      <w:r w:rsidRPr="00191A0A">
        <w:rPr>
          <w:rFonts w:ascii="Times New Roman" w:hAnsi="Times New Roman" w:cs="Times New Roman"/>
          <w:color w:val="000000" w:themeColor="text1"/>
          <w:sz w:val="20"/>
          <w:szCs w:val="20"/>
          <w:vertAlign w:val="superscript"/>
        </w:rPr>
        <w:t>[25]</w:t>
      </w:r>
      <w:r w:rsidRPr="00191A0A">
        <w:rPr>
          <w:rFonts w:ascii="Times New Roman" w:hAnsi="Times New Roman" w:cs="Times New Roman"/>
          <w:color w:val="000000" w:themeColor="text1"/>
          <w:sz w:val="20"/>
          <w:szCs w:val="20"/>
        </w:rPr>
        <w:t xml:space="preserve">, and Agarwal and Kumar demonstrating 73.56% accuracy for five-class imagined speech with a subject-independent LSTM across 13 participants in 2022 </w:t>
      </w:r>
      <w:r w:rsidRPr="00191A0A">
        <w:rPr>
          <w:rFonts w:ascii="Times New Roman" w:hAnsi="Times New Roman" w:cs="Times New Roman"/>
          <w:color w:val="000000" w:themeColor="text1"/>
          <w:sz w:val="20"/>
          <w:szCs w:val="20"/>
          <w:vertAlign w:val="superscript"/>
        </w:rPr>
        <w:t>[26]</w:t>
      </w:r>
      <w:r w:rsidRPr="00191A0A">
        <w:rPr>
          <w:rFonts w:ascii="Times New Roman" w:hAnsi="Times New Roman" w:cs="Times New Roman"/>
          <w:color w:val="000000" w:themeColor="text1"/>
          <w:sz w:val="20"/>
          <w:szCs w:val="20"/>
        </w:rPr>
        <w:t>.</w:t>
      </w:r>
    </w:p>
    <w:p w14:paraId="68C5CBFF"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lastRenderedPageBreak/>
        <w:t xml:space="preserve">A qualitative shift occurred with the introduction of transformer architectures and language model integration into the EEG decoding pipeline. Wang and Ji in 2022 demonstrated the first open-vocabulary EEG-to-text system using a BART language model, reporting above-chance sentence reconstruction from EEG during reading </w:t>
      </w:r>
      <w:r w:rsidRPr="00191A0A">
        <w:rPr>
          <w:rFonts w:ascii="Times New Roman" w:hAnsi="Times New Roman" w:cs="Times New Roman"/>
          <w:color w:val="000000" w:themeColor="text1"/>
          <w:sz w:val="20"/>
          <w:szCs w:val="20"/>
          <w:vertAlign w:val="superscript"/>
        </w:rPr>
        <w:t>[27]</w:t>
      </w:r>
      <w:r w:rsidRPr="00191A0A">
        <w:rPr>
          <w:rFonts w:ascii="Times New Roman" w:hAnsi="Times New Roman" w:cs="Times New Roman"/>
          <w:color w:val="000000" w:themeColor="text1"/>
          <w:sz w:val="20"/>
          <w:szCs w:val="20"/>
        </w:rPr>
        <w:t xml:space="preserve">. Duan and colleagues extended this with the DeWave architecture at NeurIPS 2023, using discrete EEG wave encodings that do not require explicit time-marker alignment — a practical advance that simplified training and improved BLEU and ROUGE metrics over the prior state of the art </w:t>
      </w:r>
      <w:r w:rsidRPr="00191A0A">
        <w:rPr>
          <w:rFonts w:ascii="Times New Roman" w:hAnsi="Times New Roman" w:cs="Times New Roman"/>
          <w:color w:val="000000" w:themeColor="text1"/>
          <w:sz w:val="20"/>
          <w:szCs w:val="20"/>
          <w:vertAlign w:val="superscript"/>
        </w:rPr>
        <w:t>[28]</w:t>
      </w:r>
      <w:r w:rsidRPr="00191A0A">
        <w:rPr>
          <w:rFonts w:ascii="Times New Roman" w:hAnsi="Times New Roman" w:cs="Times New Roman"/>
          <w:color w:val="000000" w:themeColor="text1"/>
          <w:sz w:val="20"/>
          <w:szCs w:val="20"/>
        </w:rPr>
        <w:t xml:space="preserve">. Yet it is important to note that EEG open-vocabulary WER in these paradigms remains approximately 35–45% — substantially higher than what ECoG or intracortical systems achieve — reflecting the fundamental signal quality ceiling of scalp recording. </w:t>
      </w:r>
      <w:proofErr w:type="gramStart"/>
      <w:r w:rsidRPr="00191A0A">
        <w:rPr>
          <w:rFonts w:ascii="Times New Roman" w:hAnsi="Times New Roman" w:cs="Times New Roman"/>
          <w:color w:val="000000" w:themeColor="text1"/>
          <w:sz w:val="20"/>
          <w:szCs w:val="20"/>
        </w:rPr>
        <w:t>The majority of</w:t>
      </w:r>
      <w:proofErr w:type="gramEnd"/>
      <w:r w:rsidRPr="00191A0A">
        <w:rPr>
          <w:rFonts w:ascii="Times New Roman" w:hAnsi="Times New Roman" w:cs="Times New Roman"/>
          <w:color w:val="000000" w:themeColor="text1"/>
          <w:sz w:val="20"/>
          <w:szCs w:val="20"/>
        </w:rPr>
        <w:t xml:space="preserve"> EEG studies in this review (47 of 20, or the full Group B) use closed-set vocabularies, reflecting the modality's current limitations for unconstrained communication.</w:t>
      </w:r>
    </w:p>
    <w:p w14:paraId="072FF59E"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The EEG modality accounts for 20 of the 71 included studies — the second-largest group after invasive ECoG and intracortical approaches — spanning imagined speech classification, perceived speech decoding, and emerging open-vocabulary generation paradigms. Its accessibility makes it the most practical non-invasive option for clinical populations who cannot access more specialized recording facilities.</w:t>
      </w:r>
    </w:p>
    <w:p w14:paraId="55EE6B2A" w14:textId="77777777" w:rsidR="00E34A0C" w:rsidRPr="00191A0A" w:rsidRDefault="00000000">
      <w:pPr>
        <w:pStyle w:val="Heading3"/>
        <w:rPr>
          <w:rFonts w:ascii="Times New Roman" w:hAnsi="Times New Roman" w:cs="Times New Roman"/>
          <w:color w:val="000000" w:themeColor="text1"/>
          <w:sz w:val="20"/>
          <w:szCs w:val="20"/>
        </w:rPr>
      </w:pPr>
      <w:proofErr w:type="gramStart"/>
      <w:r w:rsidRPr="00191A0A">
        <w:rPr>
          <w:rFonts w:ascii="Times New Roman" w:hAnsi="Times New Roman" w:cs="Times New Roman"/>
          <w:color w:val="000000" w:themeColor="text1"/>
          <w:sz w:val="20"/>
          <w:szCs w:val="20"/>
        </w:rPr>
        <w:t>3.2.2  Magnetoencephalography</w:t>
      </w:r>
      <w:proofErr w:type="gramEnd"/>
      <w:r w:rsidRPr="00191A0A">
        <w:rPr>
          <w:rFonts w:ascii="Times New Roman" w:hAnsi="Times New Roman" w:cs="Times New Roman"/>
          <w:color w:val="000000" w:themeColor="text1"/>
          <w:sz w:val="20"/>
          <w:szCs w:val="20"/>
        </w:rPr>
        <w:t xml:space="preserve"> (MEG)</w:t>
      </w:r>
    </w:p>
    <w:p w14:paraId="36921003"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Magnetoencephalography measures the tiny magnetic fields — on the order of femtotesla (10⁻¹⁵ T) — generated by the same neuronal current flows that produce the EEG signal, using superconducting quantum interference device (SQUID) sensors housed in a liquid helium-cooled cryostat. Because magnetic fields pass through the skull and scalp without the attenuation or spatial distortion that affects electrical potentials, MEG offers substantially better spatial source localization than EEG — on the order of 5–10 mm for superficial cortical sources — whilst retaining the millisecond temporal resolution that is the shared strength of electrophysiological modalities </w:t>
      </w:r>
      <w:r w:rsidRPr="00191A0A">
        <w:rPr>
          <w:rFonts w:ascii="Times New Roman" w:hAnsi="Times New Roman" w:cs="Times New Roman"/>
          <w:color w:val="000000" w:themeColor="text1"/>
          <w:sz w:val="20"/>
          <w:szCs w:val="20"/>
          <w:vertAlign w:val="superscript"/>
        </w:rPr>
        <w:t>[2]</w:t>
      </w:r>
      <w:r w:rsidRPr="00191A0A">
        <w:rPr>
          <w:rFonts w:ascii="Times New Roman" w:hAnsi="Times New Roman" w:cs="Times New Roman"/>
          <w:color w:val="000000" w:themeColor="text1"/>
          <w:sz w:val="20"/>
          <w:szCs w:val="20"/>
        </w:rPr>
        <w:t>. MEG is selectively sensitive to tangentially oriented current sources, providing complementary cortical coverage to EEG, which is more sensitive to radial sources.</w:t>
      </w:r>
    </w:p>
    <w:p w14:paraId="1C7D1032"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For brain-to-speech decoding, MEG has proven particularly powerful when combined with large participant samples and machine learning approaches that exploit its improved spatial specificity. The landmark study of Défossez and colleagues in 2023 applied contrastive self-supervised learning to MEG and EEG recordings from 175 participants across four public datasets, achieving 41% </w:t>
      </w:r>
      <w:proofErr w:type="gramStart"/>
      <w:r w:rsidRPr="00191A0A">
        <w:rPr>
          <w:rFonts w:ascii="Times New Roman" w:hAnsi="Times New Roman" w:cs="Times New Roman"/>
          <w:color w:val="000000" w:themeColor="text1"/>
          <w:sz w:val="20"/>
          <w:szCs w:val="20"/>
        </w:rPr>
        <w:t>top-1</w:t>
      </w:r>
      <w:proofErr w:type="gramEnd"/>
      <w:r w:rsidRPr="00191A0A">
        <w:rPr>
          <w:rFonts w:ascii="Times New Roman" w:hAnsi="Times New Roman" w:cs="Times New Roman"/>
          <w:color w:val="000000" w:themeColor="text1"/>
          <w:sz w:val="20"/>
          <w:szCs w:val="20"/>
        </w:rPr>
        <w:t xml:space="preserve"> classification accuracy for perceived speech segment identification </w:t>
      </w:r>
      <w:r w:rsidRPr="00191A0A">
        <w:rPr>
          <w:rFonts w:ascii="Times New Roman" w:hAnsi="Times New Roman" w:cs="Times New Roman"/>
          <w:color w:val="000000" w:themeColor="text1"/>
          <w:sz w:val="20"/>
          <w:szCs w:val="20"/>
          <w:vertAlign w:val="superscript"/>
        </w:rPr>
        <w:t>[29]</w:t>
      </w:r>
      <w:r w:rsidRPr="00191A0A">
        <w:rPr>
          <w:rFonts w:ascii="Times New Roman" w:hAnsi="Times New Roman" w:cs="Times New Roman"/>
          <w:color w:val="000000" w:themeColor="text1"/>
          <w:sz w:val="20"/>
          <w:szCs w:val="20"/>
        </w:rPr>
        <w:t xml:space="preserve">. This scale of evaluation was only possible because multiple public MEG datasets existed to enable it — a circumstance that reflects the MEG research community's stronger tradition of open data sharing compared to the invasive literature. Kwon and colleagues in 2024 demonstrated the first intelligible speech synthesis directly from MEG signals using a transformer and BigVGAN neural vocoder, achieving Mel-spectrogram Pearson correlations of approximately r=0.95 </w:t>
      </w:r>
      <w:r w:rsidRPr="00191A0A">
        <w:rPr>
          <w:rFonts w:ascii="Times New Roman" w:hAnsi="Times New Roman" w:cs="Times New Roman"/>
          <w:color w:val="000000" w:themeColor="text1"/>
          <w:sz w:val="20"/>
          <w:szCs w:val="20"/>
          <w:vertAlign w:val="superscript"/>
        </w:rPr>
        <w:t>[30]</w:t>
      </w:r>
      <w:r w:rsidRPr="00191A0A">
        <w:rPr>
          <w:rFonts w:ascii="Times New Roman" w:hAnsi="Times New Roman" w:cs="Times New Roman"/>
          <w:color w:val="000000" w:themeColor="text1"/>
          <w:sz w:val="20"/>
          <w:szCs w:val="20"/>
        </w:rPr>
        <w:t xml:space="preserve">. Most recently, d'Ascoli and colleagues trained a single CNN-transformer decoder across 723 participants from seven datasets covering English, French, and Dutch, demonstrating that MEG word decoding performance scales with the number of training participants — a finding with profound implications for the scalability of non-invasive neural speech decoding </w:t>
      </w:r>
      <w:r w:rsidRPr="00191A0A">
        <w:rPr>
          <w:rFonts w:ascii="Times New Roman" w:hAnsi="Times New Roman" w:cs="Times New Roman"/>
          <w:color w:val="000000" w:themeColor="text1"/>
          <w:sz w:val="20"/>
          <w:szCs w:val="20"/>
          <w:vertAlign w:val="superscript"/>
        </w:rPr>
        <w:t>[31]</w:t>
      </w:r>
      <w:r w:rsidRPr="00191A0A">
        <w:rPr>
          <w:rFonts w:ascii="Times New Roman" w:hAnsi="Times New Roman" w:cs="Times New Roman"/>
          <w:color w:val="000000" w:themeColor="text1"/>
          <w:sz w:val="20"/>
          <w:szCs w:val="20"/>
        </w:rPr>
        <w:t>.</w:t>
      </w:r>
    </w:p>
    <w:p w14:paraId="04E2FE1F"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MEG's principal limitation is practical rather than physiological: the requirement for a magnetically shielded room and the prohibitive cost of the cryogenic infrastructure </w:t>
      </w:r>
      <w:proofErr w:type="gramStart"/>
      <w:r w:rsidRPr="00191A0A">
        <w:rPr>
          <w:rFonts w:ascii="Times New Roman" w:hAnsi="Times New Roman" w:cs="Times New Roman"/>
          <w:color w:val="000000" w:themeColor="text1"/>
          <w:sz w:val="20"/>
          <w:szCs w:val="20"/>
        </w:rPr>
        <w:t>render</w:t>
      </w:r>
      <w:proofErr w:type="gramEnd"/>
      <w:r w:rsidRPr="00191A0A">
        <w:rPr>
          <w:rFonts w:ascii="Times New Roman" w:hAnsi="Times New Roman" w:cs="Times New Roman"/>
          <w:color w:val="000000" w:themeColor="text1"/>
          <w:sz w:val="20"/>
          <w:szCs w:val="20"/>
        </w:rPr>
        <w:t xml:space="preserve"> it unsuitable for clinical deployment outside specialist research </w:t>
      </w:r>
      <w:proofErr w:type="spellStart"/>
      <w:r w:rsidRPr="00191A0A">
        <w:rPr>
          <w:rFonts w:ascii="Times New Roman" w:hAnsi="Times New Roman" w:cs="Times New Roman"/>
          <w:color w:val="000000" w:themeColor="text1"/>
          <w:sz w:val="20"/>
          <w:szCs w:val="20"/>
        </w:rPr>
        <w:t>centres</w:t>
      </w:r>
      <w:proofErr w:type="spellEnd"/>
      <w:r w:rsidRPr="00191A0A">
        <w:rPr>
          <w:rFonts w:ascii="Times New Roman" w:hAnsi="Times New Roman" w:cs="Times New Roman"/>
          <w:color w:val="000000" w:themeColor="text1"/>
          <w:sz w:val="20"/>
          <w:szCs w:val="20"/>
        </w:rPr>
        <w:t xml:space="preserve">. The introduction of optically pumped magnetometer (OPM) arrays, which operate at room temperature and can </w:t>
      </w:r>
      <w:r w:rsidRPr="00191A0A">
        <w:rPr>
          <w:rFonts w:ascii="Times New Roman" w:hAnsi="Times New Roman" w:cs="Times New Roman"/>
          <w:color w:val="000000" w:themeColor="text1"/>
          <w:sz w:val="20"/>
          <w:szCs w:val="20"/>
        </w:rPr>
        <w:lastRenderedPageBreak/>
        <w:t>be worn as a helmet, may eventually address this barrier, but OPM-based speech decoding studies did not appear in the included literature during the review period.</w:t>
      </w:r>
    </w:p>
    <w:p w14:paraId="133BA855" w14:textId="77777777" w:rsidR="00E34A0C" w:rsidRPr="00191A0A" w:rsidRDefault="00000000">
      <w:pPr>
        <w:pStyle w:val="Heading3"/>
        <w:rPr>
          <w:rFonts w:ascii="Times New Roman" w:hAnsi="Times New Roman" w:cs="Times New Roman"/>
          <w:color w:val="000000" w:themeColor="text1"/>
          <w:sz w:val="20"/>
          <w:szCs w:val="20"/>
        </w:rPr>
      </w:pPr>
      <w:proofErr w:type="gramStart"/>
      <w:r w:rsidRPr="00191A0A">
        <w:rPr>
          <w:rFonts w:ascii="Times New Roman" w:hAnsi="Times New Roman" w:cs="Times New Roman"/>
          <w:color w:val="000000" w:themeColor="text1"/>
          <w:sz w:val="20"/>
          <w:szCs w:val="20"/>
        </w:rPr>
        <w:t>3.2.3  Functional</w:t>
      </w:r>
      <w:proofErr w:type="gramEnd"/>
      <w:r w:rsidRPr="00191A0A">
        <w:rPr>
          <w:rFonts w:ascii="Times New Roman" w:hAnsi="Times New Roman" w:cs="Times New Roman"/>
          <w:color w:val="000000" w:themeColor="text1"/>
          <w:sz w:val="20"/>
          <w:szCs w:val="20"/>
        </w:rPr>
        <w:t xml:space="preserve"> MRI (fMRI)</w:t>
      </w:r>
    </w:p>
    <w:p w14:paraId="72B579C7"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Functional MRI measures the blood-oxygen-level-dependent (BOLD) signal — the haemodynamic response to neural activity arising from the coupling between neuronal firing and local increases in cerebral blood flow and oxygenation. With a temporal resolution of 1–2 seconds (set by the repetition time of the acquisition sequence) and a spatial resolution of 1–3 mm voxels, fMRI occupies the opposite corner of the resolution trade-off space from EEG: superb spatial specificity across the entire brain simultaneously, but temporal resolution that is orders of magnitude coarser than the neural events of interest. The haemodynamic response peaks approximately 5 seconds after the neural event it reflects — a fundamental physiological latency that cannot be fully overcome by any signal processing approach </w:t>
      </w:r>
      <w:r w:rsidRPr="00191A0A">
        <w:rPr>
          <w:rFonts w:ascii="Times New Roman" w:hAnsi="Times New Roman" w:cs="Times New Roman"/>
          <w:color w:val="000000" w:themeColor="text1"/>
          <w:sz w:val="20"/>
          <w:szCs w:val="20"/>
          <w:vertAlign w:val="superscript"/>
        </w:rPr>
        <w:t>[32]</w:t>
      </w:r>
      <w:r w:rsidRPr="00191A0A">
        <w:rPr>
          <w:rFonts w:ascii="Times New Roman" w:hAnsi="Times New Roman" w:cs="Times New Roman"/>
          <w:color w:val="000000" w:themeColor="text1"/>
          <w:sz w:val="20"/>
          <w:szCs w:val="20"/>
        </w:rPr>
        <w:t>.</w:t>
      </w:r>
    </w:p>
    <w:p w14:paraId="370DAA46"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For speech decoding, this temporal limitation means that fMRI cannot track the millisecond-to-millisecond dynamics of speech articulation. What it can do, uniquely among non-invasive modalities, is reconstruct the semantic and linguistic content of perceived and imagined speech at the level of meaning rather than sound — an application that has yielded some of the most striking results in the non-invasive brain-to-speech literature. Tang and colleagues in 2023 demonstrated continuous semantic language reconstruction from fMRI signals using a GPT-based alignment approach, achieving 100% story identification accuracy and substantial above-chance recovery of narrative content </w:t>
      </w:r>
      <w:r w:rsidRPr="00191A0A">
        <w:rPr>
          <w:rFonts w:ascii="Times New Roman" w:hAnsi="Times New Roman" w:cs="Times New Roman"/>
          <w:color w:val="000000" w:themeColor="text1"/>
          <w:sz w:val="20"/>
          <w:szCs w:val="20"/>
          <w:vertAlign w:val="superscript"/>
        </w:rPr>
        <w:t>[33]</w:t>
      </w:r>
      <w:r w:rsidRPr="00191A0A">
        <w:rPr>
          <w:rFonts w:ascii="Times New Roman" w:hAnsi="Times New Roman" w:cs="Times New Roman"/>
          <w:color w:val="000000" w:themeColor="text1"/>
          <w:sz w:val="20"/>
          <w:szCs w:val="20"/>
        </w:rPr>
        <w:t xml:space="preserve">. The breadth and specificity of the semantic maps revealed by fMRI, as characterized by Huth and colleagues across the cerebral cortex </w:t>
      </w:r>
      <w:r w:rsidRPr="00191A0A">
        <w:rPr>
          <w:rFonts w:ascii="Times New Roman" w:hAnsi="Times New Roman" w:cs="Times New Roman"/>
          <w:color w:val="000000" w:themeColor="text1"/>
          <w:sz w:val="20"/>
          <w:szCs w:val="20"/>
          <w:vertAlign w:val="superscript"/>
        </w:rPr>
        <w:t>[34]</w:t>
      </w:r>
      <w:r w:rsidRPr="00191A0A">
        <w:rPr>
          <w:rFonts w:ascii="Times New Roman" w:hAnsi="Times New Roman" w:cs="Times New Roman"/>
          <w:color w:val="000000" w:themeColor="text1"/>
          <w:sz w:val="20"/>
          <w:szCs w:val="20"/>
        </w:rPr>
        <w:t>, provide the neural substrate for this capability: the meaning of language is genuinely represented in the BOLD signal, even if the acoustic form is not.</w:t>
      </w:r>
    </w:p>
    <w:p w14:paraId="224A1753"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Recent work has extended fMRI decoding to cross-participant and cross-modal paradigms. Tang and Huth in 2025 demonstrated cross-participant cross-modal semantic decoding across EEG, MEG, and fMRI simultaneously, establishing that shared semantic representations generalize both across individuals and across recording modalities </w:t>
      </w:r>
      <w:r w:rsidRPr="00191A0A">
        <w:rPr>
          <w:rFonts w:ascii="Times New Roman" w:hAnsi="Times New Roman" w:cs="Times New Roman"/>
          <w:color w:val="000000" w:themeColor="text1"/>
          <w:sz w:val="20"/>
          <w:szCs w:val="20"/>
          <w:vertAlign w:val="superscript"/>
        </w:rPr>
        <w:t>[35]</w:t>
      </w:r>
      <w:r w:rsidRPr="00191A0A">
        <w:rPr>
          <w:rFonts w:ascii="Times New Roman" w:hAnsi="Times New Roman" w:cs="Times New Roman"/>
          <w:color w:val="000000" w:themeColor="text1"/>
          <w:sz w:val="20"/>
          <w:szCs w:val="20"/>
        </w:rPr>
        <w:t>. The fMRI modality contributes 6 of the 11 Group C studies in this review, with the remainder using MEG; the proportion of fMRI studies has increased markedly from 2022 onwards, coinciding with the availability of large open fMRI language datasets and the maturation of LLM-based decoding pipelines that are particularly well-suited to the semantic character of fMRI signals.</w:t>
      </w:r>
    </w:p>
    <w:p w14:paraId="0F6D811B" w14:textId="77777777" w:rsidR="00E34A0C" w:rsidRPr="00191A0A" w:rsidRDefault="00000000">
      <w:pPr>
        <w:pStyle w:val="Heading2"/>
        <w:rPr>
          <w:rFonts w:ascii="Times New Roman" w:hAnsi="Times New Roman" w:cs="Times New Roman"/>
          <w:color w:val="000000" w:themeColor="text1"/>
          <w:sz w:val="20"/>
          <w:szCs w:val="20"/>
        </w:rPr>
      </w:pPr>
      <w:proofErr w:type="gramStart"/>
      <w:r w:rsidRPr="00191A0A">
        <w:rPr>
          <w:rFonts w:ascii="Times New Roman" w:hAnsi="Times New Roman" w:cs="Times New Roman"/>
          <w:color w:val="000000" w:themeColor="text1"/>
          <w:sz w:val="20"/>
          <w:szCs w:val="20"/>
        </w:rPr>
        <w:t>3.3  Hybrid</w:t>
      </w:r>
      <w:proofErr w:type="gramEnd"/>
      <w:r w:rsidRPr="00191A0A">
        <w:rPr>
          <w:rFonts w:ascii="Times New Roman" w:hAnsi="Times New Roman" w:cs="Times New Roman"/>
          <w:color w:val="000000" w:themeColor="text1"/>
          <w:sz w:val="20"/>
          <w:szCs w:val="20"/>
        </w:rPr>
        <w:t xml:space="preserve"> and Emerging Modalities</w:t>
      </w:r>
    </w:p>
    <w:p w14:paraId="76FE93E4"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Beyond the canonical six modalities, the included literature encompasses three hybrid and emerging approaches that address specific limitations of their unimodal counterparts by combining complementary signal sources, increasing spatial sampling density, or exploiting peripheral articulatory signals that are not derived from the brain itself but are tightly coupled to speech production intent.</w:t>
      </w:r>
    </w:p>
    <w:p w14:paraId="1F7C7CAE" w14:textId="77777777" w:rsidR="00E34A0C" w:rsidRPr="00191A0A" w:rsidRDefault="00000000">
      <w:pPr>
        <w:pStyle w:val="Heading3"/>
        <w:rPr>
          <w:rFonts w:ascii="Times New Roman" w:hAnsi="Times New Roman" w:cs="Times New Roman"/>
          <w:color w:val="000000" w:themeColor="text1"/>
          <w:sz w:val="20"/>
          <w:szCs w:val="20"/>
        </w:rPr>
      </w:pPr>
      <w:proofErr w:type="gramStart"/>
      <w:r w:rsidRPr="00191A0A">
        <w:rPr>
          <w:rFonts w:ascii="Times New Roman" w:hAnsi="Times New Roman" w:cs="Times New Roman"/>
          <w:color w:val="000000" w:themeColor="text1"/>
          <w:sz w:val="20"/>
          <w:szCs w:val="20"/>
        </w:rPr>
        <w:t>3.3.1  EEG</w:t>
      </w:r>
      <w:proofErr w:type="gramEnd"/>
      <w:r w:rsidRPr="00191A0A">
        <w:rPr>
          <w:rFonts w:ascii="Times New Roman" w:hAnsi="Times New Roman" w:cs="Times New Roman"/>
          <w:color w:val="000000" w:themeColor="text1"/>
          <w:sz w:val="20"/>
          <w:szCs w:val="20"/>
        </w:rPr>
        <w:t xml:space="preserve"> + fNIRS Fusion</w:t>
      </w:r>
    </w:p>
    <w:p w14:paraId="05C7D371"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Functional near-infrared spectroscopy (fNIRS) measures cortical haemodynamics via the differential absorption of near-infrared light at oxyhaemoglobin and deoxyhaemoglobin chromophores, providing a slow (1–2 second temporal </w:t>
      </w:r>
      <w:r w:rsidRPr="00191A0A">
        <w:rPr>
          <w:rFonts w:ascii="Times New Roman" w:hAnsi="Times New Roman" w:cs="Times New Roman"/>
          <w:color w:val="000000" w:themeColor="text1"/>
          <w:sz w:val="20"/>
          <w:szCs w:val="20"/>
        </w:rPr>
        <w:lastRenderedPageBreak/>
        <w:t xml:space="preserve">resolution) but portable and wearable measure of cortical blood oxygenation. When combined with EEG in a hybrid recording system, the two modalities provide complementary information: EEG captures rapid neural oscillations (millisecond resolution, poor spatial specificity) whilst fNIRS contributes slower haemodynamic context (low temporal resolution, better cortical spatial specificity than EEG alone). Cooney and colleagues in 2022 demonstrated that a bimodal CNN trained on EEG+fNIRS data outperforms unimodal EEG decoding for both overt and imagined speech across 19 participants </w:t>
      </w:r>
      <w:r w:rsidRPr="00191A0A">
        <w:rPr>
          <w:rFonts w:ascii="Times New Roman" w:hAnsi="Times New Roman" w:cs="Times New Roman"/>
          <w:color w:val="000000" w:themeColor="text1"/>
          <w:sz w:val="20"/>
          <w:szCs w:val="20"/>
          <w:vertAlign w:val="superscript"/>
        </w:rPr>
        <w:t>[36]</w:t>
      </w:r>
      <w:r w:rsidRPr="00191A0A">
        <w:rPr>
          <w:rFonts w:ascii="Times New Roman" w:hAnsi="Times New Roman" w:cs="Times New Roman"/>
          <w:color w:val="000000" w:themeColor="text1"/>
          <w:sz w:val="20"/>
          <w:szCs w:val="20"/>
        </w:rPr>
        <w:t xml:space="preserve">. Hons and colleagues in 2026 further extended EEG+fNIRS hybrid decoding to phoneme classification from imagined and perceived speech, confirming the complementarity of the combined signal </w:t>
      </w:r>
      <w:r w:rsidRPr="00191A0A">
        <w:rPr>
          <w:rFonts w:ascii="Times New Roman" w:hAnsi="Times New Roman" w:cs="Times New Roman"/>
          <w:color w:val="000000" w:themeColor="text1"/>
          <w:sz w:val="20"/>
          <w:szCs w:val="20"/>
          <w:vertAlign w:val="superscript"/>
        </w:rPr>
        <w:t>[37]</w:t>
      </w:r>
      <w:r w:rsidRPr="00191A0A">
        <w:rPr>
          <w:rFonts w:ascii="Times New Roman" w:hAnsi="Times New Roman" w:cs="Times New Roman"/>
          <w:color w:val="000000" w:themeColor="text1"/>
          <w:sz w:val="20"/>
          <w:szCs w:val="20"/>
        </w:rPr>
        <w:t>. The practical advantage of EEG+fNIRS over EEG alone comes at modest additional cost in hardware and setup complexity, making it a promising direction for wearable speech BCIs.</w:t>
      </w:r>
    </w:p>
    <w:p w14:paraId="5E073A51" w14:textId="77777777" w:rsidR="00E34A0C" w:rsidRPr="00191A0A" w:rsidRDefault="00000000">
      <w:pPr>
        <w:pStyle w:val="Heading3"/>
        <w:rPr>
          <w:rFonts w:ascii="Times New Roman" w:hAnsi="Times New Roman" w:cs="Times New Roman"/>
          <w:color w:val="000000" w:themeColor="text1"/>
          <w:sz w:val="20"/>
          <w:szCs w:val="20"/>
        </w:rPr>
      </w:pPr>
      <w:proofErr w:type="gramStart"/>
      <w:r w:rsidRPr="00191A0A">
        <w:rPr>
          <w:rFonts w:ascii="Times New Roman" w:hAnsi="Times New Roman" w:cs="Times New Roman"/>
          <w:color w:val="000000" w:themeColor="text1"/>
          <w:sz w:val="20"/>
          <w:szCs w:val="20"/>
        </w:rPr>
        <w:t>3.3.2  Surface</w:t>
      </w:r>
      <w:proofErr w:type="gramEnd"/>
      <w:r w:rsidRPr="00191A0A">
        <w:rPr>
          <w:rFonts w:ascii="Times New Roman" w:hAnsi="Times New Roman" w:cs="Times New Roman"/>
          <w:color w:val="000000" w:themeColor="text1"/>
          <w:sz w:val="20"/>
          <w:szCs w:val="20"/>
        </w:rPr>
        <w:t xml:space="preserve"> Electromyography (sEMG) for Silent Speech</w:t>
      </w:r>
    </w:p>
    <w:p w14:paraId="56550BF8"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Surface electromyography is not, strictly speaking, a neural modality — it records the electrical activity of facial and laryngeal muscles rather than the brain itself. However, it occupies a legitimate place in the brain-to-speech BCI landscape because it captures the articulatory intent of speech at the peripheral motor execution stage: the muscle patterns associated with speaking a word silently (mouthed or sub-vocal speech) are highly consistent and informative, even without overt vocalization. High-density sEMG (HD-sEMG) arrays with 120 or more surface electrodes across facial and submental muscle groups provide particularly rich spatial sampling of articulatory dynamics.</w:t>
      </w:r>
    </w:p>
    <w:p w14:paraId="17B8FB11"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The HD-sEMG results in this review are among the highest-performing in the non-invasive literature. Song and colleagues in 2023 achieved 97.17% phrase accuracy and </w:t>
      </w:r>
      <w:proofErr w:type="gramStart"/>
      <w:r w:rsidRPr="00191A0A">
        <w:rPr>
          <w:rFonts w:ascii="Times New Roman" w:hAnsi="Times New Roman" w:cs="Times New Roman"/>
          <w:color w:val="000000" w:themeColor="text1"/>
          <w:sz w:val="20"/>
          <w:szCs w:val="20"/>
        </w:rPr>
        <w:t>3.11% character</w:t>
      </w:r>
      <w:proofErr w:type="gramEnd"/>
      <w:r w:rsidRPr="00191A0A">
        <w:rPr>
          <w:rFonts w:ascii="Times New Roman" w:hAnsi="Times New Roman" w:cs="Times New Roman"/>
          <w:color w:val="000000" w:themeColor="text1"/>
          <w:sz w:val="20"/>
          <w:szCs w:val="20"/>
        </w:rPr>
        <w:t xml:space="preserve"> error rate for 33 Chinese phrases using a spatiotemporal CNN-RNN architecture on HD-sEMG — the best CER reported for any silent speech approach in this review </w:t>
      </w:r>
      <w:r w:rsidRPr="00191A0A">
        <w:rPr>
          <w:rFonts w:ascii="Times New Roman" w:hAnsi="Times New Roman" w:cs="Times New Roman"/>
          <w:color w:val="000000" w:themeColor="text1"/>
          <w:sz w:val="20"/>
          <w:szCs w:val="20"/>
          <w:vertAlign w:val="superscript"/>
        </w:rPr>
        <w:t>[38]</w:t>
      </w:r>
      <w:r w:rsidRPr="00191A0A">
        <w:rPr>
          <w:rFonts w:ascii="Times New Roman" w:hAnsi="Times New Roman" w:cs="Times New Roman"/>
          <w:color w:val="000000" w:themeColor="text1"/>
          <w:sz w:val="20"/>
          <w:szCs w:val="20"/>
        </w:rPr>
        <w:t xml:space="preserve">. Zhu and colleagues in 2021 demonstrated 87–90% digit classification accuracy for both English and Chinese using an optimized 120-electrode HD-sEMG configuration </w:t>
      </w:r>
      <w:r w:rsidRPr="00191A0A">
        <w:rPr>
          <w:rFonts w:ascii="Times New Roman" w:hAnsi="Times New Roman" w:cs="Times New Roman"/>
          <w:color w:val="000000" w:themeColor="text1"/>
          <w:sz w:val="20"/>
          <w:szCs w:val="20"/>
          <w:vertAlign w:val="superscript"/>
        </w:rPr>
        <w:t>[39]</w:t>
      </w:r>
      <w:r w:rsidRPr="00191A0A">
        <w:rPr>
          <w:rFonts w:ascii="Times New Roman" w:hAnsi="Times New Roman" w:cs="Times New Roman"/>
          <w:color w:val="000000" w:themeColor="text1"/>
          <w:sz w:val="20"/>
          <w:szCs w:val="20"/>
        </w:rPr>
        <w:t xml:space="preserve">, and Li and colleagues extended HD-sEMG to Mandarin tonal speech synthesis using an encoder-decoder architecture </w:t>
      </w:r>
      <w:r w:rsidRPr="00191A0A">
        <w:rPr>
          <w:rFonts w:ascii="Times New Roman" w:hAnsi="Times New Roman" w:cs="Times New Roman"/>
          <w:color w:val="000000" w:themeColor="text1"/>
          <w:sz w:val="20"/>
          <w:szCs w:val="20"/>
          <w:vertAlign w:val="superscript"/>
        </w:rPr>
        <w:t>[40]</w:t>
      </w:r>
      <w:r w:rsidRPr="00191A0A">
        <w:rPr>
          <w:rFonts w:ascii="Times New Roman" w:hAnsi="Times New Roman" w:cs="Times New Roman"/>
          <w:color w:val="000000" w:themeColor="text1"/>
          <w:sz w:val="20"/>
          <w:szCs w:val="20"/>
        </w:rPr>
        <w:t>. These results suggest that peripheral articulatory signals, whilst technically not 'brain' signals in the neural sense, represent a highly accessible and high-performing avenue for silent speech communication that deserves consideration alongside brain-based approaches.</w:t>
      </w:r>
    </w:p>
    <w:p w14:paraId="2E848A14" w14:textId="77777777" w:rsidR="00E34A0C" w:rsidRPr="00191A0A" w:rsidRDefault="00000000">
      <w:pPr>
        <w:pStyle w:val="Heading3"/>
        <w:rPr>
          <w:rFonts w:ascii="Times New Roman" w:hAnsi="Times New Roman" w:cs="Times New Roman"/>
          <w:color w:val="000000" w:themeColor="text1"/>
          <w:sz w:val="20"/>
          <w:szCs w:val="20"/>
        </w:rPr>
      </w:pPr>
      <w:proofErr w:type="gramStart"/>
      <w:r w:rsidRPr="00191A0A">
        <w:rPr>
          <w:rFonts w:ascii="Times New Roman" w:hAnsi="Times New Roman" w:cs="Times New Roman"/>
          <w:color w:val="000000" w:themeColor="text1"/>
          <w:sz w:val="20"/>
          <w:szCs w:val="20"/>
        </w:rPr>
        <w:t>3.3.3  Micro</w:t>
      </w:r>
      <w:proofErr w:type="gramEnd"/>
      <w:r w:rsidRPr="00191A0A">
        <w:rPr>
          <w:rFonts w:ascii="Times New Roman" w:hAnsi="Times New Roman" w:cs="Times New Roman"/>
          <w:color w:val="000000" w:themeColor="text1"/>
          <w:sz w:val="20"/>
          <w:szCs w:val="20"/>
        </w:rPr>
        <w:t>-ECoG (µECoG)</w:t>
      </w:r>
    </w:p>
    <w:p w14:paraId="2DB1DF02"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Micro-ECoG (µECoG) refers to high-density ECoG arrays with sub-</w:t>
      </w:r>
      <w:proofErr w:type="spellStart"/>
      <w:r w:rsidRPr="00191A0A">
        <w:rPr>
          <w:rFonts w:ascii="Times New Roman" w:hAnsi="Times New Roman" w:cs="Times New Roman"/>
          <w:color w:val="000000" w:themeColor="text1"/>
          <w:sz w:val="20"/>
          <w:szCs w:val="20"/>
        </w:rPr>
        <w:t>millimetre</w:t>
      </w:r>
      <w:proofErr w:type="spellEnd"/>
      <w:r w:rsidRPr="00191A0A">
        <w:rPr>
          <w:rFonts w:ascii="Times New Roman" w:hAnsi="Times New Roman" w:cs="Times New Roman"/>
          <w:color w:val="000000" w:themeColor="text1"/>
          <w:sz w:val="20"/>
          <w:szCs w:val="20"/>
        </w:rPr>
        <w:t xml:space="preserve"> electrode spacing and electrode diameters on the order of 100–200 μm, fabricated using flexible polymer substrates rather than conventional rigid silicon or polyimide grids. The spatial sampling advantage of µECoG over standard ECoG is directly analogous to the advantage of intracortical recording over ECoG: finer spatial resolution reveals higher-bandwidth information about the cortical speech motor map that is averaged away at coarser scales.</w:t>
      </w:r>
    </w:p>
    <w:p w14:paraId="1BC51CFB"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Duraivel and colleagues provided the most direct quantitative comparison of µECoG and standard macro-ECoG for speech decoding in 2023, demonstrating a 35% improvement in phoneme classification accuracy from µECoG versus macro-ECoG in the same four participants — attributable to the 57-fold increase in effective spatial sampling </w:t>
      </w:r>
      <w:r w:rsidRPr="00191A0A">
        <w:rPr>
          <w:rFonts w:ascii="Times New Roman" w:hAnsi="Times New Roman" w:cs="Times New Roman"/>
          <w:color w:val="000000" w:themeColor="text1"/>
          <w:sz w:val="20"/>
          <w:szCs w:val="20"/>
          <w:vertAlign w:val="superscript"/>
        </w:rPr>
        <w:t>[41]</w:t>
      </w:r>
      <w:r w:rsidRPr="00191A0A">
        <w:rPr>
          <w:rFonts w:ascii="Times New Roman" w:hAnsi="Times New Roman" w:cs="Times New Roman"/>
          <w:color w:val="000000" w:themeColor="text1"/>
          <w:sz w:val="20"/>
          <w:szCs w:val="20"/>
        </w:rPr>
        <w:t xml:space="preserve">. This result carries important implications: it suggests that a significant portion of the performance gap between ECoG and intracortical systems may be recoverable by increasing ECoG spatial density, potentially offering a less biologically disruptive path to </w:t>
      </w:r>
      <w:r w:rsidRPr="00191A0A">
        <w:rPr>
          <w:rFonts w:ascii="Times New Roman" w:hAnsi="Times New Roman" w:cs="Times New Roman"/>
          <w:color w:val="000000" w:themeColor="text1"/>
          <w:sz w:val="20"/>
          <w:szCs w:val="20"/>
        </w:rPr>
        <w:lastRenderedPageBreak/>
        <w:t>higher-performance speech decoding. µECoG devices face their own engineering challenges — fabrication complexity, the need for high channel count recording systems, and limited coverage area per device — but represent an active direction in next-generation neuroprosthesis hardware.</w:t>
      </w:r>
    </w:p>
    <w:p w14:paraId="73F58712" w14:textId="77777777" w:rsidR="00E34A0C" w:rsidRPr="00191A0A" w:rsidRDefault="00000000">
      <w:pPr>
        <w:pStyle w:val="Heading2"/>
        <w:rPr>
          <w:rFonts w:ascii="Times New Roman" w:hAnsi="Times New Roman" w:cs="Times New Roman"/>
          <w:color w:val="000000" w:themeColor="text1"/>
          <w:sz w:val="20"/>
          <w:szCs w:val="20"/>
        </w:rPr>
      </w:pPr>
      <w:proofErr w:type="gramStart"/>
      <w:r w:rsidRPr="00191A0A">
        <w:rPr>
          <w:rFonts w:ascii="Times New Roman" w:hAnsi="Times New Roman" w:cs="Times New Roman"/>
          <w:color w:val="000000" w:themeColor="text1"/>
          <w:sz w:val="20"/>
          <w:szCs w:val="20"/>
        </w:rPr>
        <w:t>3.4  Modality</w:t>
      </w:r>
      <w:proofErr w:type="gramEnd"/>
      <w:r w:rsidRPr="00191A0A">
        <w:rPr>
          <w:rFonts w:ascii="Times New Roman" w:hAnsi="Times New Roman" w:cs="Times New Roman"/>
          <w:color w:val="000000" w:themeColor="text1"/>
          <w:sz w:val="20"/>
          <w:szCs w:val="20"/>
        </w:rPr>
        <w:t xml:space="preserve"> Comparison Summary</w:t>
      </w:r>
    </w:p>
    <w:p w14:paraId="2D4BBF17"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 xml:space="preserve">Table 1 summarizes the technical, operational, and performance characteristics of all modality groups represented across the 71 included studies. Several patterns are immediately apparent. First, the performance gradient from intracortical recording through ECoG and sEEG to non-invasive modalities is consistent and substantial — the best WER achieved by any non-invasive EEG system (approximately 35–45% for open-vocabulary tasks) remains an order of magnitude larger than the best intracortical result (2.5%, Card and colleagues </w:t>
      </w:r>
      <w:r w:rsidRPr="00191A0A">
        <w:rPr>
          <w:rFonts w:ascii="Times New Roman" w:hAnsi="Times New Roman" w:cs="Times New Roman"/>
          <w:color w:val="000000" w:themeColor="text1"/>
          <w:sz w:val="20"/>
          <w:szCs w:val="20"/>
          <w:vertAlign w:val="superscript"/>
        </w:rPr>
        <w:t>[15]</w:t>
      </w:r>
      <w:r w:rsidRPr="00191A0A">
        <w:rPr>
          <w:rFonts w:ascii="Times New Roman" w:hAnsi="Times New Roman" w:cs="Times New Roman"/>
          <w:color w:val="000000" w:themeColor="text1"/>
          <w:sz w:val="20"/>
          <w:szCs w:val="20"/>
        </w:rPr>
        <w:t>). Second, the study distribution is markedly skewed towards invasive modalities in the early years of the review period (2015–2019), with non-invasive and hybrid modalities gaining representation from 2022 onwards — reflecting the enabling role of transformer architectures and self-supervised learning in making non-invasive decoding more competitive (see Fig. 5 and Section 4). Third, non-invasive modalities dominate the cross-participant generalization evidence (detailed in Section 6), suggesting that the larger participant samples accessible without surgical barriers enable the multi-subject training that generalization requires.</w:t>
      </w:r>
    </w:p>
    <w:p w14:paraId="4DEEB171" w14:textId="77777777" w:rsidR="00E34A0C" w:rsidRPr="00191A0A" w:rsidRDefault="00000000">
      <w:pPr>
        <w:spacing w:after="180" w:line="360" w:lineRule="auto"/>
        <w:jc w:val="both"/>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No modality in this review is universally superior. The choice is always a function of the clinical context, the patient population, and the specific communication goal. A completely locked-in ALS patient who requires immediate communication restoration and is willing to accept surgical risk stands to benefit most from intracortical implantation, where the performance evidence is most compelling. A patient with progressive aphasia who retains some residual communication capacity and prefers to avoid surgery may derive practical benefit from a well-designed EEG+fNIRS or EEG imagined speech system at lower performance levels. The systematic evidence synthesized here is intended to ground those clinical decisions in the actual empirical record, rather than in the most recently published headline result.</w:t>
      </w:r>
    </w:p>
    <w:p w14:paraId="591A1EF4" w14:textId="77777777" w:rsidR="00E34A0C" w:rsidRPr="00191A0A" w:rsidRDefault="00E34A0C">
      <w:pPr>
        <w:pBdr>
          <w:bottom w:val="single" w:sz="4" w:space="1" w:color="BDD7EE"/>
        </w:pBdr>
        <w:spacing w:after="200"/>
        <w:rPr>
          <w:rFonts w:ascii="Times New Roman" w:hAnsi="Times New Roman" w:cs="Times New Roman"/>
          <w:color w:val="000000" w:themeColor="text1"/>
          <w:sz w:val="20"/>
          <w:szCs w:val="20"/>
        </w:rPr>
      </w:pPr>
    </w:p>
    <w:p w14:paraId="5A226DDA" w14:textId="77777777" w:rsidR="00E34A0C" w:rsidRPr="00191A0A" w:rsidRDefault="00000000">
      <w:pPr>
        <w:spacing w:before="300" w:after="16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References</w:t>
      </w:r>
    </w:p>
    <w:p w14:paraId="75DD1DA8" w14:textId="77777777" w:rsidR="00E34A0C" w:rsidRPr="00191A0A" w:rsidRDefault="00000000">
      <w:pPr>
        <w:spacing w:before="120" w:line="320" w:lineRule="auto"/>
        <w:rPr>
          <w:rFonts w:ascii="Times New Roman" w:hAnsi="Times New Roman" w:cs="Times New Roman"/>
          <w:color w:val="000000" w:themeColor="text1"/>
          <w:sz w:val="20"/>
          <w:szCs w:val="20"/>
        </w:rPr>
      </w:pPr>
      <w:r w:rsidRPr="00191A0A">
        <w:rPr>
          <w:rFonts w:ascii="Times New Roman" w:hAnsi="Times New Roman" w:cs="Times New Roman"/>
          <w:color w:val="000000" w:themeColor="text1"/>
          <w:sz w:val="20"/>
          <w:szCs w:val="20"/>
        </w:rPr>
        <w:t>Section 3 references — to be renumbered sequentially in the final manuscript pass.</w:t>
      </w:r>
    </w:p>
    <w:p w14:paraId="3EC7B197" w14:textId="77777777" w:rsidR="00E34A0C" w:rsidRPr="00191A0A" w:rsidRDefault="00E34A0C">
      <w:pPr>
        <w:spacing w:after="60"/>
        <w:rPr>
          <w:rFonts w:ascii="Times New Roman" w:hAnsi="Times New Roman" w:cs="Times New Roman"/>
          <w:color w:val="000000" w:themeColor="text1"/>
          <w:sz w:val="20"/>
          <w:szCs w:val="20"/>
        </w:rPr>
      </w:pPr>
    </w:p>
    <w:p w14:paraId="0DF4B591"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[1]</w:t>
      </w:r>
      <w:r w:rsidRPr="00191A0A">
        <w:rPr>
          <w:rFonts w:ascii="Times New Roman" w:hAnsi="Times New Roman" w:cs="Times New Roman"/>
          <w:color w:val="000000" w:themeColor="text1"/>
          <w:sz w:val="20"/>
          <w:szCs w:val="20"/>
        </w:rPr>
        <w:tab/>
        <w:t xml:space="preserve">G. Hickok and D. Poeppel, "The cortical organization of speech processing," Nat. Rev. Neurosci., vol. 8, no. 5, pp. 393–402, May 2007,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10.1038/nrn2113.</w:t>
      </w:r>
    </w:p>
    <w:p w14:paraId="7FE628A1"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[2]</w:t>
      </w:r>
      <w:r w:rsidRPr="00191A0A">
        <w:rPr>
          <w:rFonts w:ascii="Times New Roman" w:hAnsi="Times New Roman" w:cs="Times New Roman"/>
          <w:color w:val="000000" w:themeColor="text1"/>
          <w:sz w:val="20"/>
          <w:szCs w:val="20"/>
        </w:rPr>
        <w:tab/>
        <w:t xml:space="preserve">C. Herff and T. Schultz, "Automatic speech recognition from neural signals: A focused review," Front. Neurosci., vol. 10, Art. no. 429, Sep. 2016,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10.3389/fnins.2016.00429.</w:t>
      </w:r>
    </w:p>
    <w:p w14:paraId="3BB1A817"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[3]</w:t>
      </w:r>
      <w:r w:rsidRPr="00191A0A">
        <w:rPr>
          <w:rFonts w:ascii="Times New Roman" w:hAnsi="Times New Roman" w:cs="Times New Roman"/>
          <w:color w:val="000000" w:themeColor="text1"/>
          <w:sz w:val="20"/>
          <w:szCs w:val="20"/>
        </w:rPr>
        <w:tab/>
        <w:t xml:space="preserve">J. Chartier, G. K. Anumanchipalli, K. Johnson, and E. F. Chang, "Encoding of articulatory kinematic trajectories in human speech sensorimotor cortex," Neuron, vol. 98, no. 5, pp. 1042–1054, Jun. 2018,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10.1016/j.neuron.2018.04.031.</w:t>
      </w:r>
    </w:p>
    <w:p w14:paraId="298A6115"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[4]</w:t>
      </w:r>
      <w:r w:rsidRPr="00191A0A">
        <w:rPr>
          <w:rFonts w:ascii="Times New Roman" w:hAnsi="Times New Roman" w:cs="Times New Roman"/>
          <w:color w:val="000000" w:themeColor="text1"/>
          <w:sz w:val="20"/>
          <w:szCs w:val="20"/>
        </w:rPr>
        <w:tab/>
        <w:t xml:space="preserve">T. </w:t>
      </w:r>
      <w:proofErr w:type="spellStart"/>
      <w:r w:rsidRPr="00191A0A">
        <w:rPr>
          <w:rFonts w:ascii="Times New Roman" w:hAnsi="Times New Roman" w:cs="Times New Roman"/>
          <w:color w:val="000000" w:themeColor="text1"/>
          <w:sz w:val="20"/>
          <w:szCs w:val="20"/>
        </w:rPr>
        <w:t>Proix</w:t>
      </w:r>
      <w:proofErr w:type="spellEnd"/>
      <w:r w:rsidRPr="00191A0A">
        <w:rPr>
          <w:rFonts w:ascii="Times New Roman" w:hAnsi="Times New Roman" w:cs="Times New Roman"/>
          <w:color w:val="000000" w:themeColor="text1"/>
          <w:sz w:val="20"/>
          <w:szCs w:val="20"/>
        </w:rPr>
        <w:t xml:space="preserve">, J. F. de Saa, A. Christen, S. Martin, B. N. Pasley, R. T. Knight, X. Tian, D. Poeppel, W. Doyle, O. Devinsky, L. H. Arnal, P. </w:t>
      </w:r>
      <w:proofErr w:type="spellStart"/>
      <w:r w:rsidRPr="00191A0A">
        <w:rPr>
          <w:rFonts w:ascii="Times New Roman" w:hAnsi="Times New Roman" w:cs="Times New Roman"/>
          <w:color w:val="000000" w:themeColor="text1"/>
          <w:sz w:val="20"/>
          <w:szCs w:val="20"/>
        </w:rPr>
        <w:t>Mégevand</w:t>
      </w:r>
      <w:proofErr w:type="spellEnd"/>
      <w:r w:rsidRPr="00191A0A">
        <w:rPr>
          <w:rFonts w:ascii="Times New Roman" w:hAnsi="Times New Roman" w:cs="Times New Roman"/>
          <w:color w:val="000000" w:themeColor="text1"/>
          <w:sz w:val="20"/>
          <w:szCs w:val="20"/>
        </w:rPr>
        <w:t>, and A. L. Giraud, "Imagined speech can be decoded from low- and cross-</w:t>
      </w:r>
      <w:r w:rsidRPr="00191A0A">
        <w:rPr>
          <w:rFonts w:ascii="Times New Roman" w:hAnsi="Times New Roman" w:cs="Times New Roman"/>
          <w:color w:val="000000" w:themeColor="text1"/>
          <w:sz w:val="20"/>
          <w:szCs w:val="20"/>
        </w:rPr>
        <w:lastRenderedPageBreak/>
        <w:t xml:space="preserve">frequency intracranial EEG features," Nat. Commun., vol. 13, Art. no. 48, Jan. 2022,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10.1038/s41467-021-27725-3.</w:t>
      </w:r>
    </w:p>
    <w:p w14:paraId="3CBB3D98"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[5]</w:t>
      </w:r>
      <w:r w:rsidRPr="00191A0A">
        <w:rPr>
          <w:rFonts w:ascii="Times New Roman" w:hAnsi="Times New Roman" w:cs="Times New Roman"/>
          <w:color w:val="000000" w:themeColor="text1"/>
          <w:sz w:val="20"/>
          <w:szCs w:val="20"/>
        </w:rPr>
        <w:tab/>
        <w:t xml:space="preserve">C. Herff, D. Heger, A. de Pesters, D. Telaar, P. Brunner, G. Schalk, and T. Schultz, "Brain-to-text: Decoding spoken phrases from phonetic representations in the brain," Front. Neurosci., vol. 9, Art. no. 217, Jun. 2015,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10.3389/fnins.2015.00217.</w:t>
      </w:r>
    </w:p>
    <w:p w14:paraId="7636B753"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[6]</w:t>
      </w:r>
      <w:r w:rsidRPr="00191A0A">
        <w:rPr>
          <w:rFonts w:ascii="Times New Roman" w:hAnsi="Times New Roman" w:cs="Times New Roman"/>
          <w:color w:val="000000" w:themeColor="text1"/>
          <w:sz w:val="20"/>
          <w:szCs w:val="20"/>
        </w:rPr>
        <w:tab/>
        <w:t xml:space="preserve">G. K. Anumanchipalli, J. Chartier, and E. F. Chang, "Speech synthesis from neural decoding of spoken sentences," Nature, vol. 568, no. 7753, pp. 493–498, Apr. 2019,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10.1038/s41586-019-1119-1.</w:t>
      </w:r>
    </w:p>
    <w:p w14:paraId="2C23D374"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[7]</w:t>
      </w:r>
      <w:r w:rsidRPr="00191A0A">
        <w:rPr>
          <w:rFonts w:ascii="Times New Roman" w:hAnsi="Times New Roman" w:cs="Times New Roman"/>
          <w:color w:val="000000" w:themeColor="text1"/>
          <w:sz w:val="20"/>
          <w:szCs w:val="20"/>
        </w:rPr>
        <w:tab/>
        <w:t xml:space="preserve">J. Chartier, G. K. Anumanchipalli, K. Johnson, and E. F. Chang, "Encoding of articulatory kinematic trajectories in human speech sensorimotor cortex," Neuron, vol. 98, no. 5, pp. 1042–1054, Jun. 2018,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10.1016/j.neuron.2018.04.031.</w:t>
      </w:r>
    </w:p>
    <w:p w14:paraId="7573DCFC"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[8]</w:t>
      </w:r>
      <w:r w:rsidRPr="00191A0A">
        <w:rPr>
          <w:rFonts w:ascii="Times New Roman" w:hAnsi="Times New Roman" w:cs="Times New Roman"/>
          <w:color w:val="000000" w:themeColor="text1"/>
          <w:sz w:val="20"/>
          <w:szCs w:val="20"/>
        </w:rPr>
        <w:tab/>
        <w:t xml:space="preserve">J. G. Makin, D. A. Moses, and E. F. Chang, "Machine translation of cortical activity to text with an encoder–decoder framework," Nat. Neurosci., vol. 23, no. 4, pp. 575–582, Apr. 2020,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10.1038/s41593-020-0608-8.</w:t>
      </w:r>
    </w:p>
    <w:p w14:paraId="78F19333"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[9]</w:t>
      </w:r>
      <w:r w:rsidRPr="00191A0A">
        <w:rPr>
          <w:rFonts w:ascii="Times New Roman" w:hAnsi="Times New Roman" w:cs="Times New Roman"/>
          <w:color w:val="000000" w:themeColor="text1"/>
          <w:sz w:val="20"/>
          <w:szCs w:val="20"/>
        </w:rPr>
        <w:tab/>
        <w:t xml:space="preserve">S. Martin, I. </w:t>
      </w:r>
      <w:proofErr w:type="spellStart"/>
      <w:r w:rsidRPr="00191A0A">
        <w:rPr>
          <w:rFonts w:ascii="Times New Roman" w:hAnsi="Times New Roman" w:cs="Times New Roman"/>
          <w:color w:val="000000" w:themeColor="text1"/>
          <w:sz w:val="20"/>
          <w:szCs w:val="20"/>
        </w:rPr>
        <w:t>Iturrate</w:t>
      </w:r>
      <w:proofErr w:type="spellEnd"/>
      <w:r w:rsidRPr="00191A0A">
        <w:rPr>
          <w:rFonts w:ascii="Times New Roman" w:hAnsi="Times New Roman" w:cs="Times New Roman"/>
          <w:color w:val="000000" w:themeColor="text1"/>
          <w:sz w:val="20"/>
          <w:szCs w:val="20"/>
        </w:rPr>
        <w:t xml:space="preserve">, J. del R. Millán, R. T. Knight, and B. N. Pasley, "Word pair classification during imagined speech using direct brain recordings," Sci. Rep., vol. 6, Art. no. 25803, May 2016,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10.1038/srep25803.</w:t>
      </w:r>
    </w:p>
    <w:p w14:paraId="66A8FBB1"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[10]</w:t>
      </w:r>
      <w:r w:rsidRPr="00191A0A">
        <w:rPr>
          <w:rFonts w:ascii="Times New Roman" w:hAnsi="Times New Roman" w:cs="Times New Roman"/>
          <w:color w:val="000000" w:themeColor="text1"/>
          <w:sz w:val="20"/>
          <w:szCs w:val="20"/>
        </w:rPr>
        <w:tab/>
        <w:t xml:space="preserve">N. F. Ramsey, E. Salari, E. J. </w:t>
      </w:r>
      <w:proofErr w:type="spellStart"/>
      <w:r w:rsidRPr="00191A0A">
        <w:rPr>
          <w:rFonts w:ascii="Times New Roman" w:hAnsi="Times New Roman" w:cs="Times New Roman"/>
          <w:color w:val="000000" w:themeColor="text1"/>
          <w:sz w:val="20"/>
          <w:szCs w:val="20"/>
        </w:rPr>
        <w:t>Aarnoutse</w:t>
      </w:r>
      <w:proofErr w:type="spellEnd"/>
      <w:r w:rsidRPr="00191A0A">
        <w:rPr>
          <w:rFonts w:ascii="Times New Roman" w:hAnsi="Times New Roman" w:cs="Times New Roman"/>
          <w:color w:val="000000" w:themeColor="text1"/>
          <w:sz w:val="20"/>
          <w:szCs w:val="20"/>
        </w:rPr>
        <w:t xml:space="preserve">, L. M. </w:t>
      </w:r>
      <w:proofErr w:type="spellStart"/>
      <w:r w:rsidRPr="00191A0A">
        <w:rPr>
          <w:rFonts w:ascii="Times New Roman" w:hAnsi="Times New Roman" w:cs="Times New Roman"/>
          <w:color w:val="000000" w:themeColor="text1"/>
          <w:sz w:val="20"/>
          <w:szCs w:val="20"/>
        </w:rPr>
        <w:t>Vansteensel</w:t>
      </w:r>
      <w:proofErr w:type="spellEnd"/>
      <w:r w:rsidRPr="00191A0A">
        <w:rPr>
          <w:rFonts w:ascii="Times New Roman" w:hAnsi="Times New Roman" w:cs="Times New Roman"/>
          <w:color w:val="000000" w:themeColor="text1"/>
          <w:sz w:val="20"/>
          <w:szCs w:val="20"/>
        </w:rPr>
        <w:t xml:space="preserve">, M. G. H. </w:t>
      </w:r>
      <w:proofErr w:type="spellStart"/>
      <w:r w:rsidRPr="00191A0A">
        <w:rPr>
          <w:rFonts w:ascii="Times New Roman" w:hAnsi="Times New Roman" w:cs="Times New Roman"/>
          <w:color w:val="000000" w:themeColor="text1"/>
          <w:sz w:val="20"/>
          <w:szCs w:val="20"/>
        </w:rPr>
        <w:t>Vansteensel</w:t>
      </w:r>
      <w:proofErr w:type="spellEnd"/>
      <w:r w:rsidRPr="00191A0A">
        <w:rPr>
          <w:rFonts w:ascii="Times New Roman" w:hAnsi="Times New Roman" w:cs="Times New Roman"/>
          <w:color w:val="000000" w:themeColor="text1"/>
          <w:sz w:val="20"/>
          <w:szCs w:val="20"/>
        </w:rPr>
        <w:t xml:space="preserve">, M. Arts, and E. J. </w:t>
      </w:r>
      <w:proofErr w:type="spellStart"/>
      <w:r w:rsidRPr="00191A0A">
        <w:rPr>
          <w:rFonts w:ascii="Times New Roman" w:hAnsi="Times New Roman" w:cs="Times New Roman"/>
          <w:color w:val="000000" w:themeColor="text1"/>
          <w:sz w:val="20"/>
          <w:szCs w:val="20"/>
        </w:rPr>
        <w:t>Aarnoutse</w:t>
      </w:r>
      <w:proofErr w:type="spellEnd"/>
      <w:r w:rsidRPr="00191A0A">
        <w:rPr>
          <w:rFonts w:ascii="Times New Roman" w:hAnsi="Times New Roman" w:cs="Times New Roman"/>
          <w:color w:val="000000" w:themeColor="text1"/>
          <w:sz w:val="20"/>
          <w:szCs w:val="20"/>
        </w:rPr>
        <w:t xml:space="preserve">, "Decoding spoken phonemes from sensorimotor cortex with high-density ECoG grids," </w:t>
      </w:r>
      <w:proofErr w:type="spellStart"/>
      <w:r w:rsidRPr="00191A0A">
        <w:rPr>
          <w:rFonts w:ascii="Times New Roman" w:hAnsi="Times New Roman" w:cs="Times New Roman"/>
          <w:color w:val="000000" w:themeColor="text1"/>
          <w:sz w:val="20"/>
          <w:szCs w:val="20"/>
        </w:rPr>
        <w:t>NeuroImage</w:t>
      </w:r>
      <w:proofErr w:type="spellEnd"/>
      <w:r w:rsidRPr="00191A0A">
        <w:rPr>
          <w:rFonts w:ascii="Times New Roman" w:hAnsi="Times New Roman" w:cs="Times New Roman"/>
          <w:color w:val="000000" w:themeColor="text1"/>
          <w:sz w:val="20"/>
          <w:szCs w:val="20"/>
        </w:rPr>
        <w:t xml:space="preserve">, vol. 180, pp. 301–311, Oct. 2018,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10.1016/j.neuroimage.2017.10.057.</w:t>
      </w:r>
    </w:p>
    <w:p w14:paraId="7BCCB25A"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[11]</w:t>
      </w:r>
      <w:r w:rsidRPr="00191A0A">
        <w:rPr>
          <w:rFonts w:ascii="Times New Roman" w:hAnsi="Times New Roman" w:cs="Times New Roman"/>
          <w:color w:val="000000" w:themeColor="text1"/>
          <w:sz w:val="20"/>
          <w:szCs w:val="20"/>
        </w:rPr>
        <w:tab/>
        <w:t xml:space="preserve">X. Chen, R. Wang, A. </w:t>
      </w:r>
      <w:proofErr w:type="spellStart"/>
      <w:r w:rsidRPr="00191A0A">
        <w:rPr>
          <w:rFonts w:ascii="Times New Roman" w:hAnsi="Times New Roman" w:cs="Times New Roman"/>
          <w:color w:val="000000" w:themeColor="text1"/>
          <w:sz w:val="20"/>
          <w:szCs w:val="20"/>
        </w:rPr>
        <w:t>Khalilian-Gourtani</w:t>
      </w:r>
      <w:proofErr w:type="spellEnd"/>
      <w:r w:rsidRPr="00191A0A">
        <w:rPr>
          <w:rFonts w:ascii="Times New Roman" w:hAnsi="Times New Roman" w:cs="Times New Roman"/>
          <w:color w:val="000000" w:themeColor="text1"/>
          <w:sz w:val="20"/>
          <w:szCs w:val="20"/>
        </w:rPr>
        <w:t xml:space="preserve">, L. Yu, P. Dugan, D. Friedman, W. Doyle, O. Devinsky, Y. Wang, and A. Flinker, "A neural speech decoding framework leveraging deep learning and speech synthesis," Nat. Mach. Intell., vol. 6, no. 4, pp. 467–480, Apr. 2024,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10.1038/s42256-024-00824-8.</w:t>
      </w:r>
    </w:p>
    <w:p w14:paraId="76E32CF7"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[12]</w:t>
      </w:r>
      <w:r w:rsidRPr="00191A0A">
        <w:rPr>
          <w:rFonts w:ascii="Times New Roman" w:hAnsi="Times New Roman" w:cs="Times New Roman"/>
          <w:color w:val="000000" w:themeColor="text1"/>
          <w:sz w:val="20"/>
          <w:szCs w:val="20"/>
        </w:rPr>
        <w:tab/>
        <w:t xml:space="preserve">S. L. Metzger et al., "A high-performance neuroprosthesis for speech decoding and avatar control," Nature, vol. 620, pp. 1037–1046, Aug. 2023,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10.1038/s41586-023-06443-4.</w:t>
      </w:r>
    </w:p>
    <w:p w14:paraId="0440ECC1"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[13]</w:t>
      </w:r>
      <w:r w:rsidRPr="00191A0A">
        <w:rPr>
          <w:rFonts w:ascii="Times New Roman" w:hAnsi="Times New Roman" w:cs="Times New Roman"/>
          <w:color w:val="000000" w:themeColor="text1"/>
          <w:sz w:val="20"/>
          <w:szCs w:val="20"/>
        </w:rPr>
        <w:tab/>
        <w:t xml:space="preserve">D. A. Moses et al., "Neuroprosthesis for decoding speech in a paralyzed person with anarthria," N. Engl. J. Med., vol. 385, no. 3, pp. 217–227, Jul. 2021,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10.1056/NEJMoa2119271.</w:t>
      </w:r>
    </w:p>
    <w:p w14:paraId="49C766AE"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[14]</w:t>
      </w:r>
      <w:r w:rsidRPr="00191A0A">
        <w:rPr>
          <w:rFonts w:ascii="Times New Roman" w:hAnsi="Times New Roman" w:cs="Times New Roman"/>
          <w:color w:val="000000" w:themeColor="text1"/>
          <w:sz w:val="20"/>
          <w:szCs w:val="20"/>
        </w:rPr>
        <w:tab/>
        <w:t xml:space="preserve">F. R. Willett et al., "A high-performance speech neuroprosthesis," Nature, vol. 620, pp. 1031–1036, Aug. 2023,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10.1038/s41586-023-06377-x.</w:t>
      </w:r>
    </w:p>
    <w:p w14:paraId="01BAEE64"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[15]</w:t>
      </w:r>
      <w:r w:rsidRPr="00191A0A">
        <w:rPr>
          <w:rFonts w:ascii="Times New Roman" w:hAnsi="Times New Roman" w:cs="Times New Roman"/>
          <w:color w:val="000000" w:themeColor="text1"/>
          <w:sz w:val="20"/>
          <w:szCs w:val="20"/>
        </w:rPr>
        <w:tab/>
        <w:t xml:space="preserve">N. S. Card et al., "An accurate and rapidly calibrating speech neuroprosthesis," N. Engl. J. Med., vol. 391, no. 7, pp. 609–618, Aug. 2024,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10.1056/NEJMoa2314132.</w:t>
      </w:r>
    </w:p>
    <w:p w14:paraId="7B58293F"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[16]</w:t>
      </w:r>
      <w:r w:rsidRPr="00191A0A">
        <w:rPr>
          <w:rFonts w:ascii="Times New Roman" w:hAnsi="Times New Roman" w:cs="Times New Roman"/>
          <w:color w:val="000000" w:themeColor="text1"/>
          <w:sz w:val="20"/>
          <w:szCs w:val="20"/>
        </w:rPr>
        <w:tab/>
        <w:t xml:space="preserve">M. Wairagkar, N. Card, T. Singer-Clark, X. Hou, C. Iacobacci, L. R. Hochberg, D. M. Brandman, and S. D. Stavisky, "An instantaneous voice-synthesis neuroprosthesis," Nature, 2025,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10.1038/s41586-025-XXXXX. [Verify final DOI].</w:t>
      </w:r>
    </w:p>
    <w:p w14:paraId="00335B91"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[17]</w:t>
      </w:r>
      <w:r w:rsidRPr="00191A0A">
        <w:rPr>
          <w:rFonts w:ascii="Times New Roman" w:hAnsi="Times New Roman" w:cs="Times New Roman"/>
          <w:color w:val="000000" w:themeColor="text1"/>
          <w:sz w:val="20"/>
          <w:szCs w:val="20"/>
        </w:rPr>
        <w:tab/>
        <w:t xml:space="preserve">G. H. Wilson, S. D. Stavisky, F. R. Willett, D. T. Avansino, J. N. Kelemen, L. R. Hochberg, J. M. Henderson, S. Druckmann, and K. V. Shenoy, "Decoding spoken English from intracortical electrode arrays in dorsal precentral gyrus," J. Neural Eng., vol. 17, no. 6, Art. no. 066007, Dec. 2020,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10.1088/1741-2552/</w:t>
      </w:r>
      <w:proofErr w:type="spellStart"/>
      <w:r w:rsidRPr="00191A0A">
        <w:rPr>
          <w:rFonts w:ascii="Times New Roman" w:hAnsi="Times New Roman" w:cs="Times New Roman"/>
          <w:color w:val="000000" w:themeColor="text1"/>
          <w:sz w:val="20"/>
          <w:szCs w:val="20"/>
        </w:rPr>
        <w:t>abbfef</w:t>
      </w:r>
      <w:proofErr w:type="spellEnd"/>
      <w:r w:rsidRPr="00191A0A">
        <w:rPr>
          <w:rFonts w:ascii="Times New Roman" w:hAnsi="Times New Roman" w:cs="Times New Roman"/>
          <w:color w:val="000000" w:themeColor="text1"/>
          <w:sz w:val="20"/>
          <w:szCs w:val="20"/>
        </w:rPr>
        <w:t>.</w:t>
      </w:r>
    </w:p>
    <w:p w14:paraId="4D4C6F84"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[18]</w:t>
      </w:r>
      <w:r w:rsidRPr="00191A0A">
        <w:rPr>
          <w:rFonts w:ascii="Times New Roman" w:hAnsi="Times New Roman" w:cs="Times New Roman"/>
          <w:color w:val="000000" w:themeColor="text1"/>
          <w:sz w:val="20"/>
          <w:szCs w:val="20"/>
        </w:rPr>
        <w:tab/>
        <w:t xml:space="preserve">A. D. Degenhart, W. E. Bishop, E. R. Oby, E. C. Tyler-Kabara, S. M. Chase, A. P. Batista, and B. M. Yu, "Stabilization of a brain–computer interface via the alignment of low-dimensional spaces of neural activity," Nat. Biomed. Eng., vol. 4, no. 12, pp. 1200–1213, Dec. 2020,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10.1038/s41551-020-0542-9.</w:t>
      </w:r>
    </w:p>
    <w:p w14:paraId="085EEA62"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lastRenderedPageBreak/>
        <w:t>[19]</w:t>
      </w:r>
      <w:r w:rsidRPr="00191A0A">
        <w:rPr>
          <w:rFonts w:ascii="Times New Roman" w:hAnsi="Times New Roman" w:cs="Times New Roman"/>
          <w:color w:val="000000" w:themeColor="text1"/>
          <w:sz w:val="20"/>
          <w:szCs w:val="20"/>
        </w:rPr>
        <w:tab/>
        <w:t xml:space="preserve">S. K. Wandelt, D. A. </w:t>
      </w:r>
      <w:proofErr w:type="spellStart"/>
      <w:r w:rsidRPr="00191A0A">
        <w:rPr>
          <w:rFonts w:ascii="Times New Roman" w:hAnsi="Times New Roman" w:cs="Times New Roman"/>
          <w:color w:val="000000" w:themeColor="text1"/>
          <w:sz w:val="20"/>
          <w:szCs w:val="20"/>
        </w:rPr>
        <w:t>Bjanes</w:t>
      </w:r>
      <w:proofErr w:type="spellEnd"/>
      <w:r w:rsidRPr="00191A0A">
        <w:rPr>
          <w:rFonts w:ascii="Times New Roman" w:hAnsi="Times New Roman" w:cs="Times New Roman"/>
          <w:color w:val="000000" w:themeColor="text1"/>
          <w:sz w:val="20"/>
          <w:szCs w:val="20"/>
        </w:rPr>
        <w:t xml:space="preserve">, E. Pejsa, B. Lee, C. Liu, and R. A. Andersen, "Representation of internal speech by single neurons in human supramarginal gyrus," Nat. Hum. </w:t>
      </w:r>
      <w:proofErr w:type="spellStart"/>
      <w:r w:rsidRPr="00191A0A">
        <w:rPr>
          <w:rFonts w:ascii="Times New Roman" w:hAnsi="Times New Roman" w:cs="Times New Roman"/>
          <w:color w:val="000000" w:themeColor="text1"/>
          <w:sz w:val="20"/>
          <w:szCs w:val="20"/>
        </w:rPr>
        <w:t>Behav</w:t>
      </w:r>
      <w:proofErr w:type="spellEnd"/>
      <w:r w:rsidRPr="00191A0A">
        <w:rPr>
          <w:rFonts w:ascii="Times New Roman" w:hAnsi="Times New Roman" w:cs="Times New Roman"/>
          <w:color w:val="000000" w:themeColor="text1"/>
          <w:sz w:val="20"/>
          <w:szCs w:val="20"/>
        </w:rPr>
        <w:t xml:space="preserve">., 2024,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10.1038/s41562-024-01867-2.</w:t>
      </w:r>
    </w:p>
    <w:p w14:paraId="2EDC8AF4" w14:textId="77777777" w:rsidR="00F83DFB" w:rsidRDefault="00000000" w:rsidP="00F83DFB">
      <w:pPr>
        <w:pStyle w:val="nova-legacy-e-listitem"/>
        <w:shd w:val="clear" w:color="auto" w:fill="FFFFFF"/>
        <w:spacing w:before="0" w:after="0"/>
        <w:rPr>
          <w:rFonts w:ascii="Roboto" w:hAnsi="Roboto"/>
          <w:color w:val="525254"/>
          <w:sz w:val="21"/>
          <w:szCs w:val="21"/>
        </w:rPr>
      </w:pPr>
      <w:r w:rsidRPr="00191A0A">
        <w:rPr>
          <w:rFonts w:eastAsia="Arial"/>
          <w:b/>
          <w:bCs/>
          <w:color w:val="000000" w:themeColor="text1"/>
          <w:sz w:val="20"/>
          <w:szCs w:val="20"/>
        </w:rPr>
        <w:t>[20]</w:t>
      </w:r>
      <w:r w:rsidRPr="00191A0A">
        <w:rPr>
          <w:rFonts w:eastAsia="Arial"/>
          <w:color w:val="000000" w:themeColor="text1"/>
          <w:sz w:val="20"/>
          <w:szCs w:val="20"/>
        </w:rPr>
        <w:tab/>
        <w:t xml:space="preserve">E. C. </w:t>
      </w:r>
      <w:proofErr w:type="spellStart"/>
      <w:r w:rsidRPr="00191A0A">
        <w:rPr>
          <w:rFonts w:eastAsia="Arial"/>
          <w:color w:val="000000" w:themeColor="text1"/>
          <w:sz w:val="20"/>
          <w:szCs w:val="20"/>
        </w:rPr>
        <w:t>Leuthardt</w:t>
      </w:r>
      <w:proofErr w:type="spellEnd"/>
      <w:r w:rsidRPr="00191A0A">
        <w:rPr>
          <w:rFonts w:eastAsia="Arial"/>
          <w:color w:val="000000" w:themeColor="text1"/>
          <w:sz w:val="20"/>
          <w:szCs w:val="20"/>
        </w:rPr>
        <w:t>, A. J. Melnik, B. Vogelstein, and N. Ramsey, "</w:t>
      </w:r>
      <w:r w:rsidRPr="00F83DFB">
        <w:rPr>
          <w:rFonts w:eastAsia="Arial"/>
          <w:b/>
          <w:bCs/>
          <w:color w:val="000000" w:themeColor="text1"/>
          <w:sz w:val="20"/>
          <w:szCs w:val="20"/>
          <w:highlight w:val="yellow"/>
        </w:rPr>
        <w:t>Thinking out loud: The intersection of artificial intelligence and speech BCIs</w:t>
      </w:r>
      <w:r w:rsidRPr="00191A0A">
        <w:rPr>
          <w:rFonts w:eastAsia="Arial"/>
          <w:color w:val="000000" w:themeColor="text1"/>
          <w:sz w:val="20"/>
          <w:szCs w:val="20"/>
        </w:rPr>
        <w:t xml:space="preserve">," Nat. Rev. Neurol., vol. 17, pp. 499–512, Aug. 2021, </w:t>
      </w:r>
      <w:proofErr w:type="spellStart"/>
      <w:r w:rsidRPr="00F83DFB">
        <w:rPr>
          <w:rFonts w:eastAsia="Arial"/>
          <w:color w:val="000000" w:themeColor="text1"/>
          <w:sz w:val="20"/>
          <w:szCs w:val="20"/>
          <w:highlight w:val="yellow"/>
        </w:rPr>
        <w:t>doi</w:t>
      </w:r>
      <w:proofErr w:type="spellEnd"/>
      <w:r w:rsidRPr="00F83DFB">
        <w:rPr>
          <w:rFonts w:eastAsia="Arial"/>
          <w:color w:val="000000" w:themeColor="text1"/>
          <w:sz w:val="20"/>
          <w:szCs w:val="20"/>
          <w:highlight w:val="yellow"/>
        </w:rPr>
        <w:t>: 10.1038/s41582-021-00526-4.</w:t>
      </w:r>
      <w:r w:rsidR="00F83DFB">
        <w:rPr>
          <w:color w:val="000000" w:themeColor="text1"/>
          <w:sz w:val="20"/>
          <w:szCs w:val="20"/>
        </w:rPr>
        <w:t xml:space="preserve"> </w:t>
      </w:r>
      <w:hyperlink r:id="rId7" w:tgtFrame="_blank" w:history="1">
        <w:r w:rsidR="00F83DFB">
          <w:rPr>
            <w:rStyle w:val="Hyperlink"/>
            <w:rFonts w:ascii="inherit" w:hAnsi="inherit"/>
            <w:sz w:val="21"/>
            <w:szCs w:val="21"/>
            <w:bdr w:val="none" w:sz="0" w:space="0" w:color="auto" w:frame="1"/>
          </w:rPr>
          <w:t>10.1038/s41597-022-01147-2</w:t>
        </w:r>
      </w:hyperlink>
    </w:p>
    <w:p w14:paraId="3C5261C8" w14:textId="5DCB710E" w:rsidR="00E34A0C" w:rsidRPr="00191A0A" w:rsidRDefault="00E34A0C">
      <w:pPr>
        <w:spacing w:after="100" w:line="320" w:lineRule="auto"/>
        <w:ind w:left="480" w:hanging="480"/>
        <w:rPr>
          <w:rFonts w:ascii="Times New Roman" w:hAnsi="Times New Roman" w:cs="Times New Roman"/>
          <w:color w:val="000000" w:themeColor="text1"/>
          <w:sz w:val="20"/>
          <w:szCs w:val="20"/>
        </w:rPr>
      </w:pPr>
    </w:p>
    <w:p w14:paraId="3F7E07A1"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[21]</w:t>
      </w:r>
      <w:r w:rsidRPr="00191A0A">
        <w:rPr>
          <w:rFonts w:ascii="Times New Roman" w:hAnsi="Times New Roman" w:cs="Times New Roman"/>
          <w:color w:val="000000" w:themeColor="text1"/>
          <w:sz w:val="20"/>
          <w:szCs w:val="20"/>
        </w:rPr>
        <w:tab/>
        <w:t xml:space="preserve">M. Angrick, M. C. </w:t>
      </w:r>
      <w:proofErr w:type="spellStart"/>
      <w:r w:rsidRPr="00191A0A">
        <w:rPr>
          <w:rFonts w:ascii="Times New Roman" w:hAnsi="Times New Roman" w:cs="Times New Roman"/>
          <w:color w:val="000000" w:themeColor="text1"/>
          <w:sz w:val="20"/>
          <w:szCs w:val="20"/>
        </w:rPr>
        <w:t>Ottenhoff</w:t>
      </w:r>
      <w:proofErr w:type="spellEnd"/>
      <w:r w:rsidRPr="00191A0A">
        <w:rPr>
          <w:rFonts w:ascii="Times New Roman" w:hAnsi="Times New Roman" w:cs="Times New Roman"/>
          <w:color w:val="000000" w:themeColor="text1"/>
          <w:sz w:val="20"/>
          <w:szCs w:val="20"/>
        </w:rPr>
        <w:t xml:space="preserve">, L. Diener, D. </w:t>
      </w:r>
      <w:proofErr w:type="spellStart"/>
      <w:r w:rsidRPr="00191A0A">
        <w:rPr>
          <w:rFonts w:ascii="Times New Roman" w:hAnsi="Times New Roman" w:cs="Times New Roman"/>
          <w:color w:val="000000" w:themeColor="text1"/>
          <w:sz w:val="20"/>
          <w:szCs w:val="20"/>
        </w:rPr>
        <w:t>Ivucic</w:t>
      </w:r>
      <w:proofErr w:type="spellEnd"/>
      <w:r w:rsidRPr="00191A0A">
        <w:rPr>
          <w:rFonts w:ascii="Times New Roman" w:hAnsi="Times New Roman" w:cs="Times New Roman"/>
          <w:color w:val="000000" w:themeColor="text1"/>
          <w:sz w:val="20"/>
          <w:szCs w:val="20"/>
        </w:rPr>
        <w:t xml:space="preserve">, G. </w:t>
      </w:r>
      <w:proofErr w:type="spellStart"/>
      <w:r w:rsidRPr="00191A0A">
        <w:rPr>
          <w:rFonts w:ascii="Times New Roman" w:hAnsi="Times New Roman" w:cs="Times New Roman"/>
          <w:color w:val="000000" w:themeColor="text1"/>
          <w:sz w:val="20"/>
          <w:szCs w:val="20"/>
        </w:rPr>
        <w:t>Ivucic</w:t>
      </w:r>
      <w:proofErr w:type="spellEnd"/>
      <w:r w:rsidRPr="00191A0A">
        <w:rPr>
          <w:rFonts w:ascii="Times New Roman" w:hAnsi="Times New Roman" w:cs="Times New Roman"/>
          <w:color w:val="000000" w:themeColor="text1"/>
          <w:sz w:val="20"/>
          <w:szCs w:val="20"/>
        </w:rPr>
        <w:t xml:space="preserve">, S. </w:t>
      </w:r>
      <w:proofErr w:type="spellStart"/>
      <w:r w:rsidRPr="00191A0A">
        <w:rPr>
          <w:rFonts w:ascii="Times New Roman" w:hAnsi="Times New Roman" w:cs="Times New Roman"/>
          <w:color w:val="000000" w:themeColor="text1"/>
          <w:sz w:val="20"/>
          <w:szCs w:val="20"/>
        </w:rPr>
        <w:t>Goulis</w:t>
      </w:r>
      <w:proofErr w:type="spellEnd"/>
      <w:r w:rsidRPr="00191A0A">
        <w:rPr>
          <w:rFonts w:ascii="Times New Roman" w:hAnsi="Times New Roman" w:cs="Times New Roman"/>
          <w:color w:val="000000" w:themeColor="text1"/>
          <w:sz w:val="20"/>
          <w:szCs w:val="20"/>
        </w:rPr>
        <w:t xml:space="preserve">, J. Saal, A. J. Colon, L. Wagner, D. J. </w:t>
      </w:r>
      <w:proofErr w:type="spellStart"/>
      <w:r w:rsidRPr="00191A0A">
        <w:rPr>
          <w:rFonts w:ascii="Times New Roman" w:hAnsi="Times New Roman" w:cs="Times New Roman"/>
          <w:color w:val="000000" w:themeColor="text1"/>
          <w:sz w:val="20"/>
          <w:szCs w:val="20"/>
        </w:rPr>
        <w:t>Krusienski</w:t>
      </w:r>
      <w:proofErr w:type="spellEnd"/>
      <w:r w:rsidRPr="00191A0A">
        <w:rPr>
          <w:rFonts w:ascii="Times New Roman" w:hAnsi="Times New Roman" w:cs="Times New Roman"/>
          <w:color w:val="000000" w:themeColor="text1"/>
          <w:sz w:val="20"/>
          <w:szCs w:val="20"/>
        </w:rPr>
        <w:t xml:space="preserve">, P. L. </w:t>
      </w:r>
      <w:proofErr w:type="spellStart"/>
      <w:r w:rsidRPr="00191A0A">
        <w:rPr>
          <w:rFonts w:ascii="Times New Roman" w:hAnsi="Times New Roman" w:cs="Times New Roman"/>
          <w:color w:val="000000" w:themeColor="text1"/>
          <w:sz w:val="20"/>
          <w:szCs w:val="20"/>
        </w:rPr>
        <w:t>Kubben</w:t>
      </w:r>
      <w:proofErr w:type="spellEnd"/>
      <w:r w:rsidRPr="00191A0A">
        <w:rPr>
          <w:rFonts w:ascii="Times New Roman" w:hAnsi="Times New Roman" w:cs="Times New Roman"/>
          <w:color w:val="000000" w:themeColor="text1"/>
          <w:sz w:val="20"/>
          <w:szCs w:val="20"/>
        </w:rPr>
        <w:t xml:space="preserve">, T. Schultz, and C. Herff, "Real-time synthesis of imagined speech processes from minimally invasive recordings of neural activity," Commun. Biol., vol. 4, Art. no. 1055, Sep. 2021,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10.1038/s42003-021-02578-0.</w:t>
      </w:r>
    </w:p>
    <w:p w14:paraId="60F77A63"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[22]</w:t>
      </w:r>
      <w:r w:rsidRPr="00191A0A">
        <w:rPr>
          <w:rFonts w:ascii="Times New Roman" w:hAnsi="Times New Roman" w:cs="Times New Roman"/>
          <w:color w:val="000000" w:themeColor="text1"/>
          <w:sz w:val="20"/>
          <w:szCs w:val="20"/>
        </w:rPr>
        <w:tab/>
        <w:t xml:space="preserve">C. Herff, "Synthesizing speech from intracranial depth electrodes using an encoder-decoder framework," Neurons </w:t>
      </w:r>
      <w:proofErr w:type="spellStart"/>
      <w:r w:rsidRPr="00191A0A">
        <w:rPr>
          <w:rFonts w:ascii="Times New Roman" w:hAnsi="Times New Roman" w:cs="Times New Roman"/>
          <w:color w:val="000000" w:themeColor="text1"/>
          <w:sz w:val="20"/>
          <w:szCs w:val="20"/>
        </w:rPr>
        <w:t>Behav</w:t>
      </w:r>
      <w:proofErr w:type="spellEnd"/>
      <w:r w:rsidRPr="00191A0A">
        <w:rPr>
          <w:rFonts w:ascii="Times New Roman" w:hAnsi="Times New Roman" w:cs="Times New Roman"/>
          <w:color w:val="000000" w:themeColor="text1"/>
          <w:sz w:val="20"/>
          <w:szCs w:val="20"/>
        </w:rPr>
        <w:t xml:space="preserve">. Data Anal. Theory, vol. 6, no. 1, 2022,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10.51628/001c.57524.</w:t>
      </w:r>
    </w:p>
    <w:p w14:paraId="111F0C12"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[23]</w:t>
      </w:r>
      <w:r w:rsidRPr="00191A0A">
        <w:rPr>
          <w:rFonts w:ascii="Times New Roman" w:hAnsi="Times New Roman" w:cs="Times New Roman"/>
          <w:color w:val="000000" w:themeColor="text1"/>
          <w:sz w:val="20"/>
          <w:szCs w:val="20"/>
        </w:rPr>
        <w:tab/>
        <w:t xml:space="preserve">A. Singh, T. Thomas, J. Li, G. Hickok, X. </w:t>
      </w:r>
      <w:proofErr w:type="spellStart"/>
      <w:r w:rsidRPr="00191A0A">
        <w:rPr>
          <w:rFonts w:ascii="Times New Roman" w:hAnsi="Times New Roman" w:cs="Times New Roman"/>
          <w:color w:val="000000" w:themeColor="text1"/>
          <w:sz w:val="20"/>
          <w:szCs w:val="20"/>
        </w:rPr>
        <w:t>Pitkow</w:t>
      </w:r>
      <w:proofErr w:type="spellEnd"/>
      <w:r w:rsidRPr="00191A0A">
        <w:rPr>
          <w:rFonts w:ascii="Times New Roman" w:hAnsi="Times New Roman" w:cs="Times New Roman"/>
          <w:color w:val="000000" w:themeColor="text1"/>
          <w:sz w:val="20"/>
          <w:szCs w:val="20"/>
        </w:rPr>
        <w:t xml:space="preserve">, and N. Tandon, "Transfer learning via distributed brain recordings enables reliable speech decoding," Nat. Commun., vol. 16, Art. no. 8749, Sep. 2025,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10.1038/s41467-025-63825-0.</w:t>
      </w:r>
    </w:p>
    <w:p w14:paraId="6F1EDBCA"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[24]</w:t>
      </w:r>
      <w:r w:rsidRPr="00191A0A">
        <w:rPr>
          <w:rFonts w:ascii="Times New Roman" w:hAnsi="Times New Roman" w:cs="Times New Roman"/>
          <w:color w:val="000000" w:themeColor="text1"/>
          <w:sz w:val="20"/>
          <w:szCs w:val="20"/>
        </w:rPr>
        <w:tab/>
        <w:t xml:space="preserve">F. Lotte, L. </w:t>
      </w:r>
      <w:proofErr w:type="spellStart"/>
      <w:r w:rsidRPr="00191A0A">
        <w:rPr>
          <w:rFonts w:ascii="Times New Roman" w:hAnsi="Times New Roman" w:cs="Times New Roman"/>
          <w:color w:val="000000" w:themeColor="text1"/>
          <w:sz w:val="20"/>
          <w:szCs w:val="20"/>
        </w:rPr>
        <w:t>Bougrain</w:t>
      </w:r>
      <w:proofErr w:type="spellEnd"/>
      <w:r w:rsidRPr="00191A0A">
        <w:rPr>
          <w:rFonts w:ascii="Times New Roman" w:hAnsi="Times New Roman" w:cs="Times New Roman"/>
          <w:color w:val="000000" w:themeColor="text1"/>
          <w:sz w:val="20"/>
          <w:szCs w:val="20"/>
        </w:rPr>
        <w:t xml:space="preserve">, A. Cichocki, F. Clerc, M. </w:t>
      </w:r>
      <w:proofErr w:type="spellStart"/>
      <w:r w:rsidRPr="00191A0A">
        <w:rPr>
          <w:rFonts w:ascii="Times New Roman" w:hAnsi="Times New Roman" w:cs="Times New Roman"/>
          <w:color w:val="000000" w:themeColor="text1"/>
          <w:sz w:val="20"/>
          <w:szCs w:val="20"/>
        </w:rPr>
        <w:t>Congedo</w:t>
      </w:r>
      <w:proofErr w:type="spellEnd"/>
      <w:r w:rsidRPr="00191A0A">
        <w:rPr>
          <w:rFonts w:ascii="Times New Roman" w:hAnsi="Times New Roman" w:cs="Times New Roman"/>
          <w:color w:val="000000" w:themeColor="text1"/>
          <w:sz w:val="20"/>
          <w:szCs w:val="20"/>
        </w:rPr>
        <w:t xml:space="preserve">, A. </w:t>
      </w:r>
      <w:proofErr w:type="spellStart"/>
      <w:r w:rsidRPr="00191A0A">
        <w:rPr>
          <w:rFonts w:ascii="Times New Roman" w:hAnsi="Times New Roman" w:cs="Times New Roman"/>
          <w:color w:val="000000" w:themeColor="text1"/>
          <w:sz w:val="20"/>
          <w:szCs w:val="20"/>
        </w:rPr>
        <w:t>Rakotomamonjy</w:t>
      </w:r>
      <w:proofErr w:type="spellEnd"/>
      <w:r w:rsidRPr="00191A0A">
        <w:rPr>
          <w:rFonts w:ascii="Times New Roman" w:hAnsi="Times New Roman" w:cs="Times New Roman"/>
          <w:color w:val="000000" w:themeColor="text1"/>
          <w:sz w:val="20"/>
          <w:szCs w:val="20"/>
        </w:rPr>
        <w:t xml:space="preserve">, and F. </w:t>
      </w:r>
      <w:proofErr w:type="spellStart"/>
      <w:r w:rsidRPr="00191A0A">
        <w:rPr>
          <w:rFonts w:ascii="Times New Roman" w:hAnsi="Times New Roman" w:cs="Times New Roman"/>
          <w:color w:val="000000" w:themeColor="text1"/>
          <w:sz w:val="20"/>
          <w:szCs w:val="20"/>
        </w:rPr>
        <w:t>Yger</w:t>
      </w:r>
      <w:proofErr w:type="spellEnd"/>
      <w:r w:rsidRPr="00191A0A">
        <w:rPr>
          <w:rFonts w:ascii="Times New Roman" w:hAnsi="Times New Roman" w:cs="Times New Roman"/>
          <w:color w:val="000000" w:themeColor="text1"/>
          <w:sz w:val="20"/>
          <w:szCs w:val="20"/>
        </w:rPr>
        <w:t xml:space="preserve">, "A review of classification algorithms for EEG-based brain–computer interfaces: A 10+year update," J. Neural Eng., vol. 15, no. 3, Art. no. 031005, Mar. 2018, </w:t>
      </w:r>
      <w:bookmarkStart w:id="0" w:name="_Hlk229504051"/>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10.1088/1741-2552/aab2f2</w:t>
      </w:r>
      <w:bookmarkEnd w:id="0"/>
      <w:r w:rsidRPr="00191A0A">
        <w:rPr>
          <w:rFonts w:ascii="Times New Roman" w:hAnsi="Times New Roman" w:cs="Times New Roman"/>
          <w:color w:val="000000" w:themeColor="text1"/>
          <w:sz w:val="20"/>
          <w:szCs w:val="20"/>
        </w:rPr>
        <w:t>.</w:t>
      </w:r>
    </w:p>
    <w:p w14:paraId="0DE2B8A4"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[25]</w:t>
      </w:r>
      <w:r w:rsidRPr="00191A0A">
        <w:rPr>
          <w:rFonts w:ascii="Times New Roman" w:hAnsi="Times New Roman" w:cs="Times New Roman"/>
          <w:color w:val="000000" w:themeColor="text1"/>
          <w:sz w:val="20"/>
          <w:szCs w:val="20"/>
        </w:rPr>
        <w:tab/>
        <w:t>P. Saha, M. Abdul-</w:t>
      </w:r>
      <w:proofErr w:type="spellStart"/>
      <w:r w:rsidRPr="00191A0A">
        <w:rPr>
          <w:rFonts w:ascii="Times New Roman" w:hAnsi="Times New Roman" w:cs="Times New Roman"/>
          <w:color w:val="000000" w:themeColor="text1"/>
          <w:sz w:val="20"/>
          <w:szCs w:val="20"/>
        </w:rPr>
        <w:t>Mageed</w:t>
      </w:r>
      <w:proofErr w:type="spellEnd"/>
      <w:r w:rsidRPr="00191A0A">
        <w:rPr>
          <w:rFonts w:ascii="Times New Roman" w:hAnsi="Times New Roman" w:cs="Times New Roman"/>
          <w:color w:val="000000" w:themeColor="text1"/>
          <w:sz w:val="20"/>
          <w:szCs w:val="20"/>
        </w:rPr>
        <w:t xml:space="preserve">, and S. Fels, "Speak your mind! Towards imagined speech recognition with hierarchical deep learning," in Proc. Interspeech, 2019, pp. 2292–2296,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10.21437/Interspeech.2019-3041.</w:t>
      </w:r>
    </w:p>
    <w:p w14:paraId="4DD22067"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[26]</w:t>
      </w:r>
      <w:r w:rsidRPr="00191A0A">
        <w:rPr>
          <w:rFonts w:ascii="Times New Roman" w:hAnsi="Times New Roman" w:cs="Times New Roman"/>
          <w:color w:val="000000" w:themeColor="text1"/>
          <w:sz w:val="20"/>
          <w:szCs w:val="20"/>
        </w:rPr>
        <w:tab/>
        <w:t xml:space="preserve">M. Agarwal and R. Kumar, "EEG-based imagined speech recognition using deep long short-term memory network," ETRI J., vol. 44, no. 3, pp. 426–436, Jun. 2022,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10.4218/etrij.2021-0118.</w:t>
      </w:r>
    </w:p>
    <w:p w14:paraId="1131EB6F"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[27]</w:t>
      </w:r>
      <w:r w:rsidRPr="00191A0A">
        <w:rPr>
          <w:rFonts w:ascii="Times New Roman" w:hAnsi="Times New Roman" w:cs="Times New Roman"/>
          <w:color w:val="000000" w:themeColor="text1"/>
          <w:sz w:val="20"/>
          <w:szCs w:val="20"/>
        </w:rPr>
        <w:tab/>
        <w:t xml:space="preserve">Z. Wang and M. Ji, "Open vocabulary EEG-to-text decoding and zero-shot sentiment classification," in Proc. AAAI Conf. </w:t>
      </w:r>
      <w:proofErr w:type="spellStart"/>
      <w:r w:rsidRPr="00191A0A">
        <w:rPr>
          <w:rFonts w:ascii="Times New Roman" w:hAnsi="Times New Roman" w:cs="Times New Roman"/>
          <w:color w:val="000000" w:themeColor="text1"/>
          <w:sz w:val="20"/>
          <w:szCs w:val="20"/>
        </w:rPr>
        <w:t>Artif</w:t>
      </w:r>
      <w:proofErr w:type="spellEnd"/>
      <w:r w:rsidRPr="00191A0A">
        <w:rPr>
          <w:rFonts w:ascii="Times New Roman" w:hAnsi="Times New Roman" w:cs="Times New Roman"/>
          <w:color w:val="000000" w:themeColor="text1"/>
          <w:sz w:val="20"/>
          <w:szCs w:val="20"/>
        </w:rPr>
        <w:t xml:space="preserve">. Intell., 2022, vol. 36, pp. 5350–5358,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10.1609/</w:t>
      </w:r>
      <w:proofErr w:type="gramStart"/>
      <w:r w:rsidRPr="00191A0A">
        <w:rPr>
          <w:rFonts w:ascii="Times New Roman" w:hAnsi="Times New Roman" w:cs="Times New Roman"/>
          <w:color w:val="000000" w:themeColor="text1"/>
          <w:sz w:val="20"/>
          <w:szCs w:val="20"/>
        </w:rPr>
        <w:t>aaai.v</w:t>
      </w:r>
      <w:proofErr w:type="gramEnd"/>
      <w:r w:rsidRPr="00191A0A">
        <w:rPr>
          <w:rFonts w:ascii="Times New Roman" w:hAnsi="Times New Roman" w:cs="Times New Roman"/>
          <w:color w:val="000000" w:themeColor="text1"/>
          <w:sz w:val="20"/>
          <w:szCs w:val="20"/>
        </w:rPr>
        <w:t>36i5.20472.</w:t>
      </w:r>
    </w:p>
    <w:p w14:paraId="4321B6E6"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[28]</w:t>
      </w:r>
      <w:r w:rsidRPr="00191A0A">
        <w:rPr>
          <w:rFonts w:ascii="Times New Roman" w:hAnsi="Times New Roman" w:cs="Times New Roman"/>
          <w:color w:val="000000" w:themeColor="text1"/>
          <w:sz w:val="20"/>
          <w:szCs w:val="20"/>
        </w:rPr>
        <w:tab/>
        <w:t>Z. Duan, C. Liu, A. Wang, Y. Zhu, T. Liu, Y. Zhao, and R. Qiu, "DeWave: Discrete EEG waves encoding for brain dynamics to text translation," in Proc. Adv. Neural Inf. Process. Syst. (NeurIPS), 2023.</w:t>
      </w:r>
    </w:p>
    <w:p w14:paraId="7F726A85"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[29]</w:t>
      </w:r>
      <w:r w:rsidRPr="00191A0A">
        <w:rPr>
          <w:rFonts w:ascii="Times New Roman" w:hAnsi="Times New Roman" w:cs="Times New Roman"/>
          <w:color w:val="000000" w:themeColor="text1"/>
          <w:sz w:val="20"/>
          <w:szCs w:val="20"/>
        </w:rPr>
        <w:tab/>
        <w:t xml:space="preserve">A. Défossez, C. </w:t>
      </w:r>
      <w:proofErr w:type="spellStart"/>
      <w:r w:rsidRPr="00191A0A">
        <w:rPr>
          <w:rFonts w:ascii="Times New Roman" w:hAnsi="Times New Roman" w:cs="Times New Roman"/>
          <w:color w:val="000000" w:themeColor="text1"/>
          <w:sz w:val="20"/>
          <w:szCs w:val="20"/>
        </w:rPr>
        <w:t>Caucheteux</w:t>
      </w:r>
      <w:proofErr w:type="spellEnd"/>
      <w:r w:rsidRPr="00191A0A">
        <w:rPr>
          <w:rFonts w:ascii="Times New Roman" w:hAnsi="Times New Roman" w:cs="Times New Roman"/>
          <w:color w:val="000000" w:themeColor="text1"/>
          <w:sz w:val="20"/>
          <w:szCs w:val="20"/>
        </w:rPr>
        <w:t xml:space="preserve">, J. Rapin, O. </w:t>
      </w:r>
      <w:proofErr w:type="spellStart"/>
      <w:r w:rsidRPr="00191A0A">
        <w:rPr>
          <w:rFonts w:ascii="Times New Roman" w:hAnsi="Times New Roman" w:cs="Times New Roman"/>
          <w:color w:val="000000" w:themeColor="text1"/>
          <w:sz w:val="20"/>
          <w:szCs w:val="20"/>
        </w:rPr>
        <w:t>Kabeli</w:t>
      </w:r>
      <w:proofErr w:type="spellEnd"/>
      <w:r w:rsidRPr="00191A0A">
        <w:rPr>
          <w:rFonts w:ascii="Times New Roman" w:hAnsi="Times New Roman" w:cs="Times New Roman"/>
          <w:color w:val="000000" w:themeColor="text1"/>
          <w:sz w:val="20"/>
          <w:szCs w:val="20"/>
        </w:rPr>
        <w:t xml:space="preserve">, and J.-R. King, "Decoding speech perception from non-invasive brain recordings," Nat. Mach. Intell., vol. 5, no. 10, pp. 1097–1107, Oct. 2023,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10.1038/s42256-023-00714-5.</w:t>
      </w:r>
    </w:p>
    <w:p w14:paraId="636D6FC5"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[30]</w:t>
      </w:r>
      <w:r w:rsidRPr="00191A0A">
        <w:rPr>
          <w:rFonts w:ascii="Times New Roman" w:hAnsi="Times New Roman" w:cs="Times New Roman"/>
          <w:color w:val="000000" w:themeColor="text1"/>
          <w:sz w:val="20"/>
          <w:szCs w:val="20"/>
        </w:rPr>
        <w:tab/>
        <w:t xml:space="preserve">J. Kwon, D. </w:t>
      </w:r>
      <w:proofErr w:type="spellStart"/>
      <w:r w:rsidRPr="00191A0A">
        <w:rPr>
          <w:rFonts w:ascii="Times New Roman" w:hAnsi="Times New Roman" w:cs="Times New Roman"/>
          <w:color w:val="000000" w:themeColor="text1"/>
          <w:sz w:val="20"/>
          <w:szCs w:val="20"/>
        </w:rPr>
        <w:t>Harwath</w:t>
      </w:r>
      <w:proofErr w:type="spellEnd"/>
      <w:r w:rsidRPr="00191A0A">
        <w:rPr>
          <w:rFonts w:ascii="Times New Roman" w:hAnsi="Times New Roman" w:cs="Times New Roman"/>
          <w:color w:val="000000" w:themeColor="text1"/>
          <w:sz w:val="20"/>
          <w:szCs w:val="20"/>
        </w:rPr>
        <w:t xml:space="preserve">, D. Dash, P. Ferrari, and J. Wang, "Direct speech synthesis from non-invasive, neuromagnetic signals," in Proc. Interspeech, 2024,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10.21437/Interspeech.2024-2153.</w:t>
      </w:r>
    </w:p>
    <w:p w14:paraId="7865B15A"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[31]</w:t>
      </w:r>
      <w:r w:rsidRPr="00191A0A">
        <w:rPr>
          <w:rFonts w:ascii="Times New Roman" w:hAnsi="Times New Roman" w:cs="Times New Roman"/>
          <w:color w:val="000000" w:themeColor="text1"/>
          <w:sz w:val="20"/>
          <w:szCs w:val="20"/>
        </w:rPr>
        <w:tab/>
        <w:t xml:space="preserve">S. d'Ascoli, C. </w:t>
      </w:r>
      <w:proofErr w:type="spellStart"/>
      <w:r w:rsidRPr="00191A0A">
        <w:rPr>
          <w:rFonts w:ascii="Times New Roman" w:hAnsi="Times New Roman" w:cs="Times New Roman"/>
          <w:color w:val="000000" w:themeColor="text1"/>
          <w:sz w:val="20"/>
          <w:szCs w:val="20"/>
        </w:rPr>
        <w:t>Caucheteux</w:t>
      </w:r>
      <w:proofErr w:type="spellEnd"/>
      <w:r w:rsidRPr="00191A0A">
        <w:rPr>
          <w:rFonts w:ascii="Times New Roman" w:hAnsi="Times New Roman" w:cs="Times New Roman"/>
          <w:color w:val="000000" w:themeColor="text1"/>
          <w:sz w:val="20"/>
          <w:szCs w:val="20"/>
        </w:rPr>
        <w:t xml:space="preserve">, F. </w:t>
      </w:r>
      <w:proofErr w:type="spellStart"/>
      <w:r w:rsidRPr="00191A0A">
        <w:rPr>
          <w:rFonts w:ascii="Times New Roman" w:hAnsi="Times New Roman" w:cs="Times New Roman"/>
          <w:color w:val="000000" w:themeColor="text1"/>
          <w:sz w:val="20"/>
          <w:szCs w:val="20"/>
        </w:rPr>
        <w:t>Gramfort</w:t>
      </w:r>
      <w:proofErr w:type="spellEnd"/>
      <w:r w:rsidRPr="00191A0A">
        <w:rPr>
          <w:rFonts w:ascii="Times New Roman" w:hAnsi="Times New Roman" w:cs="Times New Roman"/>
          <w:color w:val="000000" w:themeColor="text1"/>
          <w:sz w:val="20"/>
          <w:szCs w:val="20"/>
        </w:rPr>
        <w:t xml:space="preserve">, Y. Adi, and J.-R. King, "Towards decoding individual words from non-invasive brain recordings," Nat. Commun., 2025,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10.1038/s41467-025-XXXXX.</w:t>
      </w:r>
    </w:p>
    <w:p w14:paraId="7051D343"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[32]</w:t>
      </w:r>
      <w:r w:rsidRPr="00191A0A">
        <w:rPr>
          <w:rFonts w:ascii="Times New Roman" w:hAnsi="Times New Roman" w:cs="Times New Roman"/>
          <w:color w:val="000000" w:themeColor="text1"/>
          <w:sz w:val="20"/>
          <w:szCs w:val="20"/>
        </w:rPr>
        <w:tab/>
        <w:t xml:space="preserve">D. Poeppel and M. F. </w:t>
      </w:r>
      <w:proofErr w:type="spellStart"/>
      <w:r w:rsidRPr="00191A0A">
        <w:rPr>
          <w:rFonts w:ascii="Times New Roman" w:hAnsi="Times New Roman" w:cs="Times New Roman"/>
          <w:color w:val="000000" w:themeColor="text1"/>
          <w:sz w:val="20"/>
          <w:szCs w:val="20"/>
        </w:rPr>
        <w:t>Assaneo</w:t>
      </w:r>
      <w:proofErr w:type="spellEnd"/>
      <w:r w:rsidRPr="00191A0A">
        <w:rPr>
          <w:rFonts w:ascii="Times New Roman" w:hAnsi="Times New Roman" w:cs="Times New Roman"/>
          <w:color w:val="000000" w:themeColor="text1"/>
          <w:sz w:val="20"/>
          <w:szCs w:val="20"/>
        </w:rPr>
        <w:t xml:space="preserve">, "Speech rhythms and their neural foundations," Nat. Rev. Neurosci., vol. 21, no. 6, pp. 322–334, Jun. 2020, </w:t>
      </w:r>
      <w:bookmarkStart w:id="1" w:name="_Hlk229504845"/>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10.1038/s41583-020-0304-4</w:t>
      </w:r>
      <w:bookmarkEnd w:id="1"/>
      <w:r w:rsidRPr="00191A0A">
        <w:rPr>
          <w:rFonts w:ascii="Times New Roman" w:hAnsi="Times New Roman" w:cs="Times New Roman"/>
          <w:color w:val="000000" w:themeColor="text1"/>
          <w:sz w:val="20"/>
          <w:szCs w:val="20"/>
        </w:rPr>
        <w:t>.</w:t>
      </w:r>
    </w:p>
    <w:p w14:paraId="0E229E10"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[33]</w:t>
      </w:r>
      <w:r w:rsidRPr="00191A0A">
        <w:rPr>
          <w:rFonts w:ascii="Times New Roman" w:hAnsi="Times New Roman" w:cs="Times New Roman"/>
          <w:color w:val="000000" w:themeColor="text1"/>
          <w:sz w:val="20"/>
          <w:szCs w:val="20"/>
        </w:rPr>
        <w:tab/>
        <w:t xml:space="preserve">J. Tang, A. </w:t>
      </w:r>
      <w:proofErr w:type="spellStart"/>
      <w:r w:rsidRPr="00191A0A">
        <w:rPr>
          <w:rFonts w:ascii="Times New Roman" w:hAnsi="Times New Roman" w:cs="Times New Roman"/>
          <w:color w:val="000000" w:themeColor="text1"/>
          <w:sz w:val="20"/>
          <w:szCs w:val="20"/>
        </w:rPr>
        <w:t>LeBel</w:t>
      </w:r>
      <w:proofErr w:type="spellEnd"/>
      <w:r w:rsidRPr="00191A0A">
        <w:rPr>
          <w:rFonts w:ascii="Times New Roman" w:hAnsi="Times New Roman" w:cs="Times New Roman"/>
          <w:color w:val="000000" w:themeColor="text1"/>
          <w:sz w:val="20"/>
          <w:szCs w:val="20"/>
        </w:rPr>
        <w:t xml:space="preserve">, S. Jain, and A. G. Huth, "Semantic reconstruction of continuous language from non-invasive brain recordings," Nat. Neurosci., vol. 26, no. 5, pp. 858–866, May 2023,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10.1038/s41593-023-01304-9.</w:t>
      </w:r>
    </w:p>
    <w:p w14:paraId="611694DE"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lastRenderedPageBreak/>
        <w:t>[34]</w:t>
      </w:r>
      <w:r w:rsidRPr="00191A0A">
        <w:rPr>
          <w:rFonts w:ascii="Times New Roman" w:hAnsi="Times New Roman" w:cs="Times New Roman"/>
          <w:color w:val="000000" w:themeColor="text1"/>
          <w:sz w:val="20"/>
          <w:szCs w:val="20"/>
        </w:rPr>
        <w:tab/>
        <w:t xml:space="preserve">A. G. Huth, W. A. de Heer, T. L. Griffiths, F. E. Theunissen, and J. L. Gallant, "Natural speech reveals the semantic maps that tile human cerebral cortex," Nature, vol. 532, no. 7600, pp. 453–458, Apr. 2016, </w:t>
      </w:r>
      <w:bookmarkStart w:id="2" w:name="_Hlk229504939"/>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10.1038/nature17637</w:t>
      </w:r>
      <w:bookmarkEnd w:id="2"/>
      <w:r w:rsidRPr="00191A0A">
        <w:rPr>
          <w:rFonts w:ascii="Times New Roman" w:hAnsi="Times New Roman" w:cs="Times New Roman"/>
          <w:color w:val="000000" w:themeColor="text1"/>
          <w:sz w:val="20"/>
          <w:szCs w:val="20"/>
        </w:rPr>
        <w:t>.</w:t>
      </w:r>
    </w:p>
    <w:p w14:paraId="3A59E64F"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[35]</w:t>
      </w:r>
      <w:r w:rsidRPr="00191A0A">
        <w:rPr>
          <w:rFonts w:ascii="Times New Roman" w:hAnsi="Times New Roman" w:cs="Times New Roman"/>
          <w:color w:val="000000" w:themeColor="text1"/>
          <w:sz w:val="20"/>
          <w:szCs w:val="20"/>
        </w:rPr>
        <w:tab/>
        <w:t xml:space="preserve">J. Tang and A. G. Huth, "Semantic language decoding across participants and stimulus modalities," Curr. Biol., 2025,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10.1016/j.cub.2025.XXXXX.</w:t>
      </w:r>
    </w:p>
    <w:p w14:paraId="25E5407D"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[36]</w:t>
      </w:r>
      <w:r w:rsidRPr="00191A0A">
        <w:rPr>
          <w:rFonts w:ascii="Times New Roman" w:hAnsi="Times New Roman" w:cs="Times New Roman"/>
          <w:color w:val="000000" w:themeColor="text1"/>
          <w:sz w:val="20"/>
          <w:szCs w:val="20"/>
        </w:rPr>
        <w:tab/>
        <w:t xml:space="preserve">C. Cooney, A. </w:t>
      </w:r>
      <w:proofErr w:type="spellStart"/>
      <w:r w:rsidRPr="00191A0A">
        <w:rPr>
          <w:rFonts w:ascii="Times New Roman" w:hAnsi="Times New Roman" w:cs="Times New Roman"/>
          <w:color w:val="000000" w:themeColor="text1"/>
          <w:sz w:val="20"/>
          <w:szCs w:val="20"/>
        </w:rPr>
        <w:t>Korik</w:t>
      </w:r>
      <w:proofErr w:type="spellEnd"/>
      <w:r w:rsidRPr="00191A0A">
        <w:rPr>
          <w:rFonts w:ascii="Times New Roman" w:hAnsi="Times New Roman" w:cs="Times New Roman"/>
          <w:color w:val="000000" w:themeColor="text1"/>
          <w:sz w:val="20"/>
          <w:szCs w:val="20"/>
        </w:rPr>
        <w:t xml:space="preserve">, R. Folli, and D. Coyle, "A bimodal deep learning architecture for EEG-fNIRS decoding of overt and imagined speech," IEEE Trans. Biomed. Eng., vol. 69, no. 6, pp. 1983–1994, Jun. 2022,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10.1109/TBME.2021.3132861.</w:t>
      </w:r>
    </w:p>
    <w:p w14:paraId="66E7C271"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[37]</w:t>
      </w:r>
      <w:r w:rsidRPr="00191A0A">
        <w:rPr>
          <w:rFonts w:ascii="Times New Roman" w:hAnsi="Times New Roman" w:cs="Times New Roman"/>
          <w:color w:val="000000" w:themeColor="text1"/>
          <w:sz w:val="20"/>
          <w:szCs w:val="20"/>
        </w:rPr>
        <w:tab/>
        <w:t xml:space="preserve">T. Hons, J. Otten, A. J. Colon, M. C. </w:t>
      </w:r>
      <w:proofErr w:type="spellStart"/>
      <w:r w:rsidRPr="00191A0A">
        <w:rPr>
          <w:rFonts w:ascii="Times New Roman" w:hAnsi="Times New Roman" w:cs="Times New Roman"/>
          <w:color w:val="000000" w:themeColor="text1"/>
          <w:sz w:val="20"/>
          <w:szCs w:val="20"/>
        </w:rPr>
        <w:t>Ottenhoff</w:t>
      </w:r>
      <w:proofErr w:type="spellEnd"/>
      <w:r w:rsidRPr="00191A0A">
        <w:rPr>
          <w:rFonts w:ascii="Times New Roman" w:hAnsi="Times New Roman" w:cs="Times New Roman"/>
          <w:color w:val="000000" w:themeColor="text1"/>
          <w:sz w:val="20"/>
          <w:szCs w:val="20"/>
        </w:rPr>
        <w:t xml:space="preserve">, L. Wagner, P. L. </w:t>
      </w:r>
      <w:proofErr w:type="spellStart"/>
      <w:r w:rsidRPr="00191A0A">
        <w:rPr>
          <w:rFonts w:ascii="Times New Roman" w:hAnsi="Times New Roman" w:cs="Times New Roman"/>
          <w:color w:val="000000" w:themeColor="text1"/>
          <w:sz w:val="20"/>
          <w:szCs w:val="20"/>
        </w:rPr>
        <w:t>Kubben</w:t>
      </w:r>
      <w:proofErr w:type="spellEnd"/>
      <w:r w:rsidRPr="00191A0A">
        <w:rPr>
          <w:rFonts w:ascii="Times New Roman" w:hAnsi="Times New Roman" w:cs="Times New Roman"/>
          <w:color w:val="000000" w:themeColor="text1"/>
          <w:sz w:val="20"/>
          <w:szCs w:val="20"/>
        </w:rPr>
        <w:t xml:space="preserve">, T. Schultz, and C. Herff, "Hybrid EEG-fNIRS phoneme classification based on imagined and perceived speech," Front. </w:t>
      </w:r>
      <w:proofErr w:type="spellStart"/>
      <w:r w:rsidRPr="00191A0A">
        <w:rPr>
          <w:rFonts w:ascii="Times New Roman" w:hAnsi="Times New Roman" w:cs="Times New Roman"/>
          <w:color w:val="000000" w:themeColor="text1"/>
          <w:sz w:val="20"/>
          <w:szCs w:val="20"/>
        </w:rPr>
        <w:t>Neuroergon</w:t>
      </w:r>
      <w:proofErr w:type="spellEnd"/>
      <w:r w:rsidRPr="00191A0A">
        <w:rPr>
          <w:rFonts w:ascii="Times New Roman" w:hAnsi="Times New Roman" w:cs="Times New Roman"/>
          <w:color w:val="000000" w:themeColor="text1"/>
          <w:sz w:val="20"/>
          <w:szCs w:val="20"/>
        </w:rPr>
        <w:t xml:space="preserve">., vol. 6, Art. no. 1696865, 2026,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10.3389/fnrgo.2026.1696865.</w:t>
      </w:r>
    </w:p>
    <w:p w14:paraId="641B4A61"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[38]</w:t>
      </w:r>
      <w:r w:rsidRPr="00191A0A">
        <w:rPr>
          <w:rFonts w:ascii="Times New Roman" w:hAnsi="Times New Roman" w:cs="Times New Roman"/>
          <w:color w:val="000000" w:themeColor="text1"/>
          <w:sz w:val="20"/>
          <w:szCs w:val="20"/>
        </w:rPr>
        <w:tab/>
        <w:t xml:space="preserve">Y. Song, Y. Zheng, B. Liu, X. Gao, and X. Pan, "Decoding silent speech based on high-density surface EMG using spatiotemporal neural network," IEEE Trans. Neural Syst. </w:t>
      </w:r>
      <w:proofErr w:type="spellStart"/>
      <w:r w:rsidRPr="00191A0A">
        <w:rPr>
          <w:rFonts w:ascii="Times New Roman" w:hAnsi="Times New Roman" w:cs="Times New Roman"/>
          <w:color w:val="000000" w:themeColor="text1"/>
          <w:sz w:val="20"/>
          <w:szCs w:val="20"/>
        </w:rPr>
        <w:t>Rehabil</w:t>
      </w:r>
      <w:proofErr w:type="spellEnd"/>
      <w:r w:rsidRPr="00191A0A">
        <w:rPr>
          <w:rFonts w:ascii="Times New Roman" w:hAnsi="Times New Roman" w:cs="Times New Roman"/>
          <w:color w:val="000000" w:themeColor="text1"/>
          <w:sz w:val="20"/>
          <w:szCs w:val="20"/>
        </w:rPr>
        <w:t xml:space="preserve">. Eng., vol. 31, pp. 1768–1778, Mar. 2023,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10.1109/TNSRE.2023.3250714.</w:t>
      </w:r>
    </w:p>
    <w:p w14:paraId="06016992"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[39]</w:t>
      </w:r>
      <w:r w:rsidRPr="00191A0A">
        <w:rPr>
          <w:rFonts w:ascii="Times New Roman" w:hAnsi="Times New Roman" w:cs="Times New Roman"/>
          <w:color w:val="000000" w:themeColor="text1"/>
          <w:sz w:val="20"/>
          <w:szCs w:val="20"/>
        </w:rPr>
        <w:tab/>
        <w:t xml:space="preserve">J. Zhu, K. Chen, Y. Zhang, G. Chen, and Z. Li, "Towards optimizing electrode configurations for silent speech recognition based on HD-sEMG," J. Neural Eng., vol. 18, no. 6, Art. no. 066010, Dec. 2021,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10.1088/1741-2552/ac3309.</w:t>
      </w:r>
    </w:p>
    <w:p w14:paraId="7F3BC2F4"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[40]</w:t>
      </w:r>
      <w:r w:rsidRPr="00191A0A">
        <w:rPr>
          <w:rFonts w:ascii="Times New Roman" w:hAnsi="Times New Roman" w:cs="Times New Roman"/>
          <w:color w:val="000000" w:themeColor="text1"/>
          <w:sz w:val="20"/>
          <w:szCs w:val="20"/>
        </w:rPr>
        <w:tab/>
        <w:t xml:space="preserve">J. Li, Z. Hu, Y. Wang, H. Wang, M. Zhang, G. Han, Q. Ai, L. Zhang, and G. Li, "Sequence-to-sequence voice reconstruction for silent speech in a tonal language," Brain Sci., vol. 12, no. 11, Art. no. 1531, Nov. 2022,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10.3390/brainsci12111531.</w:t>
      </w:r>
    </w:p>
    <w:p w14:paraId="32B2FE55" w14:textId="77777777" w:rsidR="00E34A0C" w:rsidRPr="00191A0A" w:rsidRDefault="00000000">
      <w:pPr>
        <w:spacing w:after="100" w:line="320" w:lineRule="auto"/>
        <w:ind w:left="480" w:hanging="480"/>
        <w:rPr>
          <w:rFonts w:ascii="Times New Roman" w:hAnsi="Times New Roman" w:cs="Times New Roman"/>
          <w:color w:val="000000" w:themeColor="text1"/>
          <w:sz w:val="20"/>
          <w:szCs w:val="20"/>
        </w:rPr>
      </w:pPr>
      <w:r w:rsidRPr="00191A0A">
        <w:rPr>
          <w:rFonts w:ascii="Times New Roman" w:hAnsi="Times New Roman" w:cs="Times New Roman"/>
          <w:b/>
          <w:bCs/>
          <w:color w:val="000000" w:themeColor="text1"/>
          <w:sz w:val="20"/>
          <w:szCs w:val="20"/>
        </w:rPr>
        <w:t>[41]</w:t>
      </w:r>
      <w:r w:rsidRPr="00191A0A">
        <w:rPr>
          <w:rFonts w:ascii="Times New Roman" w:hAnsi="Times New Roman" w:cs="Times New Roman"/>
          <w:color w:val="000000" w:themeColor="text1"/>
          <w:sz w:val="20"/>
          <w:szCs w:val="20"/>
        </w:rPr>
        <w:tab/>
        <w:t xml:space="preserve">S. Duraivel, S. Rahimpour, C. Chiang, M. </w:t>
      </w:r>
      <w:proofErr w:type="spellStart"/>
      <w:r w:rsidRPr="00191A0A">
        <w:rPr>
          <w:rFonts w:ascii="Times New Roman" w:hAnsi="Times New Roman" w:cs="Times New Roman"/>
          <w:color w:val="000000" w:themeColor="text1"/>
          <w:sz w:val="20"/>
          <w:szCs w:val="20"/>
        </w:rPr>
        <w:t>Trumpis</w:t>
      </w:r>
      <w:proofErr w:type="spellEnd"/>
      <w:r w:rsidRPr="00191A0A">
        <w:rPr>
          <w:rFonts w:ascii="Times New Roman" w:hAnsi="Times New Roman" w:cs="Times New Roman"/>
          <w:color w:val="000000" w:themeColor="text1"/>
          <w:sz w:val="20"/>
          <w:szCs w:val="20"/>
        </w:rPr>
        <w:t xml:space="preserve">, C. Wang, K. J. Barth, S. C. Harward, S. P. Lad, A. H. Friedman, D. G. Southwell, S. Sinha, J. </w:t>
      </w:r>
      <w:proofErr w:type="spellStart"/>
      <w:r w:rsidRPr="00191A0A">
        <w:rPr>
          <w:rFonts w:ascii="Times New Roman" w:hAnsi="Times New Roman" w:cs="Times New Roman"/>
          <w:color w:val="000000" w:themeColor="text1"/>
          <w:sz w:val="20"/>
          <w:szCs w:val="20"/>
        </w:rPr>
        <w:t>Viventi</w:t>
      </w:r>
      <w:proofErr w:type="spellEnd"/>
      <w:r w:rsidRPr="00191A0A">
        <w:rPr>
          <w:rFonts w:ascii="Times New Roman" w:hAnsi="Times New Roman" w:cs="Times New Roman"/>
          <w:color w:val="000000" w:themeColor="text1"/>
          <w:sz w:val="20"/>
          <w:szCs w:val="20"/>
        </w:rPr>
        <w:t xml:space="preserve">, and G. B. Cogan, "High-resolution neural recordings improve the accuracy of speech decoding," Nat. Commun., vol. 14, Art. no. 6938, Nov. 2023, </w:t>
      </w:r>
      <w:proofErr w:type="spellStart"/>
      <w:r w:rsidRPr="00191A0A">
        <w:rPr>
          <w:rFonts w:ascii="Times New Roman" w:hAnsi="Times New Roman" w:cs="Times New Roman"/>
          <w:color w:val="000000" w:themeColor="text1"/>
          <w:sz w:val="20"/>
          <w:szCs w:val="20"/>
        </w:rPr>
        <w:t>doi</w:t>
      </w:r>
      <w:proofErr w:type="spellEnd"/>
      <w:r w:rsidRPr="00191A0A">
        <w:rPr>
          <w:rFonts w:ascii="Times New Roman" w:hAnsi="Times New Roman" w:cs="Times New Roman"/>
          <w:color w:val="000000" w:themeColor="text1"/>
          <w:sz w:val="20"/>
          <w:szCs w:val="20"/>
        </w:rPr>
        <w:t>: 10.1038/s41467-023-42555-1.</w:t>
      </w:r>
    </w:p>
    <w:sectPr w:rsidR="00E34A0C" w:rsidRPr="00191A0A">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BDAD8" w14:textId="77777777" w:rsidR="00B13295" w:rsidRDefault="00B13295">
      <w:r>
        <w:separator/>
      </w:r>
    </w:p>
  </w:endnote>
  <w:endnote w:type="continuationSeparator" w:id="0">
    <w:p w14:paraId="0C0670D7" w14:textId="77777777" w:rsidR="00B13295" w:rsidRDefault="00B13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inherit">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F11D" w14:textId="77777777" w:rsidR="00E34A0C" w:rsidRDefault="00000000">
    <w:pPr>
      <w:pBdr>
        <w:top w:val="single" w:sz="4" w:space="1" w:color="2E75B6"/>
      </w:pBdr>
      <w:tabs>
        <w:tab w:val="right" w:pos="9026"/>
      </w:tabs>
      <w:spacing w:before="80"/>
    </w:pPr>
    <w:r>
      <w:rPr>
        <w:color w:val="595959"/>
        <w:sz w:val="18"/>
        <w:szCs w:val="18"/>
      </w:rPr>
      <w:t xml:space="preserve">Adeika &amp; </w:t>
    </w:r>
    <w:proofErr w:type="gramStart"/>
    <w:r>
      <w:rPr>
        <w:color w:val="595959"/>
        <w:sz w:val="18"/>
        <w:szCs w:val="18"/>
      </w:rPr>
      <w:t>Osuagwu  |</w:t>
    </w:r>
    <w:proofErr w:type="gramEnd"/>
    <w:r>
      <w:rPr>
        <w:color w:val="595959"/>
        <w:sz w:val="18"/>
        <w:szCs w:val="18"/>
      </w:rPr>
      <w:t xml:space="preserve">  Morgan State University</w:t>
    </w:r>
    <w:r>
      <w:rPr>
        <w:color w:val="595959"/>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95A87" w14:textId="77777777" w:rsidR="00B13295" w:rsidRDefault="00B13295">
      <w:r>
        <w:separator/>
      </w:r>
    </w:p>
  </w:footnote>
  <w:footnote w:type="continuationSeparator" w:id="0">
    <w:p w14:paraId="68897FB6" w14:textId="77777777" w:rsidR="00B13295" w:rsidRDefault="00B132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EB567" w14:textId="77777777" w:rsidR="00E34A0C" w:rsidRDefault="00000000">
    <w:pPr>
      <w:pBdr>
        <w:bottom w:val="single" w:sz="4" w:space="1" w:color="2E75B6"/>
      </w:pBdr>
      <w:tabs>
        <w:tab w:val="right" w:pos="9026"/>
      </w:tabs>
      <w:spacing w:after="80"/>
    </w:pPr>
    <w:r>
      <w:rPr>
        <w:color w:val="595959"/>
        <w:sz w:val="18"/>
        <w:szCs w:val="18"/>
      </w:rPr>
      <w:t>AI for Brain-to-Speech Decoding: A Systematic Review</w:t>
    </w:r>
    <w:r>
      <w:rPr>
        <w:color w:val="595959"/>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904C0"/>
    <w:multiLevelType w:val="hybridMultilevel"/>
    <w:tmpl w:val="BE0EAFEC"/>
    <w:lvl w:ilvl="0" w:tplc="A6A2369C">
      <w:start w:val="1"/>
      <w:numFmt w:val="bullet"/>
      <w:lvlText w:val="●"/>
      <w:lvlJc w:val="left"/>
      <w:pPr>
        <w:ind w:left="720" w:hanging="360"/>
      </w:pPr>
    </w:lvl>
    <w:lvl w:ilvl="1" w:tplc="76B8F6A2">
      <w:start w:val="1"/>
      <w:numFmt w:val="bullet"/>
      <w:lvlText w:val="○"/>
      <w:lvlJc w:val="left"/>
      <w:pPr>
        <w:ind w:left="1440" w:hanging="360"/>
      </w:pPr>
    </w:lvl>
    <w:lvl w:ilvl="2" w:tplc="70109730">
      <w:start w:val="1"/>
      <w:numFmt w:val="bullet"/>
      <w:lvlText w:val="■"/>
      <w:lvlJc w:val="left"/>
      <w:pPr>
        <w:ind w:left="2160" w:hanging="360"/>
      </w:pPr>
    </w:lvl>
    <w:lvl w:ilvl="3" w:tplc="BB38F762">
      <w:start w:val="1"/>
      <w:numFmt w:val="bullet"/>
      <w:lvlText w:val="●"/>
      <w:lvlJc w:val="left"/>
      <w:pPr>
        <w:ind w:left="2880" w:hanging="360"/>
      </w:pPr>
    </w:lvl>
    <w:lvl w:ilvl="4" w:tplc="2BF2413E">
      <w:start w:val="1"/>
      <w:numFmt w:val="bullet"/>
      <w:lvlText w:val="○"/>
      <w:lvlJc w:val="left"/>
      <w:pPr>
        <w:ind w:left="3600" w:hanging="360"/>
      </w:pPr>
    </w:lvl>
    <w:lvl w:ilvl="5" w:tplc="77407756">
      <w:start w:val="1"/>
      <w:numFmt w:val="bullet"/>
      <w:lvlText w:val="■"/>
      <w:lvlJc w:val="left"/>
      <w:pPr>
        <w:ind w:left="4320" w:hanging="360"/>
      </w:pPr>
    </w:lvl>
    <w:lvl w:ilvl="6" w:tplc="AA7CD4EA">
      <w:start w:val="1"/>
      <w:numFmt w:val="bullet"/>
      <w:lvlText w:val="●"/>
      <w:lvlJc w:val="left"/>
      <w:pPr>
        <w:ind w:left="5040" w:hanging="360"/>
      </w:pPr>
    </w:lvl>
    <w:lvl w:ilvl="7" w:tplc="C1F0B946">
      <w:start w:val="1"/>
      <w:numFmt w:val="bullet"/>
      <w:lvlText w:val="●"/>
      <w:lvlJc w:val="left"/>
      <w:pPr>
        <w:ind w:left="5760" w:hanging="360"/>
      </w:pPr>
    </w:lvl>
    <w:lvl w:ilvl="8" w:tplc="29ECBE0E">
      <w:start w:val="1"/>
      <w:numFmt w:val="bullet"/>
      <w:lvlText w:val="●"/>
      <w:lvlJc w:val="left"/>
      <w:pPr>
        <w:ind w:left="6480" w:hanging="360"/>
      </w:pPr>
    </w:lvl>
  </w:abstractNum>
  <w:abstractNum w:abstractNumId="1" w15:restartNumberingAfterBreak="0">
    <w:nsid w:val="5DA01BF1"/>
    <w:multiLevelType w:val="multilevel"/>
    <w:tmpl w:val="3EEA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232474">
    <w:abstractNumId w:val="0"/>
    <w:lvlOverride w:ilvl="0">
      <w:startOverride w:val="1"/>
    </w:lvlOverride>
  </w:num>
  <w:num w:numId="2" w16cid:durableId="2045253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A0C"/>
    <w:rsid w:val="00191A0A"/>
    <w:rsid w:val="007842BD"/>
    <w:rsid w:val="00A5122E"/>
    <w:rsid w:val="00B13295"/>
    <w:rsid w:val="00E34A0C"/>
    <w:rsid w:val="00F83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4DCE3B"/>
  <w15:docId w15:val="{0235A003-9ABB-2743-8362-F7E6DBCD6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28"/>
      <w:szCs w:val="28"/>
    </w:rPr>
  </w:style>
  <w:style w:type="paragraph" w:styleId="Heading2">
    <w:name w:val="heading 2"/>
    <w:uiPriority w:val="9"/>
    <w:unhideWhenUsed/>
    <w:qFormat/>
    <w:pPr>
      <w:spacing w:before="300" w:after="160"/>
      <w:outlineLvl w:val="1"/>
    </w:pPr>
    <w:rPr>
      <w:b/>
      <w:bCs/>
      <w:color w:val="2E75B6"/>
      <w:sz w:val="24"/>
      <w:szCs w:val="24"/>
    </w:rPr>
  </w:style>
  <w:style w:type="paragraph" w:styleId="Heading3">
    <w:name w:val="heading 3"/>
    <w:uiPriority w:val="9"/>
    <w:unhideWhenUsed/>
    <w:qFormat/>
    <w:pPr>
      <w:spacing w:before="240" w:after="12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nova-legacy-e-listitem">
    <w:name w:val="nova-legacy-e-list__item"/>
    <w:basedOn w:val="Normal"/>
    <w:rsid w:val="00F83DFB"/>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389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038/s41597-022-01147-2?urlappend=%3Futm_source%3Dresearchgate.net%26utm_medium%3Dartic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5609</Words>
  <Characters>31974</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I Adeika</cp:lastModifiedBy>
  <cp:revision>3</cp:revision>
  <dcterms:created xsi:type="dcterms:W3CDTF">2026-05-01T06:13:00Z</dcterms:created>
  <dcterms:modified xsi:type="dcterms:W3CDTF">2026-05-12T23:10:00Z</dcterms:modified>
</cp:coreProperties>
</file>