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BE3B" w14:textId="77777777" w:rsidR="00280430" w:rsidRPr="00CD4C05" w:rsidRDefault="00000000">
      <w:pPr>
        <w:pStyle w:val="Heading1"/>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3. Neural Signal Modalities: Landscape and Characteristics</w:t>
      </w:r>
    </w:p>
    <w:p w14:paraId="4AA3C343" w14:textId="77777777" w:rsidR="00280430" w:rsidRPr="00CD4C05" w:rsidRDefault="00280430">
      <w:pPr>
        <w:pBdr>
          <w:bottom w:val="single" w:sz="4" w:space="1" w:color="BDD7EE"/>
        </w:pBdr>
        <w:spacing w:after="180"/>
        <w:rPr>
          <w:rFonts w:ascii="Times New Roman" w:hAnsi="Times New Roman" w:cs="Times New Roman"/>
          <w:color w:val="000000" w:themeColor="text1"/>
          <w:sz w:val="20"/>
          <w:szCs w:val="20"/>
        </w:rPr>
      </w:pPr>
    </w:p>
    <w:p w14:paraId="0786B56A" w14:textId="30284D8D"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The choice of neural recording modality is the first and most consequential design decision in any brain-to-speech system. It determines signal quality, spatial and temporal resolution, invasiveness, and the ultimate performance ceiling that any downstream AI architecture can achieve. The 71 included studies span five primary modality groups and three hybrid or emerging approaches, all characterized in Table 1. Speech production and perception draw on a distributed cortical network spanning sensorimotor, temporal, and prefrontal regions </w:t>
      </w:r>
      <w:r w:rsidRPr="00CD4C05">
        <w:rPr>
          <w:rFonts w:ascii="Times New Roman" w:hAnsi="Times New Roman" w:cs="Times New Roman"/>
          <w:color w:val="000000" w:themeColor="text1"/>
          <w:sz w:val="20"/>
          <w:szCs w:val="20"/>
          <w:vertAlign w:val="superscript"/>
        </w:rPr>
        <w:t>[1]</w:t>
      </w:r>
      <w:r w:rsidRPr="00CD4C05">
        <w:rPr>
          <w:rFonts w:ascii="Times New Roman" w:hAnsi="Times New Roman" w:cs="Times New Roman"/>
          <w:color w:val="000000" w:themeColor="text1"/>
          <w:sz w:val="20"/>
          <w:szCs w:val="20"/>
        </w:rPr>
        <w:t xml:space="preserve"> and the modality employed determines which parts of this network are accessible to the decoder.</w:t>
      </w:r>
    </w:p>
    <w:p w14:paraId="55EA4F57" w14:textId="77777777" w:rsidR="00280430" w:rsidRPr="00CD4C05" w:rsidRDefault="00000000">
      <w:pPr>
        <w:pStyle w:val="Heading2"/>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3.1  Invasive</w:t>
      </w:r>
      <w:proofErr w:type="gramEnd"/>
      <w:r w:rsidRPr="00CD4C05">
        <w:rPr>
          <w:rFonts w:ascii="Times New Roman" w:hAnsi="Times New Roman" w:cs="Times New Roman"/>
          <w:color w:val="000000" w:themeColor="text1"/>
          <w:sz w:val="20"/>
          <w:szCs w:val="20"/>
        </w:rPr>
        <w:t xml:space="preserve"> Modalities</w:t>
      </w:r>
    </w:p>
    <w:p w14:paraId="18F2A06A" w14:textId="77777777" w:rsidR="00280430" w:rsidRPr="00CD4C05" w:rsidRDefault="00000000">
      <w:pPr>
        <w:pStyle w:val="Heading3"/>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3.1.1  Electrocorticography</w:t>
      </w:r>
      <w:proofErr w:type="gramEnd"/>
      <w:r w:rsidRPr="00CD4C05">
        <w:rPr>
          <w:rFonts w:ascii="Times New Roman" w:hAnsi="Times New Roman" w:cs="Times New Roman"/>
          <w:color w:val="000000" w:themeColor="text1"/>
          <w:sz w:val="20"/>
          <w:szCs w:val="20"/>
        </w:rPr>
        <w:t xml:space="preserve"> (ECoG)</w:t>
      </w:r>
    </w:p>
    <w:p w14:paraId="2F00B3E3" w14:textId="0FEF9ACF"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ECoG places electrode arrays directly on the cortical surface following craniotomy, capturing broadband local field potentials </w:t>
      </w:r>
      <w:r w:rsidR="00CD4C05">
        <w:rPr>
          <w:rFonts w:ascii="Times New Roman" w:hAnsi="Times New Roman" w:cs="Times New Roman"/>
          <w:color w:val="000000" w:themeColor="text1"/>
          <w:sz w:val="20"/>
          <w:szCs w:val="20"/>
        </w:rPr>
        <w:t xml:space="preserve">- </w:t>
      </w:r>
      <w:r w:rsidRPr="00CD4C05">
        <w:rPr>
          <w:rFonts w:ascii="Times New Roman" w:hAnsi="Times New Roman" w:cs="Times New Roman"/>
          <w:color w:val="000000" w:themeColor="text1"/>
          <w:sz w:val="20"/>
          <w:szCs w:val="20"/>
        </w:rPr>
        <w:t xml:space="preserve">particularly high-gamma activity (70–150 Hz)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with </w:t>
      </w:r>
      <w:r w:rsidR="00CD4C05" w:rsidRPr="00CD4C05">
        <w:rPr>
          <w:rFonts w:ascii="Times New Roman" w:hAnsi="Times New Roman" w:cs="Times New Roman"/>
          <w:color w:val="000000" w:themeColor="text1"/>
          <w:sz w:val="20"/>
          <w:szCs w:val="20"/>
        </w:rPr>
        <w:t>millimeter</w:t>
      </w:r>
      <w:r w:rsidRPr="00CD4C05">
        <w:rPr>
          <w:rFonts w:ascii="Times New Roman" w:hAnsi="Times New Roman" w:cs="Times New Roman"/>
          <w:color w:val="000000" w:themeColor="text1"/>
          <w:sz w:val="20"/>
          <w:szCs w:val="20"/>
        </w:rPr>
        <w:t xml:space="preserve">-scale spatial resolution and millisecond temporal fidelity. The signal richness afforded by sub-dural placement has supported the field's most analytically productive research: from the Brain-to-Text baseline of Herff and colleagues (~25% WER) </w:t>
      </w:r>
      <w:r w:rsidRPr="00CD4C05">
        <w:rPr>
          <w:rFonts w:ascii="Times New Roman" w:hAnsi="Times New Roman" w:cs="Times New Roman"/>
          <w:color w:val="000000" w:themeColor="text1"/>
          <w:sz w:val="20"/>
          <w:szCs w:val="20"/>
          <w:vertAlign w:val="superscript"/>
        </w:rPr>
        <w:t>[2]</w:t>
      </w:r>
      <w:r w:rsidRPr="00CD4C05">
        <w:rPr>
          <w:rFonts w:ascii="Times New Roman" w:hAnsi="Times New Roman" w:cs="Times New Roman"/>
          <w:color w:val="000000" w:themeColor="text1"/>
          <w:sz w:val="20"/>
          <w:szCs w:val="20"/>
        </w:rPr>
        <w:t xml:space="preserve"> through articulatory trajectory encoding </w:t>
      </w:r>
      <w:r w:rsidRPr="00CD4C05">
        <w:rPr>
          <w:rFonts w:ascii="Times New Roman" w:hAnsi="Times New Roman" w:cs="Times New Roman"/>
          <w:color w:val="000000" w:themeColor="text1"/>
          <w:sz w:val="20"/>
          <w:szCs w:val="20"/>
          <w:vertAlign w:val="superscript"/>
        </w:rPr>
        <w:t>[3]</w:t>
      </w:r>
      <w:r w:rsidRPr="00CD4C05">
        <w:rPr>
          <w:rFonts w:ascii="Times New Roman" w:hAnsi="Times New Roman" w:cs="Times New Roman"/>
          <w:color w:val="000000" w:themeColor="text1"/>
          <w:sz w:val="20"/>
          <w:szCs w:val="20"/>
        </w:rPr>
        <w:t xml:space="preserve"> and the first fluent ECoG-synthesized speech </w:t>
      </w:r>
      <w:r w:rsidRPr="00CD4C05">
        <w:rPr>
          <w:rFonts w:ascii="Times New Roman" w:hAnsi="Times New Roman" w:cs="Times New Roman"/>
          <w:color w:val="000000" w:themeColor="text1"/>
          <w:sz w:val="20"/>
          <w:szCs w:val="20"/>
          <w:vertAlign w:val="superscript"/>
        </w:rPr>
        <w:t>[4]</w:t>
      </w:r>
      <w:r w:rsidRPr="00CD4C05">
        <w:rPr>
          <w:rFonts w:ascii="Times New Roman" w:hAnsi="Times New Roman" w:cs="Times New Roman"/>
          <w:color w:val="000000" w:themeColor="text1"/>
          <w:sz w:val="20"/>
          <w:szCs w:val="20"/>
        </w:rPr>
        <w:t xml:space="preserve">, to the encoder-decoder framework of Makin, Moses and Chang achieving ~3% WER on a constrained corpus </w:t>
      </w:r>
      <w:r w:rsidRPr="00CD4C05">
        <w:rPr>
          <w:rFonts w:ascii="Times New Roman" w:hAnsi="Times New Roman" w:cs="Times New Roman"/>
          <w:color w:val="000000" w:themeColor="text1"/>
          <w:sz w:val="20"/>
          <w:szCs w:val="20"/>
          <w:vertAlign w:val="superscript"/>
        </w:rPr>
        <w:t>[5]</w:t>
      </w:r>
      <w:r w:rsidRPr="00CD4C05">
        <w:rPr>
          <w:rFonts w:ascii="Times New Roman" w:hAnsi="Times New Roman" w:cs="Times New Roman"/>
          <w:color w:val="000000" w:themeColor="text1"/>
          <w:sz w:val="20"/>
          <w:szCs w:val="20"/>
        </w:rPr>
        <w:t xml:space="preserve"> and the largest ECoG cohort yet assembled (n=48, PCC=0.804) </w:t>
      </w:r>
      <w:r w:rsidRPr="00CD4C05">
        <w:rPr>
          <w:rFonts w:ascii="Times New Roman" w:hAnsi="Times New Roman" w:cs="Times New Roman"/>
          <w:color w:val="000000" w:themeColor="text1"/>
          <w:sz w:val="20"/>
          <w:szCs w:val="20"/>
          <w:vertAlign w:val="superscript"/>
        </w:rPr>
        <w:t>[6]</w:t>
      </w:r>
      <w:r w:rsidRPr="00CD4C05">
        <w:rPr>
          <w:rFonts w:ascii="Times New Roman" w:hAnsi="Times New Roman" w:cs="Times New Roman"/>
          <w:color w:val="000000" w:themeColor="text1"/>
          <w:sz w:val="20"/>
          <w:szCs w:val="20"/>
        </w:rPr>
        <w:t xml:space="preserve">. ECoG also captures imagined and covert speech, albeit at lower signal amplitude </w:t>
      </w:r>
      <w:r w:rsidRPr="00CD4C05">
        <w:rPr>
          <w:rFonts w:ascii="Times New Roman" w:hAnsi="Times New Roman" w:cs="Times New Roman"/>
          <w:color w:val="000000" w:themeColor="text1"/>
          <w:sz w:val="20"/>
          <w:szCs w:val="20"/>
          <w:vertAlign w:val="superscript"/>
        </w:rPr>
        <w:t>[7]</w:t>
      </w:r>
      <w:r w:rsidRPr="00CD4C05">
        <w:rPr>
          <w:rFonts w:ascii="Times New Roman" w:hAnsi="Times New Roman" w:cs="Times New Roman"/>
          <w:color w:val="000000" w:themeColor="text1"/>
          <w:sz w:val="20"/>
          <w:szCs w:val="20"/>
        </w:rPr>
        <w:t xml:space="preserve">. Its principal limitation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the requirement for craniotomy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means most research participants are epilepsy patients undergoing clinical monitoring, a population that may not fully generalize to the ALS and locked-in cohorts that speech neuroprostheses are designed to serve.</w:t>
      </w:r>
    </w:p>
    <w:p w14:paraId="4901D9D7" w14:textId="77777777" w:rsidR="00280430" w:rsidRPr="00CD4C05" w:rsidRDefault="00000000">
      <w:pPr>
        <w:pStyle w:val="Heading3"/>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3.1.2  Intracortical</w:t>
      </w:r>
      <w:proofErr w:type="gramEnd"/>
      <w:r w:rsidRPr="00CD4C05">
        <w:rPr>
          <w:rFonts w:ascii="Times New Roman" w:hAnsi="Times New Roman" w:cs="Times New Roman"/>
          <w:color w:val="000000" w:themeColor="text1"/>
          <w:sz w:val="20"/>
          <w:szCs w:val="20"/>
        </w:rPr>
        <w:t xml:space="preserve"> Microelectrode Arrays</w:t>
      </w:r>
    </w:p>
    <w:p w14:paraId="670EE6CB" w14:textId="3CC4D481"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Intracortical arrays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primarily the 10×10 Utah array used in the BrainGate program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penetrate the cortical grey matter to record single-unit and multi-unit activity with sub-millisecond temporal resolution and ~400 μm electrode spacing. This signal richness underpins the strongest clinical results in this review: Moses and colleagues (15 WPM, first anarthria neuroprosthesis) </w:t>
      </w:r>
      <w:r w:rsidRPr="00CD4C05">
        <w:rPr>
          <w:rFonts w:ascii="Times New Roman" w:hAnsi="Times New Roman" w:cs="Times New Roman"/>
          <w:color w:val="000000" w:themeColor="text1"/>
          <w:sz w:val="20"/>
          <w:szCs w:val="20"/>
          <w:vertAlign w:val="superscript"/>
        </w:rPr>
        <w:t>[8]</w:t>
      </w:r>
      <w:r w:rsidRPr="00CD4C05">
        <w:rPr>
          <w:rFonts w:ascii="Times New Roman" w:hAnsi="Times New Roman" w:cs="Times New Roman"/>
          <w:color w:val="000000" w:themeColor="text1"/>
          <w:sz w:val="20"/>
          <w:szCs w:val="20"/>
        </w:rPr>
        <w:t xml:space="preserve">, Willett and colleagues (62 WPM, WER 9%) </w:t>
      </w:r>
      <w:r w:rsidRPr="00CD4C05">
        <w:rPr>
          <w:rFonts w:ascii="Times New Roman" w:hAnsi="Times New Roman" w:cs="Times New Roman"/>
          <w:color w:val="000000" w:themeColor="text1"/>
          <w:sz w:val="20"/>
          <w:szCs w:val="20"/>
          <w:vertAlign w:val="superscript"/>
        </w:rPr>
        <w:t>[9]</w:t>
      </w:r>
      <w:r w:rsidRPr="00CD4C05">
        <w:rPr>
          <w:rFonts w:ascii="Times New Roman" w:hAnsi="Times New Roman" w:cs="Times New Roman"/>
          <w:color w:val="000000" w:themeColor="text1"/>
          <w:sz w:val="20"/>
          <w:szCs w:val="20"/>
        </w:rPr>
        <w:t xml:space="preserve">, Metzger and colleagues (78 WPM with voice synthesis) </w:t>
      </w:r>
      <w:r w:rsidRPr="00CD4C05">
        <w:rPr>
          <w:rFonts w:ascii="Times New Roman" w:hAnsi="Times New Roman" w:cs="Times New Roman"/>
          <w:color w:val="000000" w:themeColor="text1"/>
          <w:sz w:val="20"/>
          <w:szCs w:val="20"/>
          <w:vertAlign w:val="superscript"/>
        </w:rPr>
        <w:t>[10]</w:t>
      </w:r>
      <w:r w:rsidRPr="00CD4C05">
        <w:rPr>
          <w:rFonts w:ascii="Times New Roman" w:hAnsi="Times New Roman" w:cs="Times New Roman"/>
          <w:color w:val="000000" w:themeColor="text1"/>
          <w:sz w:val="20"/>
          <w:szCs w:val="20"/>
        </w:rPr>
        <w:t xml:space="preserve">, and Card and colleagues (WER 2.5%, sustained eight months) </w:t>
      </w:r>
      <w:r w:rsidRPr="00CD4C05">
        <w:rPr>
          <w:rFonts w:ascii="Times New Roman" w:hAnsi="Times New Roman" w:cs="Times New Roman"/>
          <w:color w:val="000000" w:themeColor="text1"/>
          <w:sz w:val="20"/>
          <w:szCs w:val="20"/>
          <w:vertAlign w:val="superscript"/>
        </w:rPr>
        <w:t>[11]</w:t>
      </w:r>
      <w:r w:rsidRPr="00CD4C05">
        <w:rPr>
          <w:rFonts w:ascii="Times New Roman" w:hAnsi="Times New Roman" w:cs="Times New Roman"/>
          <w:color w:val="000000" w:themeColor="text1"/>
          <w:sz w:val="20"/>
          <w:szCs w:val="20"/>
        </w:rPr>
        <w:t xml:space="preserve">. Cross-session stability is achievable via manifold alignment </w:t>
      </w:r>
      <w:r w:rsidRPr="00CD4C05">
        <w:rPr>
          <w:rFonts w:ascii="Times New Roman" w:hAnsi="Times New Roman" w:cs="Times New Roman"/>
          <w:color w:val="000000" w:themeColor="text1"/>
          <w:sz w:val="20"/>
          <w:szCs w:val="20"/>
          <w:vertAlign w:val="superscript"/>
        </w:rPr>
        <w:t>[12]</w:t>
      </w:r>
      <w:r w:rsidRPr="00CD4C05">
        <w:rPr>
          <w:rFonts w:ascii="Times New Roman" w:hAnsi="Times New Roman" w:cs="Times New Roman"/>
          <w:color w:val="000000" w:themeColor="text1"/>
          <w:sz w:val="20"/>
          <w:szCs w:val="20"/>
        </w:rPr>
        <w:t>. The primary limitation is biological: chronic inflammatory glial scarring progressively attenuates signal quality, and the surgical risk of intracortical implantation is higher than that of subdural ECoG.</w:t>
      </w:r>
    </w:p>
    <w:p w14:paraId="41B8E3D8" w14:textId="77777777" w:rsidR="00280430" w:rsidRPr="00CD4C05" w:rsidRDefault="00000000">
      <w:pPr>
        <w:pStyle w:val="Heading3"/>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3.1.3  Stereotactic</w:t>
      </w:r>
      <w:proofErr w:type="gramEnd"/>
      <w:r w:rsidRPr="00CD4C05">
        <w:rPr>
          <w:rFonts w:ascii="Times New Roman" w:hAnsi="Times New Roman" w:cs="Times New Roman"/>
          <w:color w:val="000000" w:themeColor="text1"/>
          <w:sz w:val="20"/>
          <w:szCs w:val="20"/>
        </w:rPr>
        <w:t xml:space="preserve"> EEG (sEEG)</w:t>
      </w:r>
    </w:p>
    <w:p w14:paraId="6D09B719" w14:textId="6DFD691B"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sEEG implants thin depth electrodes via burr holes without craniotomy, sampling deep cortical and subcortical structures inaccessible to surface grids at lower surgical risk. Angrick and colleagues demonstrated real-time imagined speech synthesis from sEEG </w:t>
      </w:r>
      <w:r w:rsidRPr="00CD4C05">
        <w:rPr>
          <w:rFonts w:ascii="Times New Roman" w:hAnsi="Times New Roman" w:cs="Times New Roman"/>
          <w:color w:val="000000" w:themeColor="text1"/>
          <w:sz w:val="20"/>
          <w:szCs w:val="20"/>
          <w:vertAlign w:val="superscript"/>
        </w:rPr>
        <w:t>[13]</w:t>
      </w:r>
      <w:r w:rsidRPr="00CD4C05">
        <w:rPr>
          <w:rFonts w:ascii="Times New Roman" w:hAnsi="Times New Roman" w:cs="Times New Roman"/>
          <w:color w:val="000000" w:themeColor="text1"/>
          <w:sz w:val="20"/>
          <w:szCs w:val="20"/>
        </w:rPr>
        <w:t xml:space="preserve">, whilst Singh and colleagues assembled the largest sEEG speech decoding cohort (n=25), showing that a group decoder outperforms individual models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the strongest cross-participant evidence for any invasive modality </w:t>
      </w:r>
      <w:r w:rsidRPr="00CD4C05">
        <w:rPr>
          <w:rFonts w:ascii="Times New Roman" w:hAnsi="Times New Roman" w:cs="Times New Roman"/>
          <w:color w:val="000000" w:themeColor="text1"/>
          <w:sz w:val="20"/>
          <w:szCs w:val="20"/>
          <w:vertAlign w:val="superscript"/>
        </w:rPr>
        <w:t>[14]</w:t>
      </w:r>
      <w:r w:rsidRPr="00CD4C05">
        <w:rPr>
          <w:rFonts w:ascii="Times New Roman" w:hAnsi="Times New Roman" w:cs="Times New Roman"/>
          <w:color w:val="000000" w:themeColor="text1"/>
          <w:sz w:val="20"/>
          <w:szCs w:val="20"/>
        </w:rPr>
        <w:t>. The minimally invasive profile and deep-structure access make sEEG a growing direction for speech BCI research despite representing only 4 of the 32 invasive studies in this review.</w:t>
      </w:r>
    </w:p>
    <w:p w14:paraId="28C22DEC" w14:textId="77777777" w:rsidR="00280430" w:rsidRPr="00CD4C05" w:rsidRDefault="00000000">
      <w:pPr>
        <w:pStyle w:val="Heading2"/>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lastRenderedPageBreak/>
        <w:t>3.2  Non</w:t>
      </w:r>
      <w:proofErr w:type="gramEnd"/>
      <w:r w:rsidRPr="00CD4C05">
        <w:rPr>
          <w:rFonts w:ascii="Times New Roman" w:hAnsi="Times New Roman" w:cs="Times New Roman"/>
          <w:color w:val="000000" w:themeColor="text1"/>
          <w:sz w:val="20"/>
          <w:szCs w:val="20"/>
        </w:rPr>
        <w:t>-Invasive Modalities</w:t>
      </w:r>
    </w:p>
    <w:p w14:paraId="3C688988" w14:textId="77777777" w:rsidR="00280430" w:rsidRPr="00CD4C05" w:rsidRDefault="00000000">
      <w:pPr>
        <w:pStyle w:val="Heading3"/>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3.2.1  Scalp</w:t>
      </w:r>
      <w:proofErr w:type="gramEnd"/>
      <w:r w:rsidRPr="00CD4C05">
        <w:rPr>
          <w:rFonts w:ascii="Times New Roman" w:hAnsi="Times New Roman" w:cs="Times New Roman"/>
          <w:color w:val="000000" w:themeColor="text1"/>
          <w:sz w:val="20"/>
          <w:szCs w:val="20"/>
        </w:rPr>
        <w:t xml:space="preserve"> EEG</w:t>
      </w:r>
    </w:p>
    <w:p w14:paraId="1170F53C" w14:textId="38599326"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Scalp EEG captures cortical field potentials through skull and scalp tissue, which act as a spatial low-pass filter and attenuate the high-gamma band most informative for speech decoding. Despite low signal-to-noise ratio, EEG is inexpensive, portable, and clinically accessible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making it the primary non-invasive modality for brain-to-speech research (20 of 71 studies). Closed-set imagined speech classification has improved from classical baselines to subject-independent deep learning achieving 73–92% accuracy </w:t>
      </w:r>
      <w:r w:rsidRPr="00CD4C05">
        <w:rPr>
          <w:rFonts w:ascii="Times New Roman" w:hAnsi="Times New Roman" w:cs="Times New Roman"/>
          <w:color w:val="000000" w:themeColor="text1"/>
          <w:sz w:val="20"/>
          <w:szCs w:val="20"/>
          <w:vertAlign w:val="superscript"/>
        </w:rPr>
        <w:t>[15][16]</w:t>
      </w:r>
      <w:r w:rsidRPr="00CD4C05">
        <w:rPr>
          <w:rFonts w:ascii="Times New Roman" w:hAnsi="Times New Roman" w:cs="Times New Roman"/>
          <w:color w:val="000000" w:themeColor="text1"/>
          <w:sz w:val="20"/>
          <w:szCs w:val="20"/>
        </w:rPr>
        <w:t xml:space="preserve">. Transformer-based open-vocabulary EEG-to-text decoding, pioneered by Wang and Ji </w:t>
      </w:r>
      <w:r w:rsidRPr="00CD4C05">
        <w:rPr>
          <w:rFonts w:ascii="Times New Roman" w:hAnsi="Times New Roman" w:cs="Times New Roman"/>
          <w:color w:val="000000" w:themeColor="text1"/>
          <w:sz w:val="20"/>
          <w:szCs w:val="20"/>
          <w:vertAlign w:val="superscript"/>
        </w:rPr>
        <w:t>[17]</w:t>
      </w:r>
      <w:r w:rsidRPr="00CD4C05">
        <w:rPr>
          <w:rFonts w:ascii="Times New Roman" w:hAnsi="Times New Roman" w:cs="Times New Roman"/>
          <w:color w:val="000000" w:themeColor="text1"/>
          <w:sz w:val="20"/>
          <w:szCs w:val="20"/>
        </w:rPr>
        <w:t xml:space="preserve"> and extended by DeWave </w:t>
      </w:r>
      <w:r w:rsidRPr="00CD4C05">
        <w:rPr>
          <w:rFonts w:ascii="Times New Roman" w:hAnsi="Times New Roman" w:cs="Times New Roman"/>
          <w:color w:val="000000" w:themeColor="text1"/>
          <w:sz w:val="20"/>
          <w:szCs w:val="20"/>
          <w:vertAlign w:val="superscript"/>
        </w:rPr>
        <w:t>[18]</w:t>
      </w:r>
      <w:r w:rsidRPr="00CD4C05">
        <w:rPr>
          <w:rFonts w:ascii="Times New Roman" w:hAnsi="Times New Roman" w:cs="Times New Roman"/>
          <w:color w:val="000000" w:themeColor="text1"/>
          <w:sz w:val="20"/>
          <w:szCs w:val="20"/>
        </w:rPr>
        <w:t xml:space="preserve">, achieves BLEU score improvements at the cost of WER around 35–45%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an order of magnitude higher than the best invasive results, reflecting the fundamental ceiling imposed by scalp recording.</w:t>
      </w:r>
    </w:p>
    <w:p w14:paraId="357CB592" w14:textId="77777777" w:rsidR="00280430" w:rsidRPr="00CD4C05" w:rsidRDefault="00000000">
      <w:pPr>
        <w:pStyle w:val="Heading3"/>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3.2.2  Magnetoencephalography</w:t>
      </w:r>
      <w:proofErr w:type="gramEnd"/>
      <w:r w:rsidRPr="00CD4C05">
        <w:rPr>
          <w:rFonts w:ascii="Times New Roman" w:hAnsi="Times New Roman" w:cs="Times New Roman"/>
          <w:color w:val="000000" w:themeColor="text1"/>
          <w:sz w:val="20"/>
          <w:szCs w:val="20"/>
        </w:rPr>
        <w:t xml:space="preserve"> (MEG)</w:t>
      </w:r>
    </w:p>
    <w:p w14:paraId="0C4E736A" w14:textId="112E28E2"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MEG measures femtotesla-scale magnetic fields from neuronal currents using SQUID sensors, offering better spatial source localization than EEG (~5–10 mm) with equivalent millisecond temporal resolution. Large-participant contrastive self-supervised learning achieved </w:t>
      </w:r>
      <w:proofErr w:type="gramStart"/>
      <w:r w:rsidRPr="00CD4C05">
        <w:rPr>
          <w:rFonts w:ascii="Times New Roman" w:hAnsi="Times New Roman" w:cs="Times New Roman"/>
          <w:color w:val="000000" w:themeColor="text1"/>
          <w:sz w:val="20"/>
          <w:szCs w:val="20"/>
        </w:rPr>
        <w:t>top-1</w:t>
      </w:r>
      <w:proofErr w:type="gramEnd"/>
      <w:r w:rsidRPr="00CD4C05">
        <w:rPr>
          <w:rFonts w:ascii="Times New Roman" w:hAnsi="Times New Roman" w:cs="Times New Roman"/>
          <w:color w:val="000000" w:themeColor="text1"/>
          <w:sz w:val="20"/>
          <w:szCs w:val="20"/>
        </w:rPr>
        <w:t xml:space="preserve"> accuracy of 41% across 175 participants </w:t>
      </w:r>
      <w:r w:rsidRPr="00CD4C05">
        <w:rPr>
          <w:rFonts w:ascii="Times New Roman" w:hAnsi="Times New Roman" w:cs="Times New Roman"/>
          <w:color w:val="000000" w:themeColor="text1"/>
          <w:sz w:val="20"/>
          <w:szCs w:val="20"/>
          <w:vertAlign w:val="superscript"/>
        </w:rPr>
        <w:t>[19]</w:t>
      </w:r>
      <w:r w:rsidRPr="00CD4C05">
        <w:rPr>
          <w:rFonts w:ascii="Times New Roman" w:hAnsi="Times New Roman" w:cs="Times New Roman"/>
          <w:color w:val="000000" w:themeColor="text1"/>
          <w:sz w:val="20"/>
          <w:szCs w:val="20"/>
        </w:rPr>
        <w:t xml:space="preserve">; subsequent work on 723 participants across seven datasets and three languages demonstrated that decoding performance scales with training data volume </w:t>
      </w:r>
      <w:r w:rsidRPr="00CD4C05">
        <w:rPr>
          <w:rFonts w:ascii="Times New Roman" w:hAnsi="Times New Roman" w:cs="Times New Roman"/>
          <w:color w:val="000000" w:themeColor="text1"/>
          <w:sz w:val="20"/>
          <w:szCs w:val="20"/>
          <w:vertAlign w:val="superscript"/>
        </w:rPr>
        <w:t>[20]</w:t>
      </w:r>
      <w:r w:rsidRPr="00CD4C05">
        <w:rPr>
          <w:rFonts w:ascii="Times New Roman" w:hAnsi="Times New Roman" w:cs="Times New Roman"/>
          <w:color w:val="000000" w:themeColor="text1"/>
          <w:sz w:val="20"/>
          <w:szCs w:val="20"/>
        </w:rPr>
        <w:t xml:space="preserve">. Kwon and colleagues produced the first intelligible speech synthesis from MEG signals </w:t>
      </w:r>
      <w:r w:rsidRPr="00CD4C05">
        <w:rPr>
          <w:rFonts w:ascii="Times New Roman" w:hAnsi="Times New Roman" w:cs="Times New Roman"/>
          <w:color w:val="000000" w:themeColor="text1"/>
          <w:sz w:val="20"/>
          <w:szCs w:val="20"/>
          <w:vertAlign w:val="superscript"/>
        </w:rPr>
        <w:t>[21]</w:t>
      </w:r>
      <w:r w:rsidRPr="00CD4C05">
        <w:rPr>
          <w:rFonts w:ascii="Times New Roman" w:hAnsi="Times New Roman" w:cs="Times New Roman"/>
          <w:color w:val="000000" w:themeColor="text1"/>
          <w:sz w:val="20"/>
          <w:szCs w:val="20"/>
        </w:rPr>
        <w:t xml:space="preserve">. MEG's practical limitation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requiring a magnetically shielded room and cryogenic infrastructure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currently restricts deployment to specialist research </w:t>
      </w:r>
      <w:proofErr w:type="spellStart"/>
      <w:r w:rsidRPr="00CD4C05">
        <w:rPr>
          <w:rFonts w:ascii="Times New Roman" w:hAnsi="Times New Roman" w:cs="Times New Roman"/>
          <w:color w:val="000000" w:themeColor="text1"/>
          <w:sz w:val="20"/>
          <w:szCs w:val="20"/>
        </w:rPr>
        <w:t>centres</w:t>
      </w:r>
      <w:proofErr w:type="spellEnd"/>
      <w:r w:rsidRPr="00CD4C05">
        <w:rPr>
          <w:rFonts w:ascii="Times New Roman" w:hAnsi="Times New Roman" w:cs="Times New Roman"/>
          <w:color w:val="000000" w:themeColor="text1"/>
          <w:sz w:val="20"/>
          <w:szCs w:val="20"/>
        </w:rPr>
        <w:t>.</w:t>
      </w:r>
    </w:p>
    <w:p w14:paraId="38AE6706" w14:textId="77777777" w:rsidR="00280430" w:rsidRPr="00CD4C05" w:rsidRDefault="00000000">
      <w:pPr>
        <w:pStyle w:val="Heading3"/>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3.2.3  Functional</w:t>
      </w:r>
      <w:proofErr w:type="gramEnd"/>
      <w:r w:rsidRPr="00CD4C05">
        <w:rPr>
          <w:rFonts w:ascii="Times New Roman" w:hAnsi="Times New Roman" w:cs="Times New Roman"/>
          <w:color w:val="000000" w:themeColor="text1"/>
          <w:sz w:val="20"/>
          <w:szCs w:val="20"/>
        </w:rPr>
        <w:t xml:space="preserve"> MRI (fMRI)</w:t>
      </w:r>
    </w:p>
    <w:p w14:paraId="15B32FE4" w14:textId="4BB84730"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fMRI measures the haemodynamic BOLD response to neural activity, providing ~1–3 mm spatial resolution at the cost of 1–2 s temporal resolution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too slow to track speech articulation dynamics but sufficient to capture semantic and linguistic content </w:t>
      </w:r>
      <w:r w:rsidRPr="00CD4C05">
        <w:rPr>
          <w:rFonts w:ascii="Times New Roman" w:hAnsi="Times New Roman" w:cs="Times New Roman"/>
          <w:color w:val="000000" w:themeColor="text1"/>
          <w:sz w:val="20"/>
          <w:szCs w:val="20"/>
          <w:vertAlign w:val="superscript"/>
        </w:rPr>
        <w:t>[22]</w:t>
      </w:r>
      <w:r w:rsidRPr="00CD4C05">
        <w:rPr>
          <w:rFonts w:ascii="Times New Roman" w:hAnsi="Times New Roman" w:cs="Times New Roman"/>
          <w:color w:val="000000" w:themeColor="text1"/>
          <w:sz w:val="20"/>
          <w:szCs w:val="20"/>
        </w:rPr>
        <w:t xml:space="preserve">. Tang and colleagues demonstrated 100% story identification accuracy from continuous fMRI-LLM alignment in a landmark Nature Neuroscience study </w:t>
      </w:r>
      <w:r w:rsidRPr="00CD4C05">
        <w:rPr>
          <w:rFonts w:ascii="Times New Roman" w:hAnsi="Times New Roman" w:cs="Times New Roman"/>
          <w:color w:val="000000" w:themeColor="text1"/>
          <w:sz w:val="20"/>
          <w:szCs w:val="20"/>
          <w:vertAlign w:val="superscript"/>
        </w:rPr>
        <w:t>[23]</w:t>
      </w:r>
      <w:r w:rsidRPr="00CD4C05">
        <w:rPr>
          <w:rFonts w:ascii="Times New Roman" w:hAnsi="Times New Roman" w:cs="Times New Roman"/>
          <w:color w:val="000000" w:themeColor="text1"/>
          <w:sz w:val="20"/>
          <w:szCs w:val="20"/>
        </w:rPr>
        <w:t xml:space="preserve">, whilst Tang and Huth showed cross-participant cross-modal semantic decoding across EEG, MEG, and fMRI simultaneously </w:t>
      </w:r>
      <w:r w:rsidRPr="00CD4C05">
        <w:rPr>
          <w:rFonts w:ascii="Times New Roman" w:hAnsi="Times New Roman" w:cs="Times New Roman"/>
          <w:color w:val="000000" w:themeColor="text1"/>
          <w:sz w:val="20"/>
          <w:szCs w:val="20"/>
          <w:vertAlign w:val="superscript"/>
        </w:rPr>
        <w:t>[24]</w:t>
      </w:r>
      <w:r w:rsidRPr="00CD4C05">
        <w:rPr>
          <w:rFonts w:ascii="Times New Roman" w:hAnsi="Times New Roman" w:cs="Times New Roman"/>
          <w:color w:val="000000" w:themeColor="text1"/>
          <w:sz w:val="20"/>
          <w:szCs w:val="20"/>
        </w:rPr>
        <w:t>. fMRI's contribution to this review (6 of 11 Group C studies) has grown sharply since 2022, coinciding with large open fMRI datasets and the maturation of LLM-based semantic decoding pipelines.</w:t>
      </w:r>
    </w:p>
    <w:p w14:paraId="16410816" w14:textId="77777777" w:rsidR="00280430" w:rsidRPr="00CD4C05" w:rsidRDefault="00000000">
      <w:pPr>
        <w:pStyle w:val="Heading2"/>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t>3.3  Hybrid</w:t>
      </w:r>
      <w:proofErr w:type="gramEnd"/>
      <w:r w:rsidRPr="00CD4C05">
        <w:rPr>
          <w:rFonts w:ascii="Times New Roman" w:hAnsi="Times New Roman" w:cs="Times New Roman"/>
          <w:color w:val="000000" w:themeColor="text1"/>
          <w:sz w:val="20"/>
          <w:szCs w:val="20"/>
        </w:rPr>
        <w:t xml:space="preserve"> and Emerging Modalities</w:t>
      </w:r>
    </w:p>
    <w:p w14:paraId="57DFE7B1" w14:textId="675AEE16"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Three hybrid and emerging approaches appear in the included literature. EEG combined with functional near-infrared spectroscopy (fNIRS) leverages complementary electrophysiological and haemodynamic signals: Cooney and colleagues demonstrated bimodal CNN decoding outperforming EEG alone for overt and imagined speech across 19 participants </w:t>
      </w:r>
      <w:r w:rsidRPr="00CD4C05">
        <w:rPr>
          <w:rFonts w:ascii="Times New Roman" w:hAnsi="Times New Roman" w:cs="Times New Roman"/>
          <w:color w:val="000000" w:themeColor="text1"/>
          <w:sz w:val="20"/>
          <w:szCs w:val="20"/>
          <w:vertAlign w:val="superscript"/>
        </w:rPr>
        <w:t>[25]</w:t>
      </w:r>
      <w:r w:rsidRPr="00CD4C05">
        <w:rPr>
          <w:rFonts w:ascii="Times New Roman" w:hAnsi="Times New Roman" w:cs="Times New Roman"/>
          <w:color w:val="000000" w:themeColor="text1"/>
          <w:sz w:val="20"/>
          <w:szCs w:val="20"/>
        </w:rPr>
        <w:t xml:space="preserve">, and Hons and colleagues confirmed the phoneme-level advantage for the EEG+fNIRS hybrid </w:t>
      </w:r>
      <w:r w:rsidRPr="00CD4C05">
        <w:rPr>
          <w:rFonts w:ascii="Times New Roman" w:hAnsi="Times New Roman" w:cs="Times New Roman"/>
          <w:color w:val="000000" w:themeColor="text1"/>
          <w:sz w:val="20"/>
          <w:szCs w:val="20"/>
          <w:vertAlign w:val="superscript"/>
        </w:rPr>
        <w:t>[26]</w:t>
      </w:r>
      <w:r w:rsidRPr="00CD4C05">
        <w:rPr>
          <w:rFonts w:ascii="Times New Roman" w:hAnsi="Times New Roman" w:cs="Times New Roman"/>
          <w:color w:val="000000" w:themeColor="text1"/>
          <w:sz w:val="20"/>
          <w:szCs w:val="20"/>
        </w:rPr>
        <w:t xml:space="preserve">. High-density surface electromyography (HD-sEMG), whilst peripheral rather than neural, captures articulatory muscle activity during silent speech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 xml:space="preserve">Song and colleagues achieved CER 3.11% for 33 Chinese phrases from HD-sEMG, the lowest CER of any non-invasive approach in this review </w:t>
      </w:r>
      <w:r w:rsidRPr="00CD4C05">
        <w:rPr>
          <w:rFonts w:ascii="Times New Roman" w:hAnsi="Times New Roman" w:cs="Times New Roman"/>
          <w:color w:val="000000" w:themeColor="text1"/>
          <w:sz w:val="20"/>
          <w:szCs w:val="20"/>
          <w:vertAlign w:val="superscript"/>
        </w:rPr>
        <w:t>[27]</w:t>
      </w:r>
      <w:r w:rsidRPr="00CD4C05">
        <w:rPr>
          <w:rFonts w:ascii="Times New Roman" w:hAnsi="Times New Roman" w:cs="Times New Roman"/>
          <w:color w:val="000000" w:themeColor="text1"/>
          <w:sz w:val="20"/>
          <w:szCs w:val="20"/>
        </w:rPr>
        <w:t>. Micro-ECoG (µECoG), using sub-</w:t>
      </w:r>
      <w:proofErr w:type="spellStart"/>
      <w:r w:rsidRPr="00CD4C05">
        <w:rPr>
          <w:rFonts w:ascii="Times New Roman" w:hAnsi="Times New Roman" w:cs="Times New Roman"/>
          <w:color w:val="000000" w:themeColor="text1"/>
          <w:sz w:val="20"/>
          <w:szCs w:val="20"/>
        </w:rPr>
        <w:t>millimetre</w:t>
      </w:r>
      <w:proofErr w:type="spellEnd"/>
      <w:r w:rsidRPr="00CD4C05">
        <w:rPr>
          <w:rFonts w:ascii="Times New Roman" w:hAnsi="Times New Roman" w:cs="Times New Roman"/>
          <w:color w:val="000000" w:themeColor="text1"/>
          <w:sz w:val="20"/>
          <w:szCs w:val="20"/>
        </w:rPr>
        <w:t xml:space="preserve"> flexible electrode arrays, demonstrated a 35% improvement in phoneme decoding accuracy over standard macro-ECoG arrays in the same participants </w:t>
      </w:r>
      <w:r w:rsidRPr="00CD4C05">
        <w:rPr>
          <w:rFonts w:ascii="Times New Roman" w:hAnsi="Times New Roman" w:cs="Times New Roman"/>
          <w:color w:val="000000" w:themeColor="text1"/>
          <w:sz w:val="20"/>
          <w:szCs w:val="20"/>
          <w:vertAlign w:val="superscript"/>
        </w:rPr>
        <w:t>[28]</w:t>
      </w:r>
      <w:r w:rsidRPr="00CD4C05">
        <w:rPr>
          <w:rFonts w:ascii="Times New Roman" w:hAnsi="Times New Roman" w:cs="Times New Roman"/>
          <w:color w:val="000000" w:themeColor="text1"/>
          <w:sz w:val="20"/>
          <w:szCs w:val="20"/>
        </w:rPr>
        <w:t>, suggesting that increasing ECoG spatial sampling density can partially bridge the gap between surface and intracortical performance.</w:t>
      </w:r>
    </w:p>
    <w:p w14:paraId="43C857E1" w14:textId="77777777" w:rsidR="00280430" w:rsidRPr="00CD4C05" w:rsidRDefault="00000000">
      <w:pPr>
        <w:pStyle w:val="Heading2"/>
        <w:rPr>
          <w:rFonts w:ascii="Times New Roman" w:hAnsi="Times New Roman" w:cs="Times New Roman"/>
          <w:color w:val="000000" w:themeColor="text1"/>
          <w:sz w:val="20"/>
          <w:szCs w:val="20"/>
        </w:rPr>
      </w:pPr>
      <w:proofErr w:type="gramStart"/>
      <w:r w:rsidRPr="00CD4C05">
        <w:rPr>
          <w:rFonts w:ascii="Times New Roman" w:hAnsi="Times New Roman" w:cs="Times New Roman"/>
          <w:color w:val="000000" w:themeColor="text1"/>
          <w:sz w:val="20"/>
          <w:szCs w:val="20"/>
        </w:rPr>
        <w:lastRenderedPageBreak/>
        <w:t>3.4  Modality</w:t>
      </w:r>
      <w:proofErr w:type="gramEnd"/>
      <w:r w:rsidRPr="00CD4C05">
        <w:rPr>
          <w:rFonts w:ascii="Times New Roman" w:hAnsi="Times New Roman" w:cs="Times New Roman"/>
          <w:color w:val="000000" w:themeColor="text1"/>
          <w:sz w:val="20"/>
          <w:szCs w:val="20"/>
        </w:rPr>
        <w:t xml:space="preserve"> Comparison Summary</w:t>
      </w:r>
    </w:p>
    <w:p w14:paraId="77E01FC3" w14:textId="35124D75" w:rsidR="00280430" w:rsidRPr="00CD4C05" w:rsidRDefault="00000000">
      <w:pPr>
        <w:spacing w:after="160" w:line="348" w:lineRule="auto"/>
        <w:jc w:val="both"/>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Table 1 presents a structured technical and performance comparison across all modality groups. Three patterns are immediately apparent. First, the performance gradient from intracortical through ECoG, sEEG, MEG, and fMRI to scalp EEG is consistent and substantial across the included evidence. Second, non-invasive modalities have gained representation markedly from 2022 onwards (Fig. 5), enabled by transformer architectures and self-supervised learning that reduce the labeled-data requirements previously limiting non-invasive decoding. Third, non-invasive studies account for </w:t>
      </w:r>
      <w:proofErr w:type="gramStart"/>
      <w:r w:rsidRPr="00CD4C05">
        <w:rPr>
          <w:rFonts w:ascii="Times New Roman" w:hAnsi="Times New Roman" w:cs="Times New Roman"/>
          <w:color w:val="000000" w:themeColor="text1"/>
          <w:sz w:val="20"/>
          <w:szCs w:val="20"/>
        </w:rPr>
        <w:t>the majority of</w:t>
      </w:r>
      <w:proofErr w:type="gramEnd"/>
      <w:r w:rsidRPr="00CD4C05">
        <w:rPr>
          <w:rFonts w:ascii="Times New Roman" w:hAnsi="Times New Roman" w:cs="Times New Roman"/>
          <w:color w:val="000000" w:themeColor="text1"/>
          <w:sz w:val="20"/>
          <w:szCs w:val="20"/>
        </w:rPr>
        <w:t xml:space="preserve"> cross-participant generalization evidence (Section 6), reflecting the larger participant samples accessible without surgical barriers. No modality is universally superior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the appropriate choice depends on clinical context, patient population, and the specific communication goal, as discussed in Section 7.</w:t>
      </w:r>
    </w:p>
    <w:p w14:paraId="6C2F718D" w14:textId="77777777" w:rsidR="00280430" w:rsidRPr="00CD4C05" w:rsidRDefault="00280430">
      <w:pPr>
        <w:pBdr>
          <w:bottom w:val="single" w:sz="4" w:space="1" w:color="BDD7EE"/>
        </w:pBdr>
        <w:spacing w:after="180"/>
        <w:rPr>
          <w:rFonts w:ascii="Times New Roman" w:hAnsi="Times New Roman" w:cs="Times New Roman"/>
          <w:color w:val="000000" w:themeColor="text1"/>
          <w:sz w:val="20"/>
          <w:szCs w:val="20"/>
        </w:rPr>
      </w:pPr>
    </w:p>
    <w:p w14:paraId="732415D8" w14:textId="77777777" w:rsidR="00280430" w:rsidRPr="00CD4C05" w:rsidRDefault="00000000">
      <w:pPr>
        <w:spacing w:before="260" w:after="12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References</w:t>
      </w:r>
    </w:p>
    <w:p w14:paraId="4A6707C3" w14:textId="18E150E7" w:rsidR="00280430" w:rsidRPr="00CD4C05" w:rsidRDefault="00000000">
      <w:pPr>
        <w:spacing w:before="100" w:line="296" w:lineRule="auto"/>
        <w:rPr>
          <w:rFonts w:ascii="Times New Roman" w:hAnsi="Times New Roman" w:cs="Times New Roman"/>
          <w:color w:val="000000" w:themeColor="text1"/>
          <w:sz w:val="20"/>
          <w:szCs w:val="20"/>
        </w:rPr>
      </w:pPr>
      <w:r w:rsidRPr="00CD4C05">
        <w:rPr>
          <w:rFonts w:ascii="Times New Roman" w:hAnsi="Times New Roman" w:cs="Times New Roman"/>
          <w:color w:val="000000" w:themeColor="text1"/>
          <w:sz w:val="20"/>
          <w:szCs w:val="20"/>
        </w:rPr>
        <w:t xml:space="preserve">Section 3 references </w:t>
      </w:r>
      <w:r w:rsidR="00CD4C05">
        <w:rPr>
          <w:rFonts w:ascii="Times New Roman" w:hAnsi="Times New Roman" w:cs="Times New Roman"/>
          <w:color w:val="000000" w:themeColor="text1"/>
          <w:sz w:val="20"/>
          <w:szCs w:val="20"/>
        </w:rPr>
        <w:t>-</w:t>
      </w:r>
      <w:r w:rsidRPr="00CD4C05">
        <w:rPr>
          <w:rFonts w:ascii="Times New Roman" w:hAnsi="Times New Roman" w:cs="Times New Roman"/>
          <w:color w:val="000000" w:themeColor="text1"/>
          <w:sz w:val="20"/>
          <w:szCs w:val="20"/>
        </w:rPr>
        <w:t>to be renumbered in the final manuscript pass.</w:t>
      </w:r>
    </w:p>
    <w:p w14:paraId="6DA1AD43" w14:textId="77777777" w:rsidR="00280430" w:rsidRPr="00CD4C05" w:rsidRDefault="00280430">
      <w:pPr>
        <w:spacing w:after="60"/>
        <w:rPr>
          <w:rFonts w:ascii="Times New Roman" w:hAnsi="Times New Roman" w:cs="Times New Roman"/>
          <w:color w:val="000000" w:themeColor="text1"/>
          <w:sz w:val="20"/>
          <w:szCs w:val="20"/>
        </w:rPr>
      </w:pPr>
    </w:p>
    <w:p w14:paraId="6E80D2FB"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w:t>
      </w:r>
      <w:r w:rsidRPr="00CD4C05">
        <w:rPr>
          <w:rFonts w:ascii="Times New Roman" w:hAnsi="Times New Roman" w:cs="Times New Roman"/>
          <w:color w:val="000000" w:themeColor="text1"/>
          <w:sz w:val="20"/>
          <w:szCs w:val="20"/>
        </w:rPr>
        <w:tab/>
        <w:t xml:space="preserve">G. Hickok and D. Poeppel, "The cortical organization of speech processing," Nat. Rev. Neurosci., vol. 8, no. 5, pp. 393–402, May 2007,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10.1038/nrn2113.</w:t>
      </w:r>
    </w:p>
    <w:p w14:paraId="5F2AD9BF"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w:t>
      </w:r>
      <w:r w:rsidRPr="00CD4C05">
        <w:rPr>
          <w:rFonts w:ascii="Times New Roman" w:hAnsi="Times New Roman" w:cs="Times New Roman"/>
          <w:color w:val="000000" w:themeColor="text1"/>
          <w:sz w:val="20"/>
          <w:szCs w:val="20"/>
        </w:rPr>
        <w:tab/>
        <w:t xml:space="preserve">C. Herff et al., "Brain-to-text: Decoding spoken phrases from phonetic representations in the brain," Front. Neurosci., vol. 9, Art. no. 217, Jun. 2015,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10.3389/fnins.2015.00217.</w:t>
      </w:r>
    </w:p>
    <w:p w14:paraId="09F06A41"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[3]</w:t>
      </w:r>
      <w:r w:rsidRPr="00CD4C05">
        <w:rPr>
          <w:rFonts w:ascii="Times New Roman" w:hAnsi="Times New Roman" w:cs="Times New Roman"/>
          <w:color w:val="000000" w:themeColor="text1"/>
          <w:sz w:val="20"/>
          <w:szCs w:val="20"/>
        </w:rPr>
        <w:tab/>
        <w:t xml:space="preserve">J. Chartier, G. K. Anumanchipalli, K. Johnson, and E. F. Chang, "Encoding of articulatory kinematic trajectories in human speech sensorimotor cortex," Neuron, vol. 98, no. 5, pp. 1042–1054, Jun. 2018,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10.1016/j.neuron.2018.04.031.</w:t>
      </w:r>
    </w:p>
    <w:p w14:paraId="6728E85F"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[4]</w:t>
      </w:r>
      <w:r w:rsidRPr="00CD4C05">
        <w:rPr>
          <w:rFonts w:ascii="Times New Roman" w:hAnsi="Times New Roman" w:cs="Times New Roman"/>
          <w:color w:val="000000" w:themeColor="text1"/>
          <w:sz w:val="20"/>
          <w:szCs w:val="20"/>
        </w:rPr>
        <w:tab/>
        <w:t xml:space="preserve">G. K. Anumanchipalli, J. Chartier, and E. F. Chang, "Speech synthesis from neural decoding of spoken sentences," Nature, vol. 568, no. 7753, pp. 493–498, Apr. 2019,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10.1038/s41586-019-1119-1.</w:t>
      </w:r>
    </w:p>
    <w:p w14:paraId="27677D86"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[5]</w:t>
      </w:r>
      <w:r w:rsidRPr="00CD4C05">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Neurosci., vol. 23, no. 4, pp. 575–582, Apr. 2020,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10.1038/s41593-020-0608-8.</w:t>
      </w:r>
    </w:p>
    <w:p w14:paraId="48473E91"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[6]</w:t>
      </w:r>
      <w:r w:rsidRPr="00CD4C05">
        <w:rPr>
          <w:rFonts w:ascii="Times New Roman" w:hAnsi="Times New Roman" w:cs="Times New Roman"/>
          <w:color w:val="000000" w:themeColor="text1"/>
          <w:sz w:val="20"/>
          <w:szCs w:val="20"/>
        </w:rPr>
        <w:tab/>
        <w:t xml:space="preserve">X. Chen et al., "A neural speech decoding framework leveraging deep learning and speech synthesis," Nat. Mach. Intell., vol. 6, no. 4, pp. 467–480, Apr. 2024,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10.1038/s42256-024-00824-8.</w:t>
      </w:r>
    </w:p>
    <w:p w14:paraId="7038260D"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[7]</w:t>
      </w:r>
      <w:r w:rsidRPr="00CD4C05">
        <w:rPr>
          <w:rFonts w:ascii="Times New Roman" w:hAnsi="Times New Roman" w:cs="Times New Roman"/>
          <w:color w:val="000000" w:themeColor="text1"/>
          <w:sz w:val="20"/>
          <w:szCs w:val="20"/>
        </w:rPr>
        <w:tab/>
        <w:t xml:space="preserve">T. </w:t>
      </w:r>
      <w:proofErr w:type="spellStart"/>
      <w:r w:rsidRPr="00CD4C05">
        <w:rPr>
          <w:rFonts w:ascii="Times New Roman" w:hAnsi="Times New Roman" w:cs="Times New Roman"/>
          <w:color w:val="000000" w:themeColor="text1"/>
          <w:sz w:val="20"/>
          <w:szCs w:val="20"/>
        </w:rPr>
        <w:t>Proix</w:t>
      </w:r>
      <w:proofErr w:type="spellEnd"/>
      <w:r w:rsidRPr="00CD4C05">
        <w:rPr>
          <w:rFonts w:ascii="Times New Roman" w:hAnsi="Times New Roman" w:cs="Times New Roman"/>
          <w:color w:val="000000" w:themeColor="text1"/>
          <w:sz w:val="20"/>
          <w:szCs w:val="20"/>
        </w:rPr>
        <w:t xml:space="preserve"> et al., "Imagined speech can be decoded from low- and cross-frequency intracranial EEG features," Nat. Commun., vol. 13, Art. no. 48, Jan. 2022,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10.1038/s41467-021-27725-3.</w:t>
      </w:r>
    </w:p>
    <w:p w14:paraId="3518B7B6"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[8]</w:t>
      </w:r>
      <w:r w:rsidRPr="00CD4C05">
        <w:rPr>
          <w:rFonts w:ascii="Times New Roman" w:hAnsi="Times New Roman" w:cs="Times New Roman"/>
          <w:color w:val="000000" w:themeColor="text1"/>
          <w:sz w:val="20"/>
          <w:szCs w:val="20"/>
        </w:rPr>
        <w:tab/>
        <w:t xml:space="preserve">D. A. Moses et al., "Neuroprosthesis for decoding speech in a paralyzed person with anarthria," N. Engl. J. Med., vol. 385, no. 3, pp. 217–227, Jul. 2021,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10.1056/NEJMoa2119271.</w:t>
      </w:r>
    </w:p>
    <w:p w14:paraId="104C85AE"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[9]</w:t>
      </w:r>
      <w:r w:rsidRPr="00CD4C05">
        <w:rPr>
          <w:rFonts w:ascii="Times New Roman" w:hAnsi="Times New Roman" w:cs="Times New Roman"/>
          <w:color w:val="000000" w:themeColor="text1"/>
          <w:sz w:val="20"/>
          <w:szCs w:val="20"/>
        </w:rPr>
        <w:tab/>
        <w:t xml:space="preserve">F. R. Willett et al., "A high-performance speech neuroprosthesis," Nature, vol. 620, pp. 1031–1036, Aug. 2023,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10.1038/s41586-023-06377-x.</w:t>
      </w:r>
    </w:p>
    <w:p w14:paraId="62B11F67"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[10]</w:t>
      </w:r>
      <w:r w:rsidRPr="00CD4C05">
        <w:rPr>
          <w:rFonts w:ascii="Times New Roman" w:hAnsi="Times New Roman" w:cs="Times New Roman"/>
          <w:color w:val="000000" w:themeColor="text1"/>
          <w:sz w:val="20"/>
          <w:szCs w:val="20"/>
        </w:rPr>
        <w:tab/>
        <w:t xml:space="preserve">S. L. Metzger et al., "A high-performance neuroprosthesis for speech decoding and avatar control," Nature, vol. 620, pp. 1037–1046, Aug. 2023,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10.1038/s41586-023-06443-4.</w:t>
      </w:r>
    </w:p>
    <w:p w14:paraId="400E9F4A"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[11]</w:t>
      </w:r>
      <w:r w:rsidRPr="00CD4C05">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10.1056/NEJMoa2314132.</w:t>
      </w:r>
    </w:p>
    <w:p w14:paraId="0C01B0CE"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[12]</w:t>
      </w:r>
      <w:r w:rsidRPr="00CD4C05">
        <w:rPr>
          <w:rFonts w:ascii="Times New Roman" w:hAnsi="Times New Roman" w:cs="Times New Roman"/>
          <w:color w:val="000000" w:themeColor="text1"/>
          <w:sz w:val="20"/>
          <w:szCs w:val="20"/>
        </w:rPr>
        <w:tab/>
        <w:t xml:space="preserve">A. D. Degenhart et al., "Stabilization of a brain–computer interface via the alignment of low-dimensional spaces of neural activity," Nat. Biomed. Eng., vol. 4, no. 12, pp. 1200–1213, Dec. 2020,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10.1038/s41551-020-0542-9.</w:t>
      </w:r>
    </w:p>
    <w:p w14:paraId="37E876EC"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lastRenderedPageBreak/>
        <w:t>[13]</w:t>
      </w:r>
      <w:r w:rsidRPr="00CD4C05">
        <w:rPr>
          <w:rFonts w:ascii="Times New Roman" w:hAnsi="Times New Roman" w:cs="Times New Roman"/>
          <w:color w:val="000000" w:themeColor="text1"/>
          <w:sz w:val="20"/>
          <w:szCs w:val="20"/>
        </w:rPr>
        <w:tab/>
        <w:t xml:space="preserve">M. Angrick et al., "Real-time synthesis of imagined speech processes from minimally invasive recordings of neural activity," Commun. Biol., vol. 4, Art. no. 1055, Sep. 2021,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10.1038/s42003-021-02578-0.</w:t>
      </w:r>
    </w:p>
    <w:p w14:paraId="6C271C64"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[14]</w:t>
      </w:r>
      <w:r w:rsidRPr="00CD4C05">
        <w:rPr>
          <w:rFonts w:ascii="Times New Roman" w:hAnsi="Times New Roman" w:cs="Times New Roman"/>
          <w:color w:val="000000" w:themeColor="text1"/>
          <w:sz w:val="20"/>
          <w:szCs w:val="20"/>
        </w:rPr>
        <w:tab/>
        <w:t xml:space="preserve">A. Singh et al., "Transfer learning via distributed brain recordings enables reliable speech decoding," Nat. Commun., vol. 16, Art. no. 8749, Sep. 2025,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10.1038/s41467-025-63825-0.</w:t>
      </w:r>
    </w:p>
    <w:p w14:paraId="33790E4E"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[15]</w:t>
      </w:r>
      <w:r w:rsidRPr="00CD4C05">
        <w:rPr>
          <w:rFonts w:ascii="Times New Roman" w:hAnsi="Times New Roman" w:cs="Times New Roman"/>
          <w:color w:val="000000" w:themeColor="text1"/>
          <w:sz w:val="20"/>
          <w:szCs w:val="20"/>
        </w:rPr>
        <w:tab/>
        <w:t>P. Saha, M. Abdul-</w:t>
      </w:r>
      <w:proofErr w:type="spellStart"/>
      <w:r w:rsidRPr="00CD4C05">
        <w:rPr>
          <w:rFonts w:ascii="Times New Roman" w:hAnsi="Times New Roman" w:cs="Times New Roman"/>
          <w:color w:val="000000" w:themeColor="text1"/>
          <w:sz w:val="20"/>
          <w:szCs w:val="20"/>
        </w:rPr>
        <w:t>Mageed</w:t>
      </w:r>
      <w:proofErr w:type="spellEnd"/>
      <w:r w:rsidRPr="00CD4C05">
        <w:rPr>
          <w:rFonts w:ascii="Times New Roman" w:hAnsi="Times New Roman" w:cs="Times New Roman"/>
          <w:color w:val="000000" w:themeColor="text1"/>
          <w:sz w:val="20"/>
          <w:szCs w:val="20"/>
        </w:rPr>
        <w:t xml:space="preserve">, and S. Fels, "Speak your mind! Towards imagined speech recognition with hierarchical deep learning," in Proc. Interspeech, 2019,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10.21437/Interspeech.2019-3041.</w:t>
      </w:r>
    </w:p>
    <w:p w14:paraId="4626A86B"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[16]</w:t>
      </w:r>
      <w:r w:rsidRPr="00CD4C05">
        <w:rPr>
          <w:rFonts w:ascii="Times New Roman" w:hAnsi="Times New Roman" w:cs="Times New Roman"/>
          <w:color w:val="000000" w:themeColor="text1"/>
          <w:sz w:val="20"/>
          <w:szCs w:val="20"/>
        </w:rPr>
        <w:tab/>
        <w:t>M. Agarwal and R. Kumar, "EEG-based imagined speech recognition using deep long short-term memory network," ETRI J., vol. 44, no. 3, pp. 426–436, Jun. 2022.</w:t>
      </w:r>
    </w:p>
    <w:p w14:paraId="5417E1CB"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[17]</w:t>
      </w:r>
      <w:r w:rsidRPr="00CD4C05">
        <w:rPr>
          <w:rFonts w:ascii="Times New Roman" w:hAnsi="Times New Roman" w:cs="Times New Roman"/>
          <w:color w:val="000000" w:themeColor="text1"/>
          <w:sz w:val="20"/>
          <w:szCs w:val="20"/>
        </w:rPr>
        <w:tab/>
        <w:t xml:space="preserve">Z. Wang and M. Ji, "Open vocabulary EEG-to-text decoding and zero-shot sentiment classification," in Proc. AAAI Conf. </w:t>
      </w:r>
      <w:proofErr w:type="spellStart"/>
      <w:r w:rsidRPr="00CD4C05">
        <w:rPr>
          <w:rFonts w:ascii="Times New Roman" w:hAnsi="Times New Roman" w:cs="Times New Roman"/>
          <w:color w:val="000000" w:themeColor="text1"/>
          <w:sz w:val="20"/>
          <w:szCs w:val="20"/>
        </w:rPr>
        <w:t>Artif</w:t>
      </w:r>
      <w:proofErr w:type="spellEnd"/>
      <w:r w:rsidRPr="00CD4C05">
        <w:rPr>
          <w:rFonts w:ascii="Times New Roman" w:hAnsi="Times New Roman" w:cs="Times New Roman"/>
          <w:color w:val="000000" w:themeColor="text1"/>
          <w:sz w:val="20"/>
          <w:szCs w:val="20"/>
        </w:rPr>
        <w:t>. Intell., 2022.</w:t>
      </w:r>
    </w:p>
    <w:p w14:paraId="333E092E"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[18]</w:t>
      </w:r>
      <w:r w:rsidRPr="00CD4C05">
        <w:rPr>
          <w:rFonts w:ascii="Times New Roman" w:hAnsi="Times New Roman" w:cs="Times New Roman"/>
          <w:color w:val="000000" w:themeColor="text1"/>
          <w:sz w:val="20"/>
          <w:szCs w:val="20"/>
        </w:rPr>
        <w:tab/>
        <w:t>Z. Duan et al., "DeWave: Discrete EEG waves encoding for brain dynamics to text translation," in Proc. NeurIPS, 2023.</w:t>
      </w:r>
    </w:p>
    <w:p w14:paraId="6DF2FAC8"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[19]</w:t>
      </w:r>
      <w:r w:rsidRPr="00CD4C05">
        <w:rPr>
          <w:rFonts w:ascii="Times New Roman" w:hAnsi="Times New Roman" w:cs="Times New Roman"/>
          <w:color w:val="000000" w:themeColor="text1"/>
          <w:sz w:val="20"/>
          <w:szCs w:val="20"/>
        </w:rPr>
        <w:tab/>
        <w:t xml:space="preserve">A. Défossez et al., "Decoding speech perception from non-invasive brain recordings," Nat. Mach. Intell., vol. 5, no. 10, pp. 1097–1107, Oct. 2023,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10.1038/s42256-023-00714-5.</w:t>
      </w:r>
    </w:p>
    <w:p w14:paraId="1D8BB907"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[20]</w:t>
      </w:r>
      <w:r w:rsidRPr="00CD4C05">
        <w:rPr>
          <w:rFonts w:ascii="Times New Roman" w:hAnsi="Times New Roman" w:cs="Times New Roman"/>
          <w:color w:val="000000" w:themeColor="text1"/>
          <w:sz w:val="20"/>
          <w:szCs w:val="20"/>
        </w:rPr>
        <w:tab/>
        <w:t>S. d'Ascoli et al., "Towards decoding individual words from non-invasive brain recordings," Nat. Commun., 2025. [Verify DOI].</w:t>
      </w:r>
    </w:p>
    <w:p w14:paraId="14460A74"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[21]</w:t>
      </w:r>
      <w:r w:rsidRPr="00CD4C05">
        <w:rPr>
          <w:rFonts w:ascii="Times New Roman" w:hAnsi="Times New Roman" w:cs="Times New Roman"/>
          <w:color w:val="000000" w:themeColor="text1"/>
          <w:sz w:val="20"/>
          <w:szCs w:val="20"/>
        </w:rPr>
        <w:tab/>
        <w:t>J. Kwon et al., "Direct speech synthesis from non-invasive, neuromagnetic signals," in Proc. Interspeech, 2024.</w:t>
      </w:r>
    </w:p>
    <w:p w14:paraId="5E0BAD80"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[22]</w:t>
      </w:r>
      <w:r w:rsidRPr="00CD4C05">
        <w:rPr>
          <w:rFonts w:ascii="Times New Roman" w:hAnsi="Times New Roman" w:cs="Times New Roman"/>
          <w:color w:val="000000" w:themeColor="text1"/>
          <w:sz w:val="20"/>
          <w:szCs w:val="20"/>
        </w:rPr>
        <w:tab/>
        <w:t xml:space="preserve">D. Poeppel and M. F. </w:t>
      </w:r>
      <w:proofErr w:type="spellStart"/>
      <w:r w:rsidRPr="00CD4C05">
        <w:rPr>
          <w:rFonts w:ascii="Times New Roman" w:hAnsi="Times New Roman" w:cs="Times New Roman"/>
          <w:color w:val="000000" w:themeColor="text1"/>
          <w:sz w:val="20"/>
          <w:szCs w:val="20"/>
        </w:rPr>
        <w:t>Assaneo</w:t>
      </w:r>
      <w:proofErr w:type="spellEnd"/>
      <w:r w:rsidRPr="00CD4C05">
        <w:rPr>
          <w:rFonts w:ascii="Times New Roman" w:hAnsi="Times New Roman" w:cs="Times New Roman"/>
          <w:color w:val="000000" w:themeColor="text1"/>
          <w:sz w:val="20"/>
          <w:szCs w:val="20"/>
        </w:rPr>
        <w:t xml:space="preserve">, "Speech rhythms and their neural foundations," Nat. Rev. Neurosci., vol. 21, no. 6, pp. 322–334, Jun. 2020,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10.1038/s41583-020-0304-4.</w:t>
      </w:r>
    </w:p>
    <w:p w14:paraId="010BEB89"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[23]</w:t>
      </w:r>
      <w:r w:rsidRPr="00CD4C05">
        <w:rPr>
          <w:rFonts w:ascii="Times New Roman" w:hAnsi="Times New Roman" w:cs="Times New Roman"/>
          <w:color w:val="000000" w:themeColor="text1"/>
          <w:sz w:val="20"/>
          <w:szCs w:val="20"/>
        </w:rPr>
        <w:tab/>
        <w:t xml:space="preserve">J. Tang, A. </w:t>
      </w:r>
      <w:proofErr w:type="spellStart"/>
      <w:r w:rsidRPr="00CD4C05">
        <w:rPr>
          <w:rFonts w:ascii="Times New Roman" w:hAnsi="Times New Roman" w:cs="Times New Roman"/>
          <w:color w:val="000000" w:themeColor="text1"/>
          <w:sz w:val="20"/>
          <w:szCs w:val="20"/>
        </w:rPr>
        <w:t>LeBel</w:t>
      </w:r>
      <w:proofErr w:type="spellEnd"/>
      <w:r w:rsidRPr="00CD4C05">
        <w:rPr>
          <w:rFonts w:ascii="Times New Roman" w:hAnsi="Times New Roman" w:cs="Times New Roman"/>
          <w:color w:val="000000" w:themeColor="text1"/>
          <w:sz w:val="20"/>
          <w:szCs w:val="20"/>
        </w:rPr>
        <w:t xml:space="preserve">, S. Jain, and A. G. Huth, "Semantic reconstruction of continuous language from non-invasive brain recordings," Nat. Neurosci., vol. 26, no. 5, pp. 858–866, May 2023,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10.1038/s41593-023-01304-9.</w:t>
      </w:r>
    </w:p>
    <w:p w14:paraId="415786B0"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[24]</w:t>
      </w:r>
      <w:r w:rsidRPr="00CD4C05">
        <w:rPr>
          <w:rFonts w:ascii="Times New Roman" w:hAnsi="Times New Roman" w:cs="Times New Roman"/>
          <w:color w:val="000000" w:themeColor="text1"/>
          <w:sz w:val="20"/>
          <w:szCs w:val="20"/>
        </w:rPr>
        <w:tab/>
        <w:t>J. Tang and A. G. Huth, "Semantic language decoding across participants and stimulus modalities," Curr. Biol., 2025.</w:t>
      </w:r>
    </w:p>
    <w:p w14:paraId="55D6F650"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[25]</w:t>
      </w:r>
      <w:r w:rsidRPr="00CD4C05">
        <w:rPr>
          <w:rFonts w:ascii="Times New Roman" w:hAnsi="Times New Roman" w:cs="Times New Roman"/>
          <w:color w:val="000000" w:themeColor="text1"/>
          <w:sz w:val="20"/>
          <w:szCs w:val="20"/>
        </w:rPr>
        <w:tab/>
        <w:t xml:space="preserve">C. Cooney et al., "A bimodal deep learning architecture for EEG-fNIRS decoding of overt and imagined speech," IEEE Trans. Biomed. Eng., vol. 69, no. 6, pp. 1983–1994, Jun. 2022,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10.1109/TBME.2021.3132861.</w:t>
      </w:r>
    </w:p>
    <w:p w14:paraId="32B44157"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[26]</w:t>
      </w:r>
      <w:r w:rsidRPr="00CD4C05">
        <w:rPr>
          <w:rFonts w:ascii="Times New Roman" w:hAnsi="Times New Roman" w:cs="Times New Roman"/>
          <w:color w:val="000000" w:themeColor="text1"/>
          <w:sz w:val="20"/>
          <w:szCs w:val="20"/>
        </w:rPr>
        <w:tab/>
        <w:t xml:space="preserve">T. Hons et al., "Hybrid EEG-fNIRS phoneme classification based on imagined and perceived speech," Front. </w:t>
      </w:r>
      <w:proofErr w:type="spellStart"/>
      <w:r w:rsidRPr="00CD4C05">
        <w:rPr>
          <w:rFonts w:ascii="Times New Roman" w:hAnsi="Times New Roman" w:cs="Times New Roman"/>
          <w:color w:val="000000" w:themeColor="text1"/>
          <w:sz w:val="20"/>
          <w:szCs w:val="20"/>
        </w:rPr>
        <w:t>Neuroergon</w:t>
      </w:r>
      <w:proofErr w:type="spellEnd"/>
      <w:r w:rsidRPr="00CD4C05">
        <w:rPr>
          <w:rFonts w:ascii="Times New Roman" w:hAnsi="Times New Roman" w:cs="Times New Roman"/>
          <w:color w:val="000000" w:themeColor="text1"/>
          <w:sz w:val="20"/>
          <w:szCs w:val="20"/>
        </w:rPr>
        <w:t xml:space="preserve">., vol. 6, Art. no. 1696865, 2026,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10.3389/fnrgo.2026.1696865.</w:t>
      </w:r>
    </w:p>
    <w:p w14:paraId="483B7E1F"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[27]</w:t>
      </w:r>
      <w:r w:rsidRPr="00CD4C05">
        <w:rPr>
          <w:rFonts w:ascii="Times New Roman" w:hAnsi="Times New Roman" w:cs="Times New Roman"/>
          <w:color w:val="000000" w:themeColor="text1"/>
          <w:sz w:val="20"/>
          <w:szCs w:val="20"/>
        </w:rPr>
        <w:tab/>
        <w:t xml:space="preserve">Y. Song et al., "Decoding silent speech based on high-density surface EMG using spatiotemporal neural network," IEEE Trans. Neural Syst. </w:t>
      </w:r>
      <w:proofErr w:type="spellStart"/>
      <w:r w:rsidRPr="00CD4C05">
        <w:rPr>
          <w:rFonts w:ascii="Times New Roman" w:hAnsi="Times New Roman" w:cs="Times New Roman"/>
          <w:color w:val="000000" w:themeColor="text1"/>
          <w:sz w:val="20"/>
          <w:szCs w:val="20"/>
        </w:rPr>
        <w:t>Rehabil</w:t>
      </w:r>
      <w:proofErr w:type="spellEnd"/>
      <w:r w:rsidRPr="00CD4C05">
        <w:rPr>
          <w:rFonts w:ascii="Times New Roman" w:hAnsi="Times New Roman" w:cs="Times New Roman"/>
          <w:color w:val="000000" w:themeColor="text1"/>
          <w:sz w:val="20"/>
          <w:szCs w:val="20"/>
        </w:rPr>
        <w:t>. Eng., vol. 31, pp. 1768–1778, Mar. 2023.</w:t>
      </w:r>
    </w:p>
    <w:p w14:paraId="2D624B19" w14:textId="77777777" w:rsidR="00280430" w:rsidRPr="00CD4C05" w:rsidRDefault="00000000">
      <w:pPr>
        <w:spacing w:after="80" w:line="296" w:lineRule="auto"/>
        <w:ind w:left="480" w:hanging="480"/>
        <w:rPr>
          <w:rFonts w:ascii="Times New Roman" w:hAnsi="Times New Roman" w:cs="Times New Roman"/>
          <w:color w:val="000000" w:themeColor="text1"/>
          <w:sz w:val="20"/>
          <w:szCs w:val="20"/>
        </w:rPr>
      </w:pPr>
      <w:r w:rsidRPr="00CD4C05">
        <w:rPr>
          <w:rFonts w:ascii="Times New Roman" w:hAnsi="Times New Roman" w:cs="Times New Roman"/>
          <w:b/>
          <w:bCs/>
          <w:color w:val="000000" w:themeColor="text1"/>
          <w:sz w:val="20"/>
          <w:szCs w:val="20"/>
        </w:rPr>
        <w:t>[28]</w:t>
      </w:r>
      <w:r w:rsidRPr="00CD4C05">
        <w:rPr>
          <w:rFonts w:ascii="Times New Roman" w:hAnsi="Times New Roman" w:cs="Times New Roman"/>
          <w:color w:val="000000" w:themeColor="text1"/>
          <w:sz w:val="20"/>
          <w:szCs w:val="20"/>
        </w:rPr>
        <w:tab/>
        <w:t xml:space="preserve">S. Duraivel et al., "High-resolution neural recordings improve the accuracy of speech decoding," Nat. Commun., vol. 14, Art. no. 6938, Nov. 2023, </w:t>
      </w:r>
      <w:proofErr w:type="spellStart"/>
      <w:r w:rsidRPr="00CD4C05">
        <w:rPr>
          <w:rFonts w:ascii="Times New Roman" w:hAnsi="Times New Roman" w:cs="Times New Roman"/>
          <w:color w:val="000000" w:themeColor="text1"/>
          <w:sz w:val="20"/>
          <w:szCs w:val="20"/>
        </w:rPr>
        <w:t>doi</w:t>
      </w:r>
      <w:proofErr w:type="spellEnd"/>
      <w:r w:rsidRPr="00CD4C05">
        <w:rPr>
          <w:rFonts w:ascii="Times New Roman" w:hAnsi="Times New Roman" w:cs="Times New Roman"/>
          <w:color w:val="000000" w:themeColor="text1"/>
          <w:sz w:val="20"/>
          <w:szCs w:val="20"/>
        </w:rPr>
        <w:t>: 10.1038/s41467-023-42555-1.</w:t>
      </w:r>
    </w:p>
    <w:sectPr w:rsidR="00280430" w:rsidRPr="00CD4C0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DACB0" w14:textId="77777777" w:rsidR="001D4711" w:rsidRDefault="001D4711">
      <w:r>
        <w:separator/>
      </w:r>
    </w:p>
  </w:endnote>
  <w:endnote w:type="continuationSeparator" w:id="0">
    <w:p w14:paraId="17F86B1E" w14:textId="77777777" w:rsidR="001D4711" w:rsidRDefault="001D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909B" w14:textId="77777777" w:rsidR="00280430"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53FC" w14:textId="77777777" w:rsidR="001D4711" w:rsidRDefault="001D4711">
      <w:r>
        <w:separator/>
      </w:r>
    </w:p>
  </w:footnote>
  <w:footnote w:type="continuationSeparator" w:id="0">
    <w:p w14:paraId="0DB26CA8" w14:textId="77777777" w:rsidR="001D4711" w:rsidRDefault="001D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20FF" w14:textId="77777777" w:rsidR="00280430"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01F9"/>
    <w:multiLevelType w:val="hybridMultilevel"/>
    <w:tmpl w:val="BEDA4C72"/>
    <w:lvl w:ilvl="0" w:tplc="2E524AE0">
      <w:start w:val="1"/>
      <w:numFmt w:val="bullet"/>
      <w:lvlText w:val="●"/>
      <w:lvlJc w:val="left"/>
      <w:pPr>
        <w:ind w:left="720" w:hanging="360"/>
      </w:pPr>
    </w:lvl>
    <w:lvl w:ilvl="1" w:tplc="E864FADA">
      <w:start w:val="1"/>
      <w:numFmt w:val="bullet"/>
      <w:lvlText w:val="○"/>
      <w:lvlJc w:val="left"/>
      <w:pPr>
        <w:ind w:left="1440" w:hanging="360"/>
      </w:pPr>
    </w:lvl>
    <w:lvl w:ilvl="2" w:tplc="1F5C6A82">
      <w:start w:val="1"/>
      <w:numFmt w:val="bullet"/>
      <w:lvlText w:val="■"/>
      <w:lvlJc w:val="left"/>
      <w:pPr>
        <w:ind w:left="2160" w:hanging="360"/>
      </w:pPr>
    </w:lvl>
    <w:lvl w:ilvl="3" w:tplc="596A8962">
      <w:start w:val="1"/>
      <w:numFmt w:val="bullet"/>
      <w:lvlText w:val="●"/>
      <w:lvlJc w:val="left"/>
      <w:pPr>
        <w:ind w:left="2880" w:hanging="360"/>
      </w:pPr>
    </w:lvl>
    <w:lvl w:ilvl="4" w:tplc="DB7A8856">
      <w:start w:val="1"/>
      <w:numFmt w:val="bullet"/>
      <w:lvlText w:val="○"/>
      <w:lvlJc w:val="left"/>
      <w:pPr>
        <w:ind w:left="3600" w:hanging="360"/>
      </w:pPr>
    </w:lvl>
    <w:lvl w:ilvl="5" w:tplc="D480D4A0">
      <w:start w:val="1"/>
      <w:numFmt w:val="bullet"/>
      <w:lvlText w:val="■"/>
      <w:lvlJc w:val="left"/>
      <w:pPr>
        <w:ind w:left="4320" w:hanging="360"/>
      </w:pPr>
    </w:lvl>
    <w:lvl w:ilvl="6" w:tplc="7C3C689C">
      <w:start w:val="1"/>
      <w:numFmt w:val="bullet"/>
      <w:lvlText w:val="●"/>
      <w:lvlJc w:val="left"/>
      <w:pPr>
        <w:ind w:left="5040" w:hanging="360"/>
      </w:pPr>
    </w:lvl>
    <w:lvl w:ilvl="7" w:tplc="BAB07568">
      <w:start w:val="1"/>
      <w:numFmt w:val="bullet"/>
      <w:lvlText w:val="●"/>
      <w:lvlJc w:val="left"/>
      <w:pPr>
        <w:ind w:left="5760" w:hanging="360"/>
      </w:pPr>
    </w:lvl>
    <w:lvl w:ilvl="8" w:tplc="AFA6081A">
      <w:start w:val="1"/>
      <w:numFmt w:val="bullet"/>
      <w:lvlText w:val="●"/>
      <w:lvlJc w:val="left"/>
      <w:pPr>
        <w:ind w:left="6480" w:hanging="360"/>
      </w:pPr>
    </w:lvl>
  </w:abstractNum>
  <w:num w:numId="1" w16cid:durableId="1715692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430"/>
    <w:rsid w:val="001D4711"/>
    <w:rsid w:val="00280430"/>
    <w:rsid w:val="007842BD"/>
    <w:rsid w:val="00CD4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0D3B09"/>
  <w15:docId w15:val="{0235A003-9ABB-2743-8362-F7E6DBCD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6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1934</Words>
  <Characters>11029</Characters>
  <Application>Microsoft Office Word</Application>
  <DocSecurity>0</DocSecurity>
  <Lines>91</Lines>
  <Paragraphs>25</Paragraphs>
  <ScaleCrop>false</ScaleCrop>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2026-05-01T14:55:00Z</dcterms:created>
  <dcterms:modified xsi:type="dcterms:W3CDTF">2026-05-12T21:34:00Z</dcterms:modified>
</cp:coreProperties>
</file>