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569E" w14:textId="77777777" w:rsidR="00287410" w:rsidRPr="0046206F" w:rsidRDefault="00000000">
      <w:pPr>
        <w:pStyle w:val="Heading1"/>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 AI Architectures and Methods</w:t>
      </w:r>
    </w:p>
    <w:p w14:paraId="443317D9"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The AI decoder is the engine of every brain-to-speech system. Its architecture determines not only the performance ceiling but also the data requirements, the computational cost, and the degree of generalization achievable across participants and sessions. This section traces the eight architecture classes identified across the 71 included studies, from classical statistical models through to large language model-integrated pipelines, situating each in the mathematical framework that defines its inductive bias. The evolution is summarized in Table 3 and Fig. 2.</w:t>
      </w:r>
    </w:p>
    <w:p w14:paraId="7726AE47"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 xml:space="preserve">►  FIGURE NOTE: </w:t>
      </w:r>
      <w:r w:rsidRPr="0046206F">
        <w:rPr>
          <w:rFonts w:ascii="Times New Roman" w:hAnsi="Times New Roman" w:cs="Times New Roman"/>
          <w:color w:val="000000" w:themeColor="text1"/>
          <w:sz w:val="20"/>
          <w:szCs w:val="20"/>
        </w:rPr>
        <w:t>Fig. 2 (Architecture Evolution Timeline): Create a horizontal timeline 2015–2026 marking the first prominent use of each architecture class in brain-to-speech decoding. Label transitions: HMM/SVM era → CNN era → LSTM era → Encoder-Decoder → Transformer → SSL → LLM-integrated. Annotate with landmark papers at each transition point as described in this section.</w:t>
      </w:r>
    </w:p>
    <w:p w14:paraId="21F8E0D1"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4.1  Traditional Machine Learning (2015–2018)</w:t>
      </w:r>
    </w:p>
    <w:p w14:paraId="63D5718A"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Prior to the deep learning transition, brain-to-speech decoders relied on handcrafted spectrotemporal features — high-gamma band power, mel-frequency cepstral coefficients, phase-amplitude coupling measures — fed into support vector machines (SVM), linear discriminant analysis (LDA), or hidden Markov models (HMM). These approaches required domain expertise to engineer informative features, and their representational capacity was bounded by the quality of those features. The word error rate (WER) is defined as:</w:t>
      </w:r>
    </w:p>
    <w:p w14:paraId="0E719D24"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r w:rsidRPr="0046206F">
        <w:rPr>
          <w:rFonts w:ascii="Times New Roman" w:eastAsia="Cambria Math" w:hAnsi="Times New Roman" w:cs="Times New Roman"/>
          <w:color w:val="000000" w:themeColor="text1"/>
          <w:sz w:val="20"/>
          <w:szCs w:val="20"/>
        </w:rPr>
        <w:t>WER = (S + D + I) / N</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(1)</w:t>
      </w:r>
    </w:p>
    <w:p w14:paraId="37A63808"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where S, D, and I denote substitution, deletion, and insertion errors respectively, and N is the total number of reference words. The Brain-to-Text system of Herff and colleagues achieved WER ≈ 25% using HMM-based acoustic models on ECoG signals </w:t>
      </w:r>
      <w:r w:rsidRPr="0046206F">
        <w:rPr>
          <w:rFonts w:ascii="Times New Roman" w:hAnsi="Times New Roman" w:cs="Times New Roman"/>
          <w:color w:val="000000" w:themeColor="text1"/>
          <w:sz w:val="20"/>
          <w:szCs w:val="20"/>
          <w:vertAlign w:val="superscript"/>
        </w:rPr>
        <w:t>[1]</w:t>
      </w:r>
      <w:r w:rsidRPr="0046206F">
        <w:rPr>
          <w:rFonts w:ascii="Times New Roman" w:hAnsi="Times New Roman" w:cs="Times New Roman"/>
          <w:color w:val="000000" w:themeColor="text1"/>
          <w:sz w:val="20"/>
          <w:szCs w:val="20"/>
        </w:rPr>
        <w:t>, establishing the benchmark against which subsequent deep learning architectures would be measured. Traditional ML studies account for approximately 8 of the 71 included studies and remain relevant as baseline comparators.</w:t>
      </w:r>
    </w:p>
    <w:p w14:paraId="7EC06F75"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4.2  Convolutional Neural Networks (2017–2022)</w:t>
      </w:r>
    </w:p>
    <w:p w14:paraId="3780D291"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CNNs brought automatic spatial and spectrotemporal feature learning, replacing manual engineering with hierarchical convolutional filters. In the brain-to-speech context, a 1-D temporal CNN applies learned filter banks h </w:t>
      </w:r>
      <w:r w:rsidRPr="0046206F">
        <w:rPr>
          <w:rFonts w:ascii="Cambria Math" w:hAnsi="Cambria Math" w:cs="Cambria Math"/>
          <w:color w:val="000000" w:themeColor="text1"/>
          <w:sz w:val="20"/>
          <w:szCs w:val="20"/>
        </w:rPr>
        <w:t>∈</w:t>
      </w:r>
      <w:r w:rsidRPr="0046206F">
        <w:rPr>
          <w:rFonts w:ascii="Times New Roman" w:hAnsi="Times New Roman" w:cs="Times New Roman"/>
          <w:color w:val="000000" w:themeColor="text1"/>
          <w:sz w:val="20"/>
          <w:szCs w:val="20"/>
        </w:rPr>
        <w:t xml:space="preserve"> ℝF×L across the input signal x(t), producing feature maps via:</w:t>
      </w:r>
    </w:p>
    <w:p w14:paraId="641AD047"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r w:rsidRPr="0046206F">
        <w:rPr>
          <w:rFonts w:ascii="Times New Roman" w:eastAsia="Cambria Math" w:hAnsi="Times New Roman" w:cs="Times New Roman"/>
          <w:color w:val="000000" w:themeColor="text1"/>
          <w:sz w:val="20"/>
          <w:szCs w:val="20"/>
        </w:rPr>
        <w:t xml:space="preserve">y[t] = σ(W * x[t] + b),   W </w:t>
      </w:r>
      <w:r w:rsidRPr="0046206F">
        <w:rPr>
          <w:rFonts w:ascii="Cambria Math" w:eastAsia="Cambria Math" w:hAnsi="Cambria Math" w:cs="Cambria Math"/>
          <w:color w:val="000000" w:themeColor="text1"/>
          <w:sz w:val="20"/>
          <w:szCs w:val="20"/>
        </w:rPr>
        <w:t>∈</w:t>
      </w:r>
      <w:r w:rsidRPr="0046206F">
        <w:rPr>
          <w:rFonts w:ascii="Times New Roman" w:eastAsia="Cambria Math" w:hAnsi="Times New Roman" w:cs="Times New Roman"/>
          <w:color w:val="000000" w:themeColor="text1"/>
          <w:sz w:val="20"/>
          <w:szCs w:val="20"/>
        </w:rPr>
        <w:t xml:space="preserve"> ℝ^(F×L)</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(2)</w:t>
      </w:r>
    </w:p>
    <w:p w14:paraId="73B51832"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where * denotes convolution, σ is a nonlinear activation, F is the number of filters, and L is the filter length. The DenseNet-style 3-D CNN of Angrick and colleagues mapped ECoG spectrograms to acoustic parameters </w:t>
      </w:r>
      <w:r w:rsidRPr="0046206F">
        <w:rPr>
          <w:rFonts w:ascii="Times New Roman" w:hAnsi="Times New Roman" w:cs="Times New Roman"/>
          <w:color w:val="000000" w:themeColor="text1"/>
          <w:sz w:val="20"/>
          <w:szCs w:val="20"/>
          <w:vertAlign w:val="superscript"/>
        </w:rPr>
        <w:t>[2]</w:t>
      </w:r>
      <w:r w:rsidRPr="0046206F">
        <w:rPr>
          <w:rFonts w:ascii="Times New Roman" w:hAnsi="Times New Roman" w:cs="Times New Roman"/>
          <w:color w:val="000000" w:themeColor="text1"/>
          <w:sz w:val="20"/>
          <w:szCs w:val="20"/>
        </w:rPr>
        <w:t xml:space="preserve">, whilst Chen and colleagues' ResNet-based cross-subject decoder scaled to 48 participants achieving PCC = 0.804 </w:t>
      </w:r>
      <w:r w:rsidRPr="0046206F">
        <w:rPr>
          <w:rFonts w:ascii="Times New Roman" w:hAnsi="Times New Roman" w:cs="Times New Roman"/>
          <w:color w:val="000000" w:themeColor="text1"/>
          <w:sz w:val="20"/>
          <w:szCs w:val="20"/>
          <w:vertAlign w:val="superscript"/>
        </w:rPr>
        <w:t>[3]</w:t>
      </w:r>
      <w:r w:rsidRPr="0046206F">
        <w:rPr>
          <w:rFonts w:ascii="Times New Roman" w:hAnsi="Times New Roman" w:cs="Times New Roman"/>
          <w:color w:val="000000" w:themeColor="text1"/>
          <w:sz w:val="20"/>
          <w:szCs w:val="20"/>
        </w:rPr>
        <w:t xml:space="preserve">. EEGNet </w:t>
      </w:r>
      <w:r w:rsidRPr="0046206F">
        <w:rPr>
          <w:rFonts w:ascii="Times New Roman" w:hAnsi="Times New Roman" w:cs="Times New Roman"/>
          <w:color w:val="000000" w:themeColor="text1"/>
          <w:sz w:val="20"/>
          <w:szCs w:val="20"/>
          <w:vertAlign w:val="superscript"/>
        </w:rPr>
        <w:t>[4]</w:t>
      </w:r>
      <w:r w:rsidRPr="0046206F">
        <w:rPr>
          <w:rFonts w:ascii="Times New Roman" w:hAnsi="Times New Roman" w:cs="Times New Roman"/>
          <w:color w:val="000000" w:themeColor="text1"/>
          <w:sz w:val="20"/>
          <w:szCs w:val="20"/>
        </w:rPr>
        <w:t xml:space="preserve"> established a compact separable-CNN baseline architecture widely adopted across EEG classification tasks. CNNs account for approximately 13 of the 71 included studies.</w:t>
      </w:r>
    </w:p>
    <w:p w14:paraId="056E1F4B"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lastRenderedPageBreak/>
        <w:t xml:space="preserve">►  FIGURE NOTE: </w:t>
      </w:r>
      <w:r w:rsidRPr="0046206F">
        <w:rPr>
          <w:rFonts w:ascii="Times New Roman" w:hAnsi="Times New Roman" w:cs="Times New Roman"/>
          <w:color w:val="000000" w:themeColor="text1"/>
          <w:sz w:val="20"/>
          <w:szCs w:val="20"/>
        </w:rPr>
        <w:t>Fig. 4.1: Use Fig. 1 from Angrick et al. 2019 (J. Neural Eng.) or Fig. 2 from Chen et al. 2024 (Nat. Mach. Intell.) showing the 3D CNN / ResNet ECoG-to-audio pipeline. Request reproduction permission from respective journal.</w:t>
      </w:r>
    </w:p>
    <w:p w14:paraId="6CB32DBA"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4.3  Recurrent Networks and LSTM (2018–2023)</w:t>
      </w:r>
    </w:p>
    <w:p w14:paraId="30EE1C3A"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Recurrent architectures address the sequential temporal structure of speech through gated memory cells. The LSTM unit </w:t>
      </w:r>
      <w:r w:rsidRPr="0046206F">
        <w:rPr>
          <w:rFonts w:ascii="Times New Roman" w:hAnsi="Times New Roman" w:cs="Times New Roman"/>
          <w:color w:val="000000" w:themeColor="text1"/>
          <w:sz w:val="20"/>
          <w:szCs w:val="20"/>
          <w:vertAlign w:val="superscript"/>
        </w:rPr>
        <w:t>[5]</w:t>
      </w:r>
      <w:r w:rsidRPr="0046206F">
        <w:rPr>
          <w:rFonts w:ascii="Times New Roman" w:hAnsi="Times New Roman" w:cs="Times New Roman"/>
          <w:color w:val="000000" w:themeColor="text1"/>
          <w:sz w:val="20"/>
          <w:szCs w:val="20"/>
        </w:rPr>
        <w:t xml:space="preserve"> maintains a cell state c</w:t>
      </w:r>
      <w:r w:rsidRPr="0046206F">
        <w:rPr>
          <w:rFonts w:ascii="Times New Roman" w:hAnsi="Times New Roman" w:cs="Times New Roman"/>
          <w:color w:val="000000" w:themeColor="text1"/>
          <w:sz w:val="20"/>
          <w:szCs w:val="20"/>
          <w:vertAlign w:val="subscript"/>
        </w:rPr>
        <w:t>t</w:t>
      </w:r>
      <w:r w:rsidRPr="0046206F">
        <w:rPr>
          <w:rFonts w:ascii="Times New Roman" w:hAnsi="Times New Roman" w:cs="Times New Roman"/>
          <w:color w:val="000000" w:themeColor="text1"/>
          <w:sz w:val="20"/>
          <w:szCs w:val="20"/>
        </w:rPr>
        <w:t xml:space="preserve"> updated by forget (f), input (</w:t>
      </w:r>
      <w:proofErr w:type="spellStart"/>
      <w:r w:rsidRPr="0046206F">
        <w:rPr>
          <w:rFonts w:ascii="Times New Roman" w:hAnsi="Times New Roman" w:cs="Times New Roman"/>
          <w:color w:val="000000" w:themeColor="text1"/>
          <w:sz w:val="20"/>
          <w:szCs w:val="20"/>
        </w:rPr>
        <w:t>i</w:t>
      </w:r>
      <w:proofErr w:type="spellEnd"/>
      <w:r w:rsidRPr="0046206F">
        <w:rPr>
          <w:rFonts w:ascii="Times New Roman" w:hAnsi="Times New Roman" w:cs="Times New Roman"/>
          <w:color w:val="000000" w:themeColor="text1"/>
          <w:sz w:val="20"/>
          <w:szCs w:val="20"/>
        </w:rPr>
        <w:t>), and output (o) gates:</w:t>
      </w:r>
    </w:p>
    <w:p w14:paraId="39BDA6E0"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f_t</w:t>
      </w:r>
      <w:proofErr w:type="spellEnd"/>
      <w:r w:rsidRPr="0046206F">
        <w:rPr>
          <w:rFonts w:ascii="Times New Roman" w:eastAsia="Cambria Math" w:hAnsi="Times New Roman" w:cs="Times New Roman"/>
          <w:color w:val="000000" w:themeColor="text1"/>
          <w:sz w:val="20"/>
          <w:szCs w:val="20"/>
        </w:rPr>
        <w:t xml:space="preserve"> = σ(</w:t>
      </w:r>
      <w:proofErr w:type="spellStart"/>
      <w:r w:rsidRPr="0046206F">
        <w:rPr>
          <w:rFonts w:ascii="Times New Roman" w:eastAsia="Cambria Math" w:hAnsi="Times New Roman" w:cs="Times New Roman"/>
          <w:color w:val="000000" w:themeColor="text1"/>
          <w:sz w:val="20"/>
          <w:szCs w:val="20"/>
        </w:rPr>
        <w:t>W_f</w:t>
      </w:r>
      <w:proofErr w:type="spellEnd"/>
      <w:r w:rsidRPr="0046206F">
        <w:rPr>
          <w:rFonts w:ascii="Times New Roman" w:eastAsia="Cambria Math" w:hAnsi="Times New Roman" w:cs="Times New Roman"/>
          <w:color w:val="000000" w:themeColor="text1"/>
          <w:sz w:val="20"/>
          <w:szCs w:val="20"/>
        </w:rPr>
        <w:t xml:space="preserve">·[h_{t-1}, </w:t>
      </w:r>
      <w:proofErr w:type="spellStart"/>
      <w:r w:rsidRPr="0046206F">
        <w:rPr>
          <w:rFonts w:ascii="Times New Roman" w:eastAsia="Cambria Math" w:hAnsi="Times New Roman" w:cs="Times New Roman"/>
          <w:color w:val="000000" w:themeColor="text1"/>
          <w:sz w:val="20"/>
          <w:szCs w:val="20"/>
        </w:rPr>
        <w:t>x_t</w:t>
      </w:r>
      <w:proofErr w:type="spellEnd"/>
      <w:r w:rsidRPr="0046206F">
        <w:rPr>
          <w:rFonts w:ascii="Times New Roman" w:eastAsia="Cambria Math" w:hAnsi="Times New Roman" w:cs="Times New Roman"/>
          <w:color w:val="000000" w:themeColor="text1"/>
          <w:sz w:val="20"/>
          <w:szCs w:val="20"/>
        </w:rPr>
        <w:t xml:space="preserve">] + </w:t>
      </w:r>
      <w:proofErr w:type="spellStart"/>
      <w:r w:rsidRPr="0046206F">
        <w:rPr>
          <w:rFonts w:ascii="Times New Roman" w:eastAsia="Cambria Math" w:hAnsi="Times New Roman" w:cs="Times New Roman"/>
          <w:color w:val="000000" w:themeColor="text1"/>
          <w:sz w:val="20"/>
          <w:szCs w:val="20"/>
        </w:rPr>
        <w:t>b_f</w:t>
      </w:r>
      <w:proofErr w:type="spellEnd"/>
      <w:r w:rsidRPr="0046206F">
        <w:rPr>
          <w:rFonts w:ascii="Times New Roman" w:eastAsia="Cambria Math" w:hAnsi="Times New Roman" w:cs="Times New Roman"/>
          <w:color w:val="000000" w:themeColor="text1"/>
          <w:sz w:val="20"/>
          <w:szCs w:val="20"/>
        </w:rPr>
        <w:t>)</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(3a)</w:t>
      </w:r>
    </w:p>
    <w:p w14:paraId="3BB7B5FE"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i_t</w:t>
      </w:r>
      <w:proofErr w:type="spellEnd"/>
      <w:r w:rsidRPr="0046206F">
        <w:rPr>
          <w:rFonts w:ascii="Times New Roman" w:eastAsia="Cambria Math" w:hAnsi="Times New Roman" w:cs="Times New Roman"/>
          <w:color w:val="000000" w:themeColor="text1"/>
          <w:sz w:val="20"/>
          <w:szCs w:val="20"/>
        </w:rPr>
        <w:t xml:space="preserve"> = σ(</w:t>
      </w:r>
      <w:proofErr w:type="spellStart"/>
      <w:r w:rsidRPr="0046206F">
        <w:rPr>
          <w:rFonts w:ascii="Times New Roman" w:eastAsia="Cambria Math" w:hAnsi="Times New Roman" w:cs="Times New Roman"/>
          <w:color w:val="000000" w:themeColor="text1"/>
          <w:sz w:val="20"/>
          <w:szCs w:val="20"/>
        </w:rPr>
        <w:t>W_i</w:t>
      </w:r>
      <w:proofErr w:type="spellEnd"/>
      <w:r w:rsidRPr="0046206F">
        <w:rPr>
          <w:rFonts w:ascii="Times New Roman" w:eastAsia="Cambria Math" w:hAnsi="Times New Roman" w:cs="Times New Roman"/>
          <w:color w:val="000000" w:themeColor="text1"/>
          <w:sz w:val="20"/>
          <w:szCs w:val="20"/>
        </w:rPr>
        <w:t xml:space="preserve">·[h_{t-1}, </w:t>
      </w:r>
      <w:proofErr w:type="spellStart"/>
      <w:r w:rsidRPr="0046206F">
        <w:rPr>
          <w:rFonts w:ascii="Times New Roman" w:eastAsia="Cambria Math" w:hAnsi="Times New Roman" w:cs="Times New Roman"/>
          <w:color w:val="000000" w:themeColor="text1"/>
          <w:sz w:val="20"/>
          <w:szCs w:val="20"/>
        </w:rPr>
        <w:t>x_t</w:t>
      </w:r>
      <w:proofErr w:type="spellEnd"/>
      <w:r w:rsidRPr="0046206F">
        <w:rPr>
          <w:rFonts w:ascii="Times New Roman" w:eastAsia="Cambria Math" w:hAnsi="Times New Roman" w:cs="Times New Roman"/>
          <w:color w:val="000000" w:themeColor="text1"/>
          <w:sz w:val="20"/>
          <w:szCs w:val="20"/>
        </w:rPr>
        <w:t xml:space="preserve">] + </w:t>
      </w:r>
      <w:proofErr w:type="spellStart"/>
      <w:r w:rsidRPr="0046206F">
        <w:rPr>
          <w:rFonts w:ascii="Times New Roman" w:eastAsia="Cambria Math" w:hAnsi="Times New Roman" w:cs="Times New Roman"/>
          <w:color w:val="000000" w:themeColor="text1"/>
          <w:sz w:val="20"/>
          <w:szCs w:val="20"/>
        </w:rPr>
        <w:t>b_i</w:t>
      </w:r>
      <w:proofErr w:type="spellEnd"/>
      <w:r w:rsidRPr="0046206F">
        <w:rPr>
          <w:rFonts w:ascii="Times New Roman" w:eastAsia="Cambria Math" w:hAnsi="Times New Roman" w:cs="Times New Roman"/>
          <w:color w:val="000000" w:themeColor="text1"/>
          <w:sz w:val="20"/>
          <w:szCs w:val="20"/>
        </w:rPr>
        <w:t>)</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(3b)</w:t>
      </w:r>
    </w:p>
    <w:p w14:paraId="11CDAA37"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c_t</w:t>
      </w:r>
      <w:proofErr w:type="spellEnd"/>
      <w:r w:rsidRPr="0046206F">
        <w:rPr>
          <w:rFonts w:ascii="Times New Roman" w:eastAsia="Cambria Math" w:hAnsi="Times New Roman" w:cs="Times New Roman"/>
          <w:color w:val="000000" w:themeColor="text1"/>
          <w:sz w:val="20"/>
          <w:szCs w:val="20"/>
        </w:rPr>
        <w:t xml:space="preserve"> = </w:t>
      </w:r>
      <w:proofErr w:type="spellStart"/>
      <w:r w:rsidRPr="0046206F">
        <w:rPr>
          <w:rFonts w:ascii="Times New Roman" w:eastAsia="Cambria Math" w:hAnsi="Times New Roman" w:cs="Times New Roman"/>
          <w:color w:val="000000" w:themeColor="text1"/>
          <w:sz w:val="20"/>
          <w:szCs w:val="20"/>
        </w:rPr>
        <w:t>f_t</w:t>
      </w:r>
      <w:proofErr w:type="spellEnd"/>
      <w:r w:rsidRPr="0046206F">
        <w:rPr>
          <w:rFonts w:ascii="Times New Roman" w:eastAsia="Cambria Math" w:hAnsi="Times New Roman" w:cs="Times New Roman"/>
          <w:color w:val="000000" w:themeColor="text1"/>
          <w:sz w:val="20"/>
          <w:szCs w:val="20"/>
        </w:rPr>
        <w:t xml:space="preserve"> </w:t>
      </w:r>
      <w:r w:rsidRPr="0046206F">
        <w:rPr>
          <w:rFonts w:ascii="Cambria Math" w:eastAsia="Cambria Math" w:hAnsi="Cambria Math" w:cs="Cambria Math"/>
          <w:color w:val="000000" w:themeColor="text1"/>
          <w:sz w:val="20"/>
          <w:szCs w:val="20"/>
        </w:rPr>
        <w:t>⊙</w:t>
      </w:r>
      <w:r w:rsidRPr="0046206F">
        <w:rPr>
          <w:rFonts w:ascii="Times New Roman" w:eastAsia="Cambria Math" w:hAnsi="Times New Roman" w:cs="Times New Roman"/>
          <w:color w:val="000000" w:themeColor="text1"/>
          <w:sz w:val="20"/>
          <w:szCs w:val="20"/>
        </w:rPr>
        <w:t xml:space="preserve"> c_{t-1} + </w:t>
      </w:r>
      <w:proofErr w:type="spellStart"/>
      <w:r w:rsidRPr="0046206F">
        <w:rPr>
          <w:rFonts w:ascii="Times New Roman" w:eastAsia="Cambria Math" w:hAnsi="Times New Roman" w:cs="Times New Roman"/>
          <w:color w:val="000000" w:themeColor="text1"/>
          <w:sz w:val="20"/>
          <w:szCs w:val="20"/>
        </w:rPr>
        <w:t>i_t</w:t>
      </w:r>
      <w:proofErr w:type="spellEnd"/>
      <w:r w:rsidRPr="0046206F">
        <w:rPr>
          <w:rFonts w:ascii="Times New Roman" w:eastAsia="Cambria Math" w:hAnsi="Times New Roman" w:cs="Times New Roman"/>
          <w:color w:val="000000" w:themeColor="text1"/>
          <w:sz w:val="20"/>
          <w:szCs w:val="20"/>
        </w:rPr>
        <w:t xml:space="preserve"> </w:t>
      </w:r>
      <w:r w:rsidRPr="0046206F">
        <w:rPr>
          <w:rFonts w:ascii="Cambria Math" w:eastAsia="Cambria Math" w:hAnsi="Cambria Math" w:cs="Cambria Math"/>
          <w:color w:val="000000" w:themeColor="text1"/>
          <w:sz w:val="20"/>
          <w:szCs w:val="20"/>
        </w:rPr>
        <w:t>⊙</w:t>
      </w:r>
      <w:r w:rsidRPr="0046206F">
        <w:rPr>
          <w:rFonts w:ascii="Times New Roman" w:eastAsia="Cambria Math" w:hAnsi="Times New Roman" w:cs="Times New Roman"/>
          <w:color w:val="000000" w:themeColor="text1"/>
          <w:sz w:val="20"/>
          <w:szCs w:val="20"/>
        </w:rPr>
        <w:t xml:space="preserve"> tanh(</w:t>
      </w:r>
      <w:proofErr w:type="spellStart"/>
      <w:r w:rsidRPr="0046206F">
        <w:rPr>
          <w:rFonts w:ascii="Times New Roman" w:eastAsia="Cambria Math" w:hAnsi="Times New Roman" w:cs="Times New Roman"/>
          <w:color w:val="000000" w:themeColor="text1"/>
          <w:sz w:val="20"/>
          <w:szCs w:val="20"/>
        </w:rPr>
        <w:t>W_c</w:t>
      </w:r>
      <w:proofErr w:type="spellEnd"/>
      <w:r w:rsidRPr="0046206F">
        <w:rPr>
          <w:rFonts w:ascii="Times New Roman" w:eastAsia="Cambria Math" w:hAnsi="Times New Roman" w:cs="Times New Roman"/>
          <w:color w:val="000000" w:themeColor="text1"/>
          <w:sz w:val="20"/>
          <w:szCs w:val="20"/>
        </w:rPr>
        <w:t xml:space="preserve">·[h_{t-1}, </w:t>
      </w:r>
      <w:proofErr w:type="spellStart"/>
      <w:r w:rsidRPr="0046206F">
        <w:rPr>
          <w:rFonts w:ascii="Times New Roman" w:eastAsia="Cambria Math" w:hAnsi="Times New Roman" w:cs="Times New Roman"/>
          <w:color w:val="000000" w:themeColor="text1"/>
          <w:sz w:val="20"/>
          <w:szCs w:val="20"/>
        </w:rPr>
        <w:t>x_t</w:t>
      </w:r>
      <w:proofErr w:type="spellEnd"/>
      <w:r w:rsidRPr="0046206F">
        <w:rPr>
          <w:rFonts w:ascii="Times New Roman" w:eastAsia="Cambria Math" w:hAnsi="Times New Roman" w:cs="Times New Roman"/>
          <w:color w:val="000000" w:themeColor="text1"/>
          <w:sz w:val="20"/>
          <w:szCs w:val="20"/>
        </w:rPr>
        <w:t xml:space="preserve">] + </w:t>
      </w:r>
      <w:proofErr w:type="spellStart"/>
      <w:r w:rsidRPr="0046206F">
        <w:rPr>
          <w:rFonts w:ascii="Times New Roman" w:eastAsia="Cambria Math" w:hAnsi="Times New Roman" w:cs="Times New Roman"/>
          <w:color w:val="000000" w:themeColor="text1"/>
          <w:sz w:val="20"/>
          <w:szCs w:val="20"/>
        </w:rPr>
        <w:t>b_c</w:t>
      </w:r>
      <w:proofErr w:type="spellEnd"/>
      <w:r w:rsidRPr="0046206F">
        <w:rPr>
          <w:rFonts w:ascii="Times New Roman" w:eastAsia="Cambria Math" w:hAnsi="Times New Roman" w:cs="Times New Roman"/>
          <w:color w:val="000000" w:themeColor="text1"/>
          <w:sz w:val="20"/>
          <w:szCs w:val="20"/>
        </w:rPr>
        <w:t>)</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(3c)</w:t>
      </w:r>
    </w:p>
    <w:p w14:paraId="1A07CAC3"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h_t</w:t>
      </w:r>
      <w:proofErr w:type="spellEnd"/>
      <w:r w:rsidRPr="0046206F">
        <w:rPr>
          <w:rFonts w:ascii="Times New Roman" w:eastAsia="Cambria Math" w:hAnsi="Times New Roman" w:cs="Times New Roman"/>
          <w:color w:val="000000" w:themeColor="text1"/>
          <w:sz w:val="20"/>
          <w:szCs w:val="20"/>
        </w:rPr>
        <w:t xml:space="preserve"> = </w:t>
      </w:r>
      <w:proofErr w:type="spellStart"/>
      <w:r w:rsidRPr="0046206F">
        <w:rPr>
          <w:rFonts w:ascii="Times New Roman" w:eastAsia="Cambria Math" w:hAnsi="Times New Roman" w:cs="Times New Roman"/>
          <w:color w:val="000000" w:themeColor="text1"/>
          <w:sz w:val="20"/>
          <w:szCs w:val="20"/>
        </w:rPr>
        <w:t>o_t</w:t>
      </w:r>
      <w:proofErr w:type="spellEnd"/>
      <w:r w:rsidRPr="0046206F">
        <w:rPr>
          <w:rFonts w:ascii="Times New Roman" w:eastAsia="Cambria Math" w:hAnsi="Times New Roman" w:cs="Times New Roman"/>
          <w:color w:val="000000" w:themeColor="text1"/>
          <w:sz w:val="20"/>
          <w:szCs w:val="20"/>
        </w:rPr>
        <w:t xml:space="preserve"> </w:t>
      </w:r>
      <w:r w:rsidRPr="0046206F">
        <w:rPr>
          <w:rFonts w:ascii="Cambria Math" w:eastAsia="Cambria Math" w:hAnsi="Cambria Math" w:cs="Cambria Math"/>
          <w:color w:val="000000" w:themeColor="text1"/>
          <w:sz w:val="20"/>
          <w:szCs w:val="20"/>
        </w:rPr>
        <w:t>⊙</w:t>
      </w:r>
      <w:r w:rsidRPr="0046206F">
        <w:rPr>
          <w:rFonts w:ascii="Times New Roman" w:eastAsia="Cambria Math" w:hAnsi="Times New Roman" w:cs="Times New Roman"/>
          <w:color w:val="000000" w:themeColor="text1"/>
          <w:sz w:val="20"/>
          <w:szCs w:val="20"/>
        </w:rPr>
        <w:t xml:space="preserve"> tanh(</w:t>
      </w:r>
      <w:proofErr w:type="spellStart"/>
      <w:r w:rsidRPr="0046206F">
        <w:rPr>
          <w:rFonts w:ascii="Times New Roman" w:eastAsia="Cambria Math" w:hAnsi="Times New Roman" w:cs="Times New Roman"/>
          <w:color w:val="000000" w:themeColor="text1"/>
          <w:sz w:val="20"/>
          <w:szCs w:val="20"/>
        </w:rPr>
        <w:t>c_t</w:t>
      </w:r>
      <w:proofErr w:type="spellEnd"/>
      <w:r w:rsidRPr="0046206F">
        <w:rPr>
          <w:rFonts w:ascii="Times New Roman" w:eastAsia="Cambria Math" w:hAnsi="Times New Roman" w:cs="Times New Roman"/>
          <w:color w:val="000000" w:themeColor="text1"/>
          <w:sz w:val="20"/>
          <w:szCs w:val="20"/>
        </w:rPr>
        <w:t>)</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(3d)</w:t>
      </w:r>
    </w:p>
    <w:p w14:paraId="37FA58F5"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The gating mechanism enables selective retention of long-range temporal context, well-suited to capturing the dynamics of speech production across phoneme and syllable timescales. The clinical neuroprosthesis systems achieving the highest reported performance in this review — Card and colleagues (WER 2.5%) </w:t>
      </w:r>
      <w:r w:rsidRPr="0046206F">
        <w:rPr>
          <w:rFonts w:ascii="Times New Roman" w:hAnsi="Times New Roman" w:cs="Times New Roman"/>
          <w:color w:val="000000" w:themeColor="text1"/>
          <w:sz w:val="20"/>
          <w:szCs w:val="20"/>
          <w:vertAlign w:val="superscript"/>
        </w:rPr>
        <w:t>[6]</w:t>
      </w:r>
      <w:r w:rsidRPr="0046206F">
        <w:rPr>
          <w:rFonts w:ascii="Times New Roman" w:hAnsi="Times New Roman" w:cs="Times New Roman"/>
          <w:color w:val="000000" w:themeColor="text1"/>
          <w:sz w:val="20"/>
          <w:szCs w:val="20"/>
        </w:rPr>
        <w:t xml:space="preserve"> and Willett and colleagues (62 WPM) </w:t>
      </w:r>
      <w:r w:rsidRPr="0046206F">
        <w:rPr>
          <w:rFonts w:ascii="Times New Roman" w:hAnsi="Times New Roman" w:cs="Times New Roman"/>
          <w:color w:val="000000" w:themeColor="text1"/>
          <w:sz w:val="20"/>
          <w:szCs w:val="20"/>
          <w:vertAlign w:val="superscript"/>
        </w:rPr>
        <w:t>[7]</w:t>
      </w:r>
      <w:r w:rsidRPr="0046206F">
        <w:rPr>
          <w:rFonts w:ascii="Times New Roman" w:hAnsi="Times New Roman" w:cs="Times New Roman"/>
          <w:color w:val="000000" w:themeColor="text1"/>
          <w:sz w:val="20"/>
          <w:szCs w:val="20"/>
        </w:rPr>
        <w:t xml:space="preserve"> — both employ RNN decoders combined with language model rescoring. RNN/LSTM architectures account for approximately 10 of the 71 included studies.</w:t>
      </w:r>
    </w:p>
    <w:p w14:paraId="1A3378BC"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4.4  Encoder-Decoder Architectures (2019–2022)</w:t>
      </w:r>
    </w:p>
    <w:p w14:paraId="43AB93F2"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Sequence-to-sequence (seq2seq) encoder-decoder networks </w:t>
      </w:r>
      <w:r w:rsidRPr="0046206F">
        <w:rPr>
          <w:rFonts w:ascii="Times New Roman" w:hAnsi="Times New Roman" w:cs="Times New Roman"/>
          <w:color w:val="000000" w:themeColor="text1"/>
          <w:sz w:val="20"/>
          <w:szCs w:val="20"/>
          <w:vertAlign w:val="superscript"/>
        </w:rPr>
        <w:t>[8]</w:t>
      </w:r>
      <w:r w:rsidRPr="0046206F">
        <w:rPr>
          <w:rFonts w:ascii="Times New Roman" w:hAnsi="Times New Roman" w:cs="Times New Roman"/>
          <w:color w:val="000000" w:themeColor="text1"/>
          <w:sz w:val="20"/>
          <w:szCs w:val="20"/>
        </w:rPr>
        <w:t xml:space="preserve"> map variable-length neural input sequences x</w:t>
      </w:r>
      <w:r w:rsidRPr="0046206F">
        <w:rPr>
          <w:rFonts w:ascii="Times New Roman" w:hAnsi="Times New Roman" w:cs="Times New Roman"/>
          <w:color w:val="000000" w:themeColor="text1"/>
          <w:sz w:val="20"/>
          <w:szCs w:val="20"/>
          <w:vertAlign w:val="subscript"/>
        </w:rPr>
        <w:t>1:T</w:t>
      </w:r>
      <w:r w:rsidRPr="0046206F">
        <w:rPr>
          <w:rFonts w:ascii="Times New Roman" w:hAnsi="Times New Roman" w:cs="Times New Roman"/>
          <w:color w:val="000000" w:themeColor="text1"/>
          <w:sz w:val="20"/>
          <w:szCs w:val="20"/>
        </w:rPr>
        <w:t xml:space="preserve"> to variable-length output sequences y</w:t>
      </w:r>
      <w:r w:rsidRPr="0046206F">
        <w:rPr>
          <w:rFonts w:ascii="Times New Roman" w:hAnsi="Times New Roman" w:cs="Times New Roman"/>
          <w:color w:val="000000" w:themeColor="text1"/>
          <w:sz w:val="20"/>
          <w:szCs w:val="20"/>
          <w:vertAlign w:val="subscript"/>
        </w:rPr>
        <w:t>1:S</w:t>
      </w:r>
      <w:r w:rsidRPr="0046206F">
        <w:rPr>
          <w:rFonts w:ascii="Times New Roman" w:hAnsi="Times New Roman" w:cs="Times New Roman"/>
          <w:color w:val="000000" w:themeColor="text1"/>
          <w:sz w:val="20"/>
          <w:szCs w:val="20"/>
        </w:rPr>
        <w:t xml:space="preserve"> by maximizing the conditional likelihood:</w:t>
      </w:r>
    </w:p>
    <w:p w14:paraId="285787FA"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L_seq</w:t>
      </w:r>
      <w:proofErr w:type="spellEnd"/>
      <w:r w:rsidRPr="0046206F">
        <w:rPr>
          <w:rFonts w:ascii="Times New Roman" w:eastAsia="Cambria Math" w:hAnsi="Times New Roman" w:cs="Times New Roman"/>
          <w:color w:val="000000" w:themeColor="text1"/>
          <w:sz w:val="20"/>
          <w:szCs w:val="20"/>
        </w:rPr>
        <w:t xml:space="preserve"> = -log P(</w:t>
      </w:r>
      <w:proofErr w:type="spellStart"/>
      <w:r w:rsidRPr="0046206F">
        <w:rPr>
          <w:rFonts w:ascii="Times New Roman" w:eastAsia="Cambria Math" w:hAnsi="Times New Roman" w:cs="Times New Roman"/>
          <w:color w:val="000000" w:themeColor="text1"/>
          <w:sz w:val="20"/>
          <w:szCs w:val="20"/>
        </w:rPr>
        <w:t>y|x</w:t>
      </w:r>
      <w:proofErr w:type="spellEnd"/>
      <w:r w:rsidRPr="0046206F">
        <w:rPr>
          <w:rFonts w:ascii="Times New Roman" w:eastAsia="Cambria Math" w:hAnsi="Times New Roman" w:cs="Times New Roman"/>
          <w:color w:val="000000" w:themeColor="text1"/>
          <w:sz w:val="20"/>
          <w:szCs w:val="20"/>
        </w:rPr>
        <w:t>) = -∑_{s=1}^{S} log P(</w:t>
      </w:r>
      <w:proofErr w:type="spellStart"/>
      <w:r w:rsidRPr="0046206F">
        <w:rPr>
          <w:rFonts w:ascii="Times New Roman" w:eastAsia="Cambria Math" w:hAnsi="Times New Roman" w:cs="Times New Roman"/>
          <w:color w:val="000000" w:themeColor="text1"/>
          <w:sz w:val="20"/>
          <w:szCs w:val="20"/>
        </w:rPr>
        <w:t>y_s</w:t>
      </w:r>
      <w:proofErr w:type="spellEnd"/>
      <w:r w:rsidRPr="0046206F">
        <w:rPr>
          <w:rFonts w:ascii="Times New Roman" w:eastAsia="Cambria Math" w:hAnsi="Times New Roman" w:cs="Times New Roman"/>
          <w:color w:val="000000" w:themeColor="text1"/>
          <w:sz w:val="20"/>
          <w:szCs w:val="20"/>
        </w:rPr>
        <w:t xml:space="preserve"> | y_{&lt;s}, x_{1:T})</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(4)</w:t>
      </w:r>
    </w:p>
    <w:p w14:paraId="41084C39"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Makin and colleagues' neural machine translation analogy </w:t>
      </w:r>
      <w:r w:rsidRPr="0046206F">
        <w:rPr>
          <w:rFonts w:ascii="Times New Roman" w:hAnsi="Times New Roman" w:cs="Times New Roman"/>
          <w:color w:val="000000" w:themeColor="text1"/>
          <w:sz w:val="20"/>
          <w:szCs w:val="20"/>
          <w:vertAlign w:val="superscript"/>
        </w:rPr>
        <w:t>[9]</w:t>
      </w:r>
      <w:r w:rsidRPr="0046206F">
        <w:rPr>
          <w:rFonts w:ascii="Times New Roman" w:hAnsi="Times New Roman" w:cs="Times New Roman"/>
          <w:color w:val="000000" w:themeColor="text1"/>
          <w:sz w:val="20"/>
          <w:szCs w:val="20"/>
        </w:rPr>
        <w:t xml:space="preserve"> applied this framework to ECoG→text decoding at WER ≈ 3% on constrained corpora — the first genuinely end-to-end brain-to-text system. Anumanchipalli, Chartier, and Chang introduced an articulatory intermediate representation within a two-stage encoder-decoder, mapping neural signals first to vocal tract kinematics and then to speech waveforms </w:t>
      </w:r>
      <w:r w:rsidRPr="0046206F">
        <w:rPr>
          <w:rFonts w:ascii="Times New Roman" w:hAnsi="Times New Roman" w:cs="Times New Roman"/>
          <w:color w:val="000000" w:themeColor="text1"/>
          <w:sz w:val="20"/>
          <w:szCs w:val="20"/>
          <w:vertAlign w:val="superscript"/>
        </w:rPr>
        <w:t>[10]</w:t>
      </w:r>
      <w:r w:rsidRPr="0046206F">
        <w:rPr>
          <w:rFonts w:ascii="Times New Roman" w:hAnsi="Times New Roman" w:cs="Times New Roman"/>
          <w:color w:val="000000" w:themeColor="text1"/>
          <w:sz w:val="20"/>
          <w:szCs w:val="20"/>
        </w:rPr>
        <w:t>, producing the most intelligible ECoG-synthesized speech at the time of publication. Seven studies in this review employ encoder-decoder architectures as their primary decoding framework.</w:t>
      </w:r>
    </w:p>
    <w:p w14:paraId="76610EB4"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lastRenderedPageBreak/>
        <w:t xml:space="preserve">►  FIGURE NOTE: </w:t>
      </w:r>
      <w:r w:rsidRPr="0046206F">
        <w:rPr>
          <w:rFonts w:ascii="Times New Roman" w:hAnsi="Times New Roman" w:cs="Times New Roman"/>
          <w:color w:val="000000" w:themeColor="text1"/>
          <w:sz w:val="20"/>
          <w:szCs w:val="20"/>
        </w:rPr>
        <w:t>Fig. 4.2: Use Fig. 1 from Makin et al. 2020 (Nat. Neurosci.) showing the ECoG encoder-decoder architecture. Alternatively, Fig. 2 from Anumanchipalli et al. 2019 (Nature) showing the two-stage articulatory synthesis pipeline. Request journal reproduction permission.</w:t>
      </w:r>
    </w:p>
    <w:p w14:paraId="047E1418"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4.5  Transformer Architecture (2022–present)</w:t>
      </w:r>
    </w:p>
    <w:p w14:paraId="73D58434"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The transformer </w:t>
      </w:r>
      <w:r w:rsidRPr="0046206F">
        <w:rPr>
          <w:rFonts w:ascii="Times New Roman" w:hAnsi="Times New Roman" w:cs="Times New Roman"/>
          <w:color w:val="000000" w:themeColor="text1"/>
          <w:sz w:val="20"/>
          <w:szCs w:val="20"/>
          <w:vertAlign w:val="superscript"/>
        </w:rPr>
        <w:t>[11]</w:t>
      </w:r>
      <w:r w:rsidRPr="0046206F">
        <w:rPr>
          <w:rFonts w:ascii="Times New Roman" w:hAnsi="Times New Roman" w:cs="Times New Roman"/>
          <w:color w:val="000000" w:themeColor="text1"/>
          <w:sz w:val="20"/>
          <w:szCs w:val="20"/>
        </w:rPr>
        <w:t xml:space="preserve"> replaces recurrence with scaled dot-product self-attention, enabling global dependency modelling across the full input sequence in parallel. For query Q, key K, and value V matrices derived from the input representation:</w:t>
      </w:r>
    </w:p>
    <w:p w14:paraId="613DB487"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r w:rsidRPr="0046206F">
        <w:rPr>
          <w:rFonts w:ascii="Times New Roman" w:eastAsia="Cambria Math" w:hAnsi="Times New Roman" w:cs="Times New Roman"/>
          <w:color w:val="000000" w:themeColor="text1"/>
          <w:sz w:val="20"/>
          <w:szCs w:val="20"/>
        </w:rPr>
        <w:t xml:space="preserve">Attention(Q, K, V) = </w:t>
      </w:r>
      <w:proofErr w:type="spellStart"/>
      <w:r w:rsidRPr="0046206F">
        <w:rPr>
          <w:rFonts w:ascii="Times New Roman" w:eastAsia="Cambria Math" w:hAnsi="Times New Roman" w:cs="Times New Roman"/>
          <w:color w:val="000000" w:themeColor="text1"/>
          <w:sz w:val="20"/>
          <w:szCs w:val="20"/>
        </w:rPr>
        <w:t>softmax</w:t>
      </w:r>
      <w:proofErr w:type="spellEnd"/>
      <w:r w:rsidRPr="0046206F">
        <w:rPr>
          <w:rFonts w:ascii="Times New Roman" w:eastAsia="Cambria Math" w:hAnsi="Times New Roman" w:cs="Times New Roman"/>
          <w:color w:val="000000" w:themeColor="text1"/>
          <w:sz w:val="20"/>
          <w:szCs w:val="20"/>
        </w:rPr>
        <w:t>(QKᵀ / √</w:t>
      </w:r>
      <w:proofErr w:type="spellStart"/>
      <w:r w:rsidRPr="0046206F">
        <w:rPr>
          <w:rFonts w:ascii="Times New Roman" w:eastAsia="Cambria Math" w:hAnsi="Times New Roman" w:cs="Times New Roman"/>
          <w:color w:val="000000" w:themeColor="text1"/>
          <w:sz w:val="20"/>
          <w:szCs w:val="20"/>
        </w:rPr>
        <w:t>d_k</w:t>
      </w:r>
      <w:proofErr w:type="spellEnd"/>
      <w:r w:rsidRPr="0046206F">
        <w:rPr>
          <w:rFonts w:ascii="Times New Roman" w:eastAsia="Cambria Math" w:hAnsi="Times New Roman" w:cs="Times New Roman"/>
          <w:color w:val="000000" w:themeColor="text1"/>
          <w:sz w:val="20"/>
          <w:szCs w:val="20"/>
        </w:rPr>
        <w:t>) V</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(5a)</w:t>
      </w:r>
    </w:p>
    <w:p w14:paraId="17437FA1"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proofErr w:type="spellStart"/>
      <w:r w:rsidRPr="0046206F">
        <w:rPr>
          <w:rFonts w:ascii="Times New Roman" w:eastAsia="Cambria Math" w:hAnsi="Times New Roman" w:cs="Times New Roman"/>
          <w:color w:val="000000" w:themeColor="text1"/>
          <w:sz w:val="20"/>
          <w:szCs w:val="20"/>
        </w:rPr>
        <w:t>MultiHead</w:t>
      </w:r>
      <w:proofErr w:type="spellEnd"/>
      <w:r w:rsidRPr="0046206F">
        <w:rPr>
          <w:rFonts w:ascii="Times New Roman" w:eastAsia="Cambria Math" w:hAnsi="Times New Roman" w:cs="Times New Roman"/>
          <w:color w:val="000000" w:themeColor="text1"/>
          <w:sz w:val="20"/>
          <w:szCs w:val="20"/>
        </w:rPr>
        <w:t xml:space="preserve">(Q,K,V) = </w:t>
      </w:r>
      <w:proofErr w:type="spellStart"/>
      <w:r w:rsidRPr="0046206F">
        <w:rPr>
          <w:rFonts w:ascii="Times New Roman" w:eastAsia="Cambria Math" w:hAnsi="Times New Roman" w:cs="Times New Roman"/>
          <w:color w:val="000000" w:themeColor="text1"/>
          <w:sz w:val="20"/>
          <w:szCs w:val="20"/>
        </w:rPr>
        <w:t>Concat</w:t>
      </w:r>
      <w:proofErr w:type="spellEnd"/>
      <w:r w:rsidRPr="0046206F">
        <w:rPr>
          <w:rFonts w:ascii="Times New Roman" w:eastAsia="Cambria Math" w:hAnsi="Times New Roman" w:cs="Times New Roman"/>
          <w:color w:val="000000" w:themeColor="text1"/>
          <w:sz w:val="20"/>
          <w:szCs w:val="20"/>
        </w:rPr>
        <w:t>(head_1,...,</w:t>
      </w:r>
      <w:proofErr w:type="spellStart"/>
      <w:r w:rsidRPr="0046206F">
        <w:rPr>
          <w:rFonts w:ascii="Times New Roman" w:eastAsia="Cambria Math" w:hAnsi="Times New Roman" w:cs="Times New Roman"/>
          <w:color w:val="000000" w:themeColor="text1"/>
          <w:sz w:val="20"/>
          <w:szCs w:val="20"/>
        </w:rPr>
        <w:t>head_h</w:t>
      </w:r>
      <w:proofErr w:type="spellEnd"/>
      <w:r w:rsidRPr="0046206F">
        <w:rPr>
          <w:rFonts w:ascii="Times New Roman" w:eastAsia="Cambria Math" w:hAnsi="Times New Roman" w:cs="Times New Roman"/>
          <w:color w:val="000000" w:themeColor="text1"/>
          <w:sz w:val="20"/>
          <w:szCs w:val="20"/>
        </w:rPr>
        <w:t>) W^O</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(5b)</w:t>
      </w:r>
    </w:p>
    <w:p w14:paraId="1383FC23"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where d</w:t>
      </w:r>
      <w:r w:rsidRPr="0046206F">
        <w:rPr>
          <w:rFonts w:ascii="Times New Roman" w:hAnsi="Times New Roman" w:cs="Times New Roman"/>
          <w:color w:val="000000" w:themeColor="text1"/>
          <w:sz w:val="20"/>
          <w:szCs w:val="20"/>
          <w:vertAlign w:val="subscript"/>
        </w:rPr>
        <w:t>k</w:t>
      </w:r>
      <w:r w:rsidRPr="0046206F">
        <w:rPr>
          <w:rFonts w:ascii="Times New Roman" w:hAnsi="Times New Roman" w:cs="Times New Roman"/>
          <w:color w:val="000000" w:themeColor="text1"/>
          <w:sz w:val="20"/>
          <w:szCs w:val="20"/>
        </w:rPr>
        <w:t xml:space="preserve"> is the key dimension and h is the number of attention heads. The attention mechanism allows the decoder to selectively integrate neural signal features from any temporal location, regardless of distance — a critical advantage for speech decoding, where phonological planning operates across windows of hundreds of milliseconds. Transformers are the dominant architecture in non-invasive EEG and MEG decoding post-2022: Wang and Ji's EEG-to-text system </w:t>
      </w:r>
      <w:r w:rsidRPr="0046206F">
        <w:rPr>
          <w:rFonts w:ascii="Times New Roman" w:hAnsi="Times New Roman" w:cs="Times New Roman"/>
          <w:color w:val="000000" w:themeColor="text1"/>
          <w:sz w:val="20"/>
          <w:szCs w:val="20"/>
          <w:vertAlign w:val="superscript"/>
        </w:rPr>
        <w:t>[12]</w:t>
      </w:r>
      <w:r w:rsidRPr="0046206F">
        <w:rPr>
          <w:rFonts w:ascii="Times New Roman" w:hAnsi="Times New Roman" w:cs="Times New Roman"/>
          <w:color w:val="000000" w:themeColor="text1"/>
          <w:sz w:val="20"/>
          <w:szCs w:val="20"/>
        </w:rPr>
        <w:t xml:space="preserve"> and d'Ascoli and colleagues' CNN-transformer decoder achieving top-1 accuracy across 723 participants and three languages </w:t>
      </w:r>
      <w:r w:rsidRPr="0046206F">
        <w:rPr>
          <w:rFonts w:ascii="Times New Roman" w:hAnsi="Times New Roman" w:cs="Times New Roman"/>
          <w:color w:val="000000" w:themeColor="text1"/>
          <w:sz w:val="20"/>
          <w:szCs w:val="20"/>
          <w:vertAlign w:val="superscript"/>
        </w:rPr>
        <w:t>[13]</w:t>
      </w:r>
      <w:r w:rsidRPr="0046206F">
        <w:rPr>
          <w:rFonts w:ascii="Times New Roman" w:hAnsi="Times New Roman" w:cs="Times New Roman"/>
          <w:color w:val="000000" w:themeColor="text1"/>
          <w:sz w:val="20"/>
          <w:szCs w:val="20"/>
        </w:rPr>
        <w:t xml:space="preserve"> both demonstrate the scalability of transformer-based approaches. Approximately 10 of the 71 included studies employ transformer-based decoders.</w:t>
      </w:r>
    </w:p>
    <w:p w14:paraId="496C8A7B"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 xml:space="preserve">►  FIGURE NOTE: </w:t>
      </w:r>
      <w:r w:rsidRPr="0046206F">
        <w:rPr>
          <w:rFonts w:ascii="Times New Roman" w:hAnsi="Times New Roman" w:cs="Times New Roman"/>
          <w:color w:val="000000" w:themeColor="text1"/>
          <w:sz w:val="20"/>
          <w:szCs w:val="20"/>
        </w:rPr>
        <w:t>Fig. 4.3: Reproduce or adapt Fig. 1 from Vaswani et al. 2017 (NeurIPS) showing the multi-head attention mechanism — universally recognized and appropriate with citation. Alternatively, Fig. 2 from Wang &amp; Ji 2022 (AAAI) showing the EEG transformer pipeline.</w:t>
      </w:r>
    </w:p>
    <w:p w14:paraId="64095A43"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4.6  Self-Supervised Learning (2021–present)</w:t>
      </w:r>
    </w:p>
    <w:p w14:paraId="55D8A46A"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Self-supervised learning (SSL) addresses the fundamental bottleneck of labeled neural data by pre-training on large unlabeled corpora. Contrastive approaches — following the NT-Xent objective of Chen and colleagues </w:t>
      </w:r>
      <w:r w:rsidRPr="0046206F">
        <w:rPr>
          <w:rFonts w:ascii="Times New Roman" w:hAnsi="Times New Roman" w:cs="Times New Roman"/>
          <w:color w:val="000000" w:themeColor="text1"/>
          <w:sz w:val="20"/>
          <w:szCs w:val="20"/>
          <w:vertAlign w:val="superscript"/>
        </w:rPr>
        <w:t>[14]</w:t>
      </w:r>
      <w:r w:rsidRPr="0046206F">
        <w:rPr>
          <w:rFonts w:ascii="Times New Roman" w:hAnsi="Times New Roman" w:cs="Times New Roman"/>
          <w:color w:val="000000" w:themeColor="text1"/>
          <w:sz w:val="20"/>
          <w:szCs w:val="20"/>
        </w:rPr>
        <w:t xml:space="preserve"> — maximize agreement between augmented views z</w:t>
      </w:r>
      <w:r w:rsidRPr="0046206F">
        <w:rPr>
          <w:rFonts w:ascii="Times New Roman" w:hAnsi="Times New Roman" w:cs="Times New Roman"/>
          <w:color w:val="000000" w:themeColor="text1"/>
          <w:sz w:val="20"/>
          <w:szCs w:val="20"/>
          <w:vertAlign w:val="subscript"/>
        </w:rPr>
        <w:t>i</w:t>
      </w:r>
      <w:r w:rsidRPr="0046206F">
        <w:rPr>
          <w:rFonts w:ascii="Times New Roman" w:hAnsi="Times New Roman" w:cs="Times New Roman"/>
          <w:color w:val="000000" w:themeColor="text1"/>
          <w:sz w:val="20"/>
          <w:szCs w:val="20"/>
        </w:rPr>
        <w:t xml:space="preserve"> and z</w:t>
      </w:r>
      <w:r w:rsidRPr="0046206F">
        <w:rPr>
          <w:rFonts w:ascii="Times New Roman" w:hAnsi="Times New Roman" w:cs="Times New Roman"/>
          <w:color w:val="000000" w:themeColor="text1"/>
          <w:sz w:val="20"/>
          <w:szCs w:val="20"/>
          <w:vertAlign w:val="subscript"/>
        </w:rPr>
        <w:t>j</w:t>
      </w:r>
      <w:r w:rsidRPr="0046206F">
        <w:rPr>
          <w:rFonts w:ascii="Times New Roman" w:hAnsi="Times New Roman" w:cs="Times New Roman"/>
          <w:color w:val="000000" w:themeColor="text1"/>
          <w:sz w:val="20"/>
          <w:szCs w:val="20"/>
        </w:rPr>
        <w:t xml:space="preserve"> of the same sample whilst repelling negatives:</w:t>
      </w:r>
    </w:p>
    <w:p w14:paraId="73285BCF"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r w:rsidRPr="0046206F">
        <w:rPr>
          <w:rFonts w:ascii="Times New Roman" w:eastAsia="Cambria Math" w:hAnsi="Times New Roman" w:cs="Times New Roman"/>
          <w:color w:val="000000" w:themeColor="text1"/>
          <w:sz w:val="20"/>
          <w:szCs w:val="20"/>
        </w:rPr>
        <w:t>ℓ_</w:t>
      </w:r>
      <w:proofErr w:type="spellStart"/>
      <w:r w:rsidRPr="0046206F">
        <w:rPr>
          <w:rFonts w:ascii="Times New Roman" w:eastAsia="Cambria Math" w:hAnsi="Times New Roman" w:cs="Times New Roman"/>
          <w:color w:val="000000" w:themeColor="text1"/>
          <w:sz w:val="20"/>
          <w:szCs w:val="20"/>
        </w:rPr>
        <w:t>i</w:t>
      </w:r>
      <w:proofErr w:type="spellEnd"/>
      <w:r w:rsidRPr="0046206F">
        <w:rPr>
          <w:rFonts w:ascii="Times New Roman" w:eastAsia="Cambria Math" w:hAnsi="Times New Roman" w:cs="Times New Roman"/>
          <w:color w:val="000000" w:themeColor="text1"/>
          <w:sz w:val="20"/>
          <w:szCs w:val="20"/>
        </w:rPr>
        <w:t xml:space="preserve"> = -log [ exp(sim(</w:t>
      </w:r>
      <w:proofErr w:type="spellStart"/>
      <w:r w:rsidRPr="0046206F">
        <w:rPr>
          <w:rFonts w:ascii="Times New Roman" w:eastAsia="Cambria Math" w:hAnsi="Times New Roman" w:cs="Times New Roman"/>
          <w:color w:val="000000" w:themeColor="text1"/>
          <w:sz w:val="20"/>
          <w:szCs w:val="20"/>
        </w:rPr>
        <w:t>z_i,z_j</w:t>
      </w:r>
      <w:proofErr w:type="spellEnd"/>
      <w:r w:rsidRPr="0046206F">
        <w:rPr>
          <w:rFonts w:ascii="Times New Roman" w:eastAsia="Cambria Math" w:hAnsi="Times New Roman" w:cs="Times New Roman"/>
          <w:color w:val="000000" w:themeColor="text1"/>
          <w:sz w:val="20"/>
          <w:szCs w:val="20"/>
        </w:rPr>
        <w:t>)/τ) / ∑_{k≠1} exp(sim(</w:t>
      </w:r>
      <w:proofErr w:type="spellStart"/>
      <w:r w:rsidRPr="0046206F">
        <w:rPr>
          <w:rFonts w:ascii="Times New Roman" w:eastAsia="Cambria Math" w:hAnsi="Times New Roman" w:cs="Times New Roman"/>
          <w:color w:val="000000" w:themeColor="text1"/>
          <w:sz w:val="20"/>
          <w:szCs w:val="20"/>
        </w:rPr>
        <w:t>z_i,z_k</w:t>
      </w:r>
      <w:proofErr w:type="spellEnd"/>
      <w:r w:rsidRPr="0046206F">
        <w:rPr>
          <w:rFonts w:ascii="Times New Roman" w:eastAsia="Cambria Math" w:hAnsi="Times New Roman" w:cs="Times New Roman"/>
          <w:color w:val="000000" w:themeColor="text1"/>
          <w:sz w:val="20"/>
          <w:szCs w:val="20"/>
        </w:rPr>
        <w:t>)/τ) ]</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(6)</w:t>
      </w:r>
    </w:p>
    <w:p w14:paraId="6E570437"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where sim(·,·) denotes cosine similarity and τ is a temperature hyperparameter. Applied to EEG, the BENDR architecture of Kostas and colleagues </w:t>
      </w:r>
      <w:r w:rsidRPr="0046206F">
        <w:rPr>
          <w:rFonts w:ascii="Times New Roman" w:hAnsi="Times New Roman" w:cs="Times New Roman"/>
          <w:color w:val="000000" w:themeColor="text1"/>
          <w:sz w:val="20"/>
          <w:szCs w:val="20"/>
          <w:vertAlign w:val="superscript"/>
        </w:rPr>
        <w:t>[15]</w:t>
      </w:r>
      <w:r w:rsidRPr="0046206F">
        <w:rPr>
          <w:rFonts w:ascii="Times New Roman" w:hAnsi="Times New Roman" w:cs="Times New Roman"/>
          <w:color w:val="000000" w:themeColor="text1"/>
          <w:sz w:val="20"/>
          <w:szCs w:val="20"/>
        </w:rPr>
        <w:t xml:space="preserve"> achieved +5–15% accuracy improvement over supervised baselines across multiple downstream tasks. Défossez and colleagues extended this to MEG and EEG across 175 participants achieving top-1 accuracy of 41% </w:t>
      </w:r>
      <w:r w:rsidRPr="0046206F">
        <w:rPr>
          <w:rFonts w:ascii="Times New Roman" w:hAnsi="Times New Roman" w:cs="Times New Roman"/>
          <w:color w:val="000000" w:themeColor="text1"/>
          <w:sz w:val="20"/>
          <w:szCs w:val="20"/>
          <w:vertAlign w:val="superscript"/>
        </w:rPr>
        <w:t>[16]</w:t>
      </w:r>
      <w:r w:rsidRPr="0046206F">
        <w:rPr>
          <w:rFonts w:ascii="Times New Roman" w:hAnsi="Times New Roman" w:cs="Times New Roman"/>
          <w:color w:val="000000" w:themeColor="text1"/>
          <w:sz w:val="20"/>
          <w:szCs w:val="20"/>
        </w:rPr>
        <w:t xml:space="preserve">, whilst Wang and colleagues' BrainBERT applied BERT-style masked pre-training to intracranial EEG </w:t>
      </w:r>
      <w:r w:rsidRPr="0046206F">
        <w:rPr>
          <w:rFonts w:ascii="Times New Roman" w:hAnsi="Times New Roman" w:cs="Times New Roman"/>
          <w:color w:val="000000" w:themeColor="text1"/>
          <w:sz w:val="20"/>
          <w:szCs w:val="20"/>
          <w:vertAlign w:val="superscript"/>
        </w:rPr>
        <w:t>[17]</w:t>
      </w:r>
      <w:r w:rsidRPr="0046206F">
        <w:rPr>
          <w:rFonts w:ascii="Times New Roman" w:hAnsi="Times New Roman" w:cs="Times New Roman"/>
          <w:color w:val="000000" w:themeColor="text1"/>
          <w:sz w:val="20"/>
          <w:szCs w:val="20"/>
        </w:rPr>
        <w:t>. SSL approaches account for approximately 8 included studies and underpin the foundation model direction discussed below.</w:t>
      </w:r>
    </w:p>
    <w:p w14:paraId="1B49A11A"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 xml:space="preserve">►  FIGURE NOTE: </w:t>
      </w:r>
      <w:r w:rsidRPr="0046206F">
        <w:rPr>
          <w:rFonts w:ascii="Times New Roman" w:hAnsi="Times New Roman" w:cs="Times New Roman"/>
          <w:color w:val="000000" w:themeColor="text1"/>
          <w:sz w:val="20"/>
          <w:szCs w:val="20"/>
        </w:rPr>
        <w:t>Fig. 4.4: Reproduce Fig. 1 from Défossez et al. 2023 (Nat. Mach. Intell.) showing the contrastive SSL architecture for MEG/EEG, or Fig. 1 from Kostas et al. 2021 (Front. Hum. Neurosci.) showing the BENDR framework. Both are strong candidates for this architecture illustration.</w:t>
      </w:r>
    </w:p>
    <w:p w14:paraId="72B6244E"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lastRenderedPageBreak/>
        <w:t>4.7  LLM-Integrated Decoding and Foundation Models (2022–present)</w:t>
      </w:r>
    </w:p>
    <w:p w14:paraId="509BB793"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Only 14 of 71 studies (20%) in this review integrate a language model into the decoding pipeline — a finding that stands in sharp contrast to the volume of recent commentary on LLM integration in neural decoding. In these systems, a neural decoder p</w:t>
      </w:r>
      <w:r w:rsidRPr="0046206F">
        <w:rPr>
          <w:rFonts w:ascii="Times New Roman" w:hAnsi="Times New Roman" w:cs="Times New Roman"/>
          <w:color w:val="000000" w:themeColor="text1"/>
          <w:sz w:val="20"/>
          <w:szCs w:val="20"/>
          <w:vertAlign w:val="subscript"/>
        </w:rPr>
        <w:t>neural</w:t>
      </w:r>
      <w:r w:rsidRPr="0046206F">
        <w:rPr>
          <w:rFonts w:ascii="Times New Roman" w:hAnsi="Times New Roman" w:cs="Times New Roman"/>
          <w:color w:val="000000" w:themeColor="text1"/>
          <w:sz w:val="20"/>
          <w:szCs w:val="20"/>
        </w:rPr>
        <w:t>(</w:t>
      </w:r>
      <w:proofErr w:type="spellStart"/>
      <w:r w:rsidRPr="0046206F">
        <w:rPr>
          <w:rFonts w:ascii="Times New Roman" w:hAnsi="Times New Roman" w:cs="Times New Roman"/>
          <w:color w:val="000000" w:themeColor="text1"/>
          <w:sz w:val="20"/>
          <w:szCs w:val="20"/>
        </w:rPr>
        <w:t>y|x</w:t>
      </w:r>
      <w:proofErr w:type="spellEnd"/>
      <w:r w:rsidRPr="0046206F">
        <w:rPr>
          <w:rFonts w:ascii="Times New Roman" w:hAnsi="Times New Roman" w:cs="Times New Roman"/>
          <w:color w:val="000000" w:themeColor="text1"/>
          <w:sz w:val="20"/>
          <w:szCs w:val="20"/>
        </w:rPr>
        <w:t xml:space="preserve">) is combined with a language model prior </w:t>
      </w:r>
      <w:proofErr w:type="spellStart"/>
      <w:r w:rsidRPr="0046206F">
        <w:rPr>
          <w:rFonts w:ascii="Times New Roman" w:hAnsi="Times New Roman" w:cs="Times New Roman"/>
          <w:color w:val="000000" w:themeColor="text1"/>
          <w:sz w:val="20"/>
          <w:szCs w:val="20"/>
        </w:rPr>
        <w:t>p</w:t>
      </w:r>
      <w:r w:rsidRPr="0046206F">
        <w:rPr>
          <w:rFonts w:ascii="Times New Roman" w:hAnsi="Times New Roman" w:cs="Times New Roman"/>
          <w:color w:val="000000" w:themeColor="text1"/>
          <w:sz w:val="20"/>
          <w:szCs w:val="20"/>
          <w:vertAlign w:val="subscript"/>
        </w:rPr>
        <w:t>LM</w:t>
      </w:r>
      <w:proofErr w:type="spellEnd"/>
      <w:r w:rsidRPr="0046206F">
        <w:rPr>
          <w:rFonts w:ascii="Times New Roman" w:hAnsi="Times New Roman" w:cs="Times New Roman"/>
          <w:color w:val="000000" w:themeColor="text1"/>
          <w:sz w:val="20"/>
          <w:szCs w:val="20"/>
        </w:rPr>
        <w:t>(y) via log-linear interpolation during decoding:</w:t>
      </w:r>
    </w:p>
    <w:p w14:paraId="00DE6A2F" w14:textId="77777777" w:rsidR="00287410" w:rsidRPr="0046206F" w:rsidRDefault="00000000">
      <w:pPr>
        <w:tabs>
          <w:tab w:val="right" w:pos="8640"/>
        </w:tabs>
        <w:spacing w:before="60" w:after="60"/>
        <w:ind w:left="720"/>
        <w:rPr>
          <w:rFonts w:ascii="Times New Roman" w:hAnsi="Times New Roman" w:cs="Times New Roman"/>
          <w:color w:val="000000" w:themeColor="text1"/>
          <w:sz w:val="20"/>
          <w:szCs w:val="20"/>
        </w:rPr>
      </w:pPr>
      <w:r w:rsidRPr="0046206F">
        <w:rPr>
          <w:rFonts w:ascii="Times New Roman" w:eastAsia="Cambria Math" w:hAnsi="Times New Roman" w:cs="Times New Roman"/>
          <w:color w:val="000000" w:themeColor="text1"/>
          <w:sz w:val="20"/>
          <w:szCs w:val="20"/>
        </w:rPr>
        <w:t xml:space="preserve">y* = </w:t>
      </w:r>
      <w:proofErr w:type="spellStart"/>
      <w:r w:rsidRPr="0046206F">
        <w:rPr>
          <w:rFonts w:ascii="Times New Roman" w:eastAsia="Cambria Math" w:hAnsi="Times New Roman" w:cs="Times New Roman"/>
          <w:color w:val="000000" w:themeColor="text1"/>
          <w:sz w:val="20"/>
          <w:szCs w:val="20"/>
        </w:rPr>
        <w:t>argmax_y</w:t>
      </w:r>
      <w:proofErr w:type="spellEnd"/>
      <w:r w:rsidRPr="0046206F">
        <w:rPr>
          <w:rFonts w:ascii="Times New Roman" w:eastAsia="Cambria Math" w:hAnsi="Times New Roman" w:cs="Times New Roman"/>
          <w:color w:val="000000" w:themeColor="text1"/>
          <w:sz w:val="20"/>
          <w:szCs w:val="20"/>
        </w:rPr>
        <w:t xml:space="preserve"> [ log </w:t>
      </w:r>
      <w:proofErr w:type="spellStart"/>
      <w:r w:rsidRPr="0046206F">
        <w:rPr>
          <w:rFonts w:ascii="Times New Roman" w:eastAsia="Cambria Math" w:hAnsi="Times New Roman" w:cs="Times New Roman"/>
          <w:color w:val="000000" w:themeColor="text1"/>
          <w:sz w:val="20"/>
          <w:szCs w:val="20"/>
        </w:rPr>
        <w:t>p_neural</w:t>
      </w:r>
      <w:proofErr w:type="spellEnd"/>
      <w:r w:rsidRPr="0046206F">
        <w:rPr>
          <w:rFonts w:ascii="Times New Roman" w:eastAsia="Cambria Math" w:hAnsi="Times New Roman" w:cs="Times New Roman"/>
          <w:color w:val="000000" w:themeColor="text1"/>
          <w:sz w:val="20"/>
          <w:szCs w:val="20"/>
        </w:rPr>
        <w:t>(</w:t>
      </w:r>
      <w:proofErr w:type="spellStart"/>
      <w:r w:rsidRPr="0046206F">
        <w:rPr>
          <w:rFonts w:ascii="Times New Roman" w:eastAsia="Cambria Math" w:hAnsi="Times New Roman" w:cs="Times New Roman"/>
          <w:color w:val="000000" w:themeColor="text1"/>
          <w:sz w:val="20"/>
          <w:szCs w:val="20"/>
        </w:rPr>
        <w:t>y|x</w:t>
      </w:r>
      <w:proofErr w:type="spellEnd"/>
      <w:r w:rsidRPr="0046206F">
        <w:rPr>
          <w:rFonts w:ascii="Times New Roman" w:eastAsia="Cambria Math" w:hAnsi="Times New Roman" w:cs="Times New Roman"/>
          <w:color w:val="000000" w:themeColor="text1"/>
          <w:sz w:val="20"/>
          <w:szCs w:val="20"/>
        </w:rPr>
        <w:t xml:space="preserve">) + λ log </w:t>
      </w:r>
      <w:proofErr w:type="spellStart"/>
      <w:r w:rsidRPr="0046206F">
        <w:rPr>
          <w:rFonts w:ascii="Times New Roman" w:eastAsia="Cambria Math" w:hAnsi="Times New Roman" w:cs="Times New Roman"/>
          <w:color w:val="000000" w:themeColor="text1"/>
          <w:sz w:val="20"/>
          <w:szCs w:val="20"/>
        </w:rPr>
        <w:t>p_LM</w:t>
      </w:r>
      <w:proofErr w:type="spellEnd"/>
      <w:r w:rsidRPr="0046206F">
        <w:rPr>
          <w:rFonts w:ascii="Times New Roman" w:eastAsia="Cambria Math" w:hAnsi="Times New Roman" w:cs="Times New Roman"/>
          <w:color w:val="000000" w:themeColor="text1"/>
          <w:sz w:val="20"/>
          <w:szCs w:val="20"/>
        </w:rPr>
        <w:t>(y) ]</w:t>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r>
      <w:r w:rsidRPr="0046206F">
        <w:rPr>
          <w:rFonts w:ascii="Times New Roman" w:hAnsi="Times New Roman" w:cs="Times New Roman"/>
          <w:color w:val="000000" w:themeColor="text1"/>
          <w:sz w:val="20"/>
          <w:szCs w:val="20"/>
        </w:rPr>
        <w:tab/>
        <w:t>(7)</w:t>
      </w:r>
    </w:p>
    <w:p w14:paraId="6F9C3023"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 xml:space="preserve">where λ is a tunable interpolation weight. This simple post-hoc integration yields substantial WER reductions: Willett and colleagues reported WER improvement from 23% (decoder only) to 9% (with language model) on the 125k-word vocabulary </w:t>
      </w:r>
      <w:r w:rsidRPr="0046206F">
        <w:rPr>
          <w:rFonts w:ascii="Times New Roman" w:hAnsi="Times New Roman" w:cs="Times New Roman"/>
          <w:color w:val="000000" w:themeColor="text1"/>
          <w:sz w:val="20"/>
          <w:szCs w:val="20"/>
          <w:vertAlign w:val="superscript"/>
        </w:rPr>
        <w:t>[7]</w:t>
      </w:r>
      <w:r w:rsidRPr="0046206F">
        <w:rPr>
          <w:rFonts w:ascii="Times New Roman" w:hAnsi="Times New Roman" w:cs="Times New Roman"/>
          <w:color w:val="000000" w:themeColor="text1"/>
          <w:sz w:val="20"/>
          <w:szCs w:val="20"/>
        </w:rPr>
        <w:t xml:space="preserve">. More deeply integrated approaches align neural encoder representations directly with LLM latent spaces (Tang and colleagues </w:t>
      </w:r>
      <w:r w:rsidRPr="0046206F">
        <w:rPr>
          <w:rFonts w:ascii="Times New Roman" w:hAnsi="Times New Roman" w:cs="Times New Roman"/>
          <w:color w:val="000000" w:themeColor="text1"/>
          <w:sz w:val="20"/>
          <w:szCs w:val="20"/>
          <w:vertAlign w:val="superscript"/>
        </w:rPr>
        <w:t>[18]</w:t>
      </w:r>
      <w:r w:rsidRPr="0046206F">
        <w:rPr>
          <w:rFonts w:ascii="Times New Roman" w:hAnsi="Times New Roman" w:cs="Times New Roman"/>
          <w:color w:val="000000" w:themeColor="text1"/>
          <w:sz w:val="20"/>
          <w:szCs w:val="20"/>
        </w:rPr>
        <w:t xml:space="preserve">; Ye and colleagues </w:t>
      </w:r>
      <w:r w:rsidRPr="0046206F">
        <w:rPr>
          <w:rFonts w:ascii="Times New Roman" w:hAnsi="Times New Roman" w:cs="Times New Roman"/>
          <w:color w:val="000000" w:themeColor="text1"/>
          <w:sz w:val="20"/>
          <w:szCs w:val="20"/>
          <w:vertAlign w:val="superscript"/>
        </w:rPr>
        <w:t>[19]</w:t>
      </w:r>
      <w:r w:rsidRPr="0046206F">
        <w:rPr>
          <w:rFonts w:ascii="Times New Roman" w:hAnsi="Times New Roman" w:cs="Times New Roman"/>
          <w:color w:val="000000" w:themeColor="text1"/>
          <w:sz w:val="20"/>
          <w:szCs w:val="20"/>
        </w:rPr>
        <w:t xml:space="preserve">), enabling continuous semantic reconstruction from fMRI. Foundation models applying SSL pre-training across large multi-participant neural corpora — BrainBERT </w:t>
      </w:r>
      <w:r w:rsidRPr="0046206F">
        <w:rPr>
          <w:rFonts w:ascii="Times New Roman" w:hAnsi="Times New Roman" w:cs="Times New Roman"/>
          <w:color w:val="000000" w:themeColor="text1"/>
          <w:sz w:val="20"/>
          <w:szCs w:val="20"/>
          <w:vertAlign w:val="superscript"/>
        </w:rPr>
        <w:t>[17]</w:t>
      </w:r>
      <w:r w:rsidRPr="0046206F">
        <w:rPr>
          <w:rFonts w:ascii="Times New Roman" w:hAnsi="Times New Roman" w:cs="Times New Roman"/>
          <w:color w:val="000000" w:themeColor="text1"/>
          <w:sz w:val="20"/>
          <w:szCs w:val="20"/>
        </w:rPr>
        <w:t xml:space="preserve"> and Yuan and Makin's ECoG SSL </w:t>
      </w:r>
      <w:r w:rsidRPr="0046206F">
        <w:rPr>
          <w:rFonts w:ascii="Times New Roman" w:hAnsi="Times New Roman" w:cs="Times New Roman"/>
          <w:color w:val="000000" w:themeColor="text1"/>
          <w:sz w:val="20"/>
          <w:szCs w:val="20"/>
          <w:vertAlign w:val="superscript"/>
        </w:rPr>
        <w:t>[20]</w:t>
      </w:r>
      <w:r w:rsidRPr="0046206F">
        <w:rPr>
          <w:rFonts w:ascii="Times New Roman" w:hAnsi="Times New Roman" w:cs="Times New Roman"/>
          <w:color w:val="000000" w:themeColor="text1"/>
          <w:sz w:val="20"/>
          <w:szCs w:val="20"/>
        </w:rPr>
        <w:t xml:space="preserve"> — represent the nascent but growing trajectory towards modality-agnostic neural decoders.</w:t>
      </w:r>
    </w:p>
    <w:p w14:paraId="55EFAF38" w14:textId="77777777" w:rsidR="00287410" w:rsidRPr="0046206F" w:rsidRDefault="00000000">
      <w:pPr>
        <w:spacing w:before="40" w:after="100"/>
        <w:ind w:left="36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 xml:space="preserve">►  FIGURE NOTE: </w:t>
      </w:r>
      <w:r w:rsidRPr="0046206F">
        <w:rPr>
          <w:rFonts w:ascii="Times New Roman" w:hAnsi="Times New Roman" w:cs="Times New Roman"/>
          <w:color w:val="000000" w:themeColor="text1"/>
          <w:sz w:val="20"/>
          <w:szCs w:val="20"/>
        </w:rPr>
        <w:t xml:space="preserve">Fig. 4.5: Reproduce Fig. 1 from Tang et al. 2023 (Nat. Neurosci.) showing the brain-GPT alignment pipeline, or Fig. 1 from Wang et al. 2023 BrainBERT (ICLR 2023) showing the BERT-style </w:t>
      </w:r>
      <w:proofErr w:type="spellStart"/>
      <w:r w:rsidRPr="0046206F">
        <w:rPr>
          <w:rFonts w:ascii="Times New Roman" w:hAnsi="Times New Roman" w:cs="Times New Roman"/>
          <w:color w:val="000000" w:themeColor="text1"/>
          <w:sz w:val="20"/>
          <w:szCs w:val="20"/>
        </w:rPr>
        <w:t>iEEG</w:t>
      </w:r>
      <w:proofErr w:type="spellEnd"/>
      <w:r w:rsidRPr="0046206F">
        <w:rPr>
          <w:rFonts w:ascii="Times New Roman" w:hAnsi="Times New Roman" w:cs="Times New Roman"/>
          <w:color w:val="000000" w:themeColor="text1"/>
          <w:sz w:val="20"/>
          <w:szCs w:val="20"/>
        </w:rPr>
        <w:t xml:space="preserve"> pre-training framework. Both are high-impact figures with clear architecture diagrams.</w:t>
      </w:r>
    </w:p>
    <w:p w14:paraId="6721C9FD" w14:textId="77777777" w:rsidR="00287410" w:rsidRPr="0046206F" w:rsidRDefault="00000000">
      <w:pPr>
        <w:pStyle w:val="Heading2"/>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4.8  Architecture Evolution and Key Observations</w:t>
      </w:r>
    </w:p>
    <w:p w14:paraId="164ED62A" w14:textId="77777777" w:rsidR="00287410" w:rsidRPr="0046206F" w:rsidRDefault="00000000">
      <w:pPr>
        <w:spacing w:after="160" w:line="348" w:lineRule="auto"/>
        <w:jc w:val="both"/>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Fig. 2 illustrates the chronological transition across architecture classes. Three observations emerge directly from Table 3. First, the architecture that currently delivers the best clinical performance (RNN + language model) is not the most technically recent — transformers and SSL approaches are dominant in the literature but have not yet eclipsed RNNs in deployed clinical neuroprostheses, likely because clinical datasets are too small to saturate RNN capacity and too scarce to support transformer pre-training without SSL. Second, architecture class alone is insufficient to explain performance variation — vocabulary size, participant sample, and evaluation methodology confound any architecture-to-performance mapping (see Section 5). Third, LLM integration is the single largest driver of WER reduction in open-vocabulary systems, yet it applies to only 20% of included studies — representing a clear opportunity for the field to exploit.</w:t>
      </w:r>
    </w:p>
    <w:p w14:paraId="697AC845" w14:textId="77777777" w:rsidR="00287410" w:rsidRPr="0046206F" w:rsidRDefault="00287410">
      <w:pPr>
        <w:pBdr>
          <w:bottom w:val="single" w:sz="4" w:space="1" w:color="BDD7EE"/>
        </w:pBdr>
        <w:spacing w:after="200"/>
        <w:rPr>
          <w:rFonts w:ascii="Times New Roman" w:hAnsi="Times New Roman" w:cs="Times New Roman"/>
          <w:color w:val="000000" w:themeColor="text1"/>
          <w:sz w:val="20"/>
          <w:szCs w:val="20"/>
        </w:rPr>
      </w:pPr>
    </w:p>
    <w:p w14:paraId="2661F60E" w14:textId="77777777" w:rsidR="00287410" w:rsidRPr="0046206F" w:rsidRDefault="00000000">
      <w:pPr>
        <w:spacing w:before="280" w:after="12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References</w:t>
      </w:r>
    </w:p>
    <w:p w14:paraId="17293BA6" w14:textId="77777777" w:rsidR="00287410" w:rsidRPr="0046206F" w:rsidRDefault="00000000">
      <w:pPr>
        <w:spacing w:before="80" w:line="300" w:lineRule="auto"/>
        <w:rPr>
          <w:rFonts w:ascii="Times New Roman" w:hAnsi="Times New Roman" w:cs="Times New Roman"/>
          <w:color w:val="000000" w:themeColor="text1"/>
          <w:sz w:val="20"/>
          <w:szCs w:val="20"/>
        </w:rPr>
      </w:pPr>
      <w:r w:rsidRPr="0046206F">
        <w:rPr>
          <w:rFonts w:ascii="Times New Roman" w:hAnsi="Times New Roman" w:cs="Times New Roman"/>
          <w:color w:val="000000" w:themeColor="text1"/>
          <w:sz w:val="20"/>
          <w:szCs w:val="20"/>
        </w:rPr>
        <w:t>Section 4 references — to be renumbered in final manuscript pass.</w:t>
      </w:r>
    </w:p>
    <w:p w14:paraId="23E20A80" w14:textId="77777777" w:rsidR="00287410" w:rsidRPr="0046206F" w:rsidRDefault="00287410">
      <w:pPr>
        <w:spacing w:after="60"/>
        <w:rPr>
          <w:rFonts w:ascii="Times New Roman" w:hAnsi="Times New Roman" w:cs="Times New Roman"/>
          <w:color w:val="000000" w:themeColor="text1"/>
          <w:sz w:val="20"/>
          <w:szCs w:val="20"/>
        </w:rPr>
      </w:pPr>
    </w:p>
    <w:p w14:paraId="31B99702"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w:t>
      </w:r>
      <w:r w:rsidRPr="0046206F">
        <w:rPr>
          <w:rFonts w:ascii="Times New Roman" w:hAnsi="Times New Roman" w:cs="Times New Roman"/>
          <w:color w:val="000000" w:themeColor="text1"/>
          <w:sz w:val="20"/>
          <w:szCs w:val="20"/>
        </w:rPr>
        <w:tab/>
        <w:t xml:space="preserve">C. Herff, D. Heger, A. de Pesters, D. Telaar, P. Brunner, G. Schalk, and T. Schultz, "Brain-to-text: Decoding spoken phrases from phonetic representations in the brain," Front. Neurosci., vol. 9, Art. no. 217, Jun. 2015,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10.3389/fnins.2015.00217.</w:t>
      </w:r>
    </w:p>
    <w:p w14:paraId="37E2FEA5"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[2]</w:t>
      </w:r>
      <w:r w:rsidRPr="0046206F">
        <w:rPr>
          <w:rFonts w:ascii="Times New Roman" w:hAnsi="Times New Roman" w:cs="Times New Roman"/>
          <w:color w:val="000000" w:themeColor="text1"/>
          <w:sz w:val="20"/>
          <w:szCs w:val="20"/>
        </w:rPr>
        <w:tab/>
        <w:t xml:space="preserve">M. Angrick, C. Herff, E. M. Mugler, M. C. Tate, M. W. Slutzky, D. J. </w:t>
      </w:r>
      <w:proofErr w:type="spellStart"/>
      <w:r w:rsidRPr="0046206F">
        <w:rPr>
          <w:rFonts w:ascii="Times New Roman" w:hAnsi="Times New Roman" w:cs="Times New Roman"/>
          <w:color w:val="000000" w:themeColor="text1"/>
          <w:sz w:val="20"/>
          <w:szCs w:val="20"/>
        </w:rPr>
        <w:t>Krusienski</w:t>
      </w:r>
      <w:proofErr w:type="spellEnd"/>
      <w:r w:rsidRPr="0046206F">
        <w:rPr>
          <w:rFonts w:ascii="Times New Roman" w:hAnsi="Times New Roman" w:cs="Times New Roman"/>
          <w:color w:val="000000" w:themeColor="text1"/>
          <w:sz w:val="20"/>
          <w:szCs w:val="20"/>
        </w:rPr>
        <w:t xml:space="preserve">, and T. Schultz, "Speech synthesis from ECoG using densely connected 3D convolutional neural networks," J. Neural Eng., vol. 16, no. 3, Art. no. 036019, Apr. 2019,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10.1088/1741-2552/ab0c59.</w:t>
      </w:r>
    </w:p>
    <w:p w14:paraId="1A4FCE65"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lastRenderedPageBreak/>
        <w:t>[3]</w:t>
      </w:r>
      <w:r w:rsidRPr="0046206F">
        <w:rPr>
          <w:rFonts w:ascii="Times New Roman" w:hAnsi="Times New Roman" w:cs="Times New Roman"/>
          <w:color w:val="000000" w:themeColor="text1"/>
          <w:sz w:val="20"/>
          <w:szCs w:val="20"/>
        </w:rPr>
        <w:tab/>
        <w:t xml:space="preserve">X. Chen, R. Wang, A. </w:t>
      </w:r>
      <w:proofErr w:type="spellStart"/>
      <w:r w:rsidRPr="0046206F">
        <w:rPr>
          <w:rFonts w:ascii="Times New Roman" w:hAnsi="Times New Roman" w:cs="Times New Roman"/>
          <w:color w:val="000000" w:themeColor="text1"/>
          <w:sz w:val="20"/>
          <w:szCs w:val="20"/>
        </w:rPr>
        <w:t>Khalilian-Gourtani</w:t>
      </w:r>
      <w:proofErr w:type="spellEnd"/>
      <w:r w:rsidRPr="0046206F">
        <w:rPr>
          <w:rFonts w:ascii="Times New Roman" w:hAnsi="Times New Roman" w:cs="Times New Roman"/>
          <w:color w:val="000000" w:themeColor="text1"/>
          <w:sz w:val="20"/>
          <w:szCs w:val="20"/>
        </w:rPr>
        <w:t xml:space="preserve">, L. Yu, P. Dugan, D. Friedman, W. Doyle, O. Devinsky, Y. Wang, and A. Flinker, "A neural speech decoding framework leveraging deep learning and speech synthesis," Nat. Mach. Intell., vol. 6, no. 4, pp. 467–480, Apr. 2024,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10.1038/s42256-024-00824-8.</w:t>
      </w:r>
    </w:p>
    <w:p w14:paraId="02ADB2FD"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[4]</w:t>
      </w:r>
      <w:r w:rsidRPr="0046206F">
        <w:rPr>
          <w:rFonts w:ascii="Times New Roman" w:hAnsi="Times New Roman" w:cs="Times New Roman"/>
          <w:color w:val="000000" w:themeColor="text1"/>
          <w:sz w:val="20"/>
          <w:szCs w:val="20"/>
        </w:rPr>
        <w:tab/>
        <w:t xml:space="preserve">V. J. </w:t>
      </w:r>
      <w:proofErr w:type="spellStart"/>
      <w:r w:rsidRPr="0046206F">
        <w:rPr>
          <w:rFonts w:ascii="Times New Roman" w:hAnsi="Times New Roman" w:cs="Times New Roman"/>
          <w:color w:val="000000" w:themeColor="text1"/>
          <w:sz w:val="20"/>
          <w:szCs w:val="20"/>
        </w:rPr>
        <w:t>Lawhern</w:t>
      </w:r>
      <w:proofErr w:type="spellEnd"/>
      <w:r w:rsidRPr="0046206F">
        <w:rPr>
          <w:rFonts w:ascii="Times New Roman" w:hAnsi="Times New Roman" w:cs="Times New Roman"/>
          <w:color w:val="000000" w:themeColor="text1"/>
          <w:sz w:val="20"/>
          <w:szCs w:val="20"/>
        </w:rPr>
        <w:t xml:space="preserve">, A. J. Solon, N. R. </w:t>
      </w:r>
      <w:proofErr w:type="spellStart"/>
      <w:r w:rsidRPr="0046206F">
        <w:rPr>
          <w:rFonts w:ascii="Times New Roman" w:hAnsi="Times New Roman" w:cs="Times New Roman"/>
          <w:color w:val="000000" w:themeColor="text1"/>
          <w:sz w:val="20"/>
          <w:szCs w:val="20"/>
        </w:rPr>
        <w:t>Waytowich</w:t>
      </w:r>
      <w:proofErr w:type="spellEnd"/>
      <w:r w:rsidRPr="0046206F">
        <w:rPr>
          <w:rFonts w:ascii="Times New Roman" w:hAnsi="Times New Roman" w:cs="Times New Roman"/>
          <w:color w:val="000000" w:themeColor="text1"/>
          <w:sz w:val="20"/>
          <w:szCs w:val="20"/>
        </w:rPr>
        <w:t xml:space="preserve">, S. M. Gordon, C. P. Hung, and B. J. Lance, "EEGNet: A compact convolutional neural network for EEG-based brain–computer interfaces," J. Neural Eng., vol. 15, no. 5, Art. no. 056013, Aug. 2018,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10.1088/1741-2552/aace8c.</w:t>
      </w:r>
    </w:p>
    <w:p w14:paraId="5CB85386"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[5]</w:t>
      </w:r>
      <w:r w:rsidRPr="0046206F">
        <w:rPr>
          <w:rFonts w:ascii="Times New Roman" w:hAnsi="Times New Roman" w:cs="Times New Roman"/>
          <w:color w:val="000000" w:themeColor="text1"/>
          <w:sz w:val="20"/>
          <w:szCs w:val="20"/>
        </w:rPr>
        <w:tab/>
        <w:t xml:space="preserve">S. Hochreiter and J. </w:t>
      </w:r>
      <w:proofErr w:type="spellStart"/>
      <w:r w:rsidRPr="0046206F">
        <w:rPr>
          <w:rFonts w:ascii="Times New Roman" w:hAnsi="Times New Roman" w:cs="Times New Roman"/>
          <w:color w:val="000000" w:themeColor="text1"/>
          <w:sz w:val="20"/>
          <w:szCs w:val="20"/>
        </w:rPr>
        <w:t>Schmidhuber</w:t>
      </w:r>
      <w:proofErr w:type="spellEnd"/>
      <w:r w:rsidRPr="0046206F">
        <w:rPr>
          <w:rFonts w:ascii="Times New Roman" w:hAnsi="Times New Roman" w:cs="Times New Roman"/>
          <w:color w:val="000000" w:themeColor="text1"/>
          <w:sz w:val="20"/>
          <w:szCs w:val="20"/>
        </w:rPr>
        <w:t xml:space="preserve">, "Long short-term memory," Neural </w:t>
      </w:r>
      <w:proofErr w:type="spellStart"/>
      <w:r w:rsidRPr="0046206F">
        <w:rPr>
          <w:rFonts w:ascii="Times New Roman" w:hAnsi="Times New Roman" w:cs="Times New Roman"/>
          <w:color w:val="000000" w:themeColor="text1"/>
          <w:sz w:val="20"/>
          <w:szCs w:val="20"/>
        </w:rPr>
        <w:t>Comput</w:t>
      </w:r>
      <w:proofErr w:type="spellEnd"/>
      <w:r w:rsidRPr="0046206F">
        <w:rPr>
          <w:rFonts w:ascii="Times New Roman" w:hAnsi="Times New Roman" w:cs="Times New Roman"/>
          <w:color w:val="000000" w:themeColor="text1"/>
          <w:sz w:val="20"/>
          <w:szCs w:val="20"/>
        </w:rPr>
        <w:t xml:space="preserve">., vol. 9, no. 8, pp. 1735–1780, Nov. 1997,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10.1162/neco.1997.9.8.1735.</w:t>
      </w:r>
    </w:p>
    <w:p w14:paraId="26691DB1"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[6]</w:t>
      </w:r>
      <w:r w:rsidRPr="0046206F">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10.1056/NEJMoa2314132.</w:t>
      </w:r>
    </w:p>
    <w:p w14:paraId="29A4C9E5"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[7]</w:t>
      </w:r>
      <w:r w:rsidRPr="0046206F">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10.1038/s41586-023-06377-x.</w:t>
      </w:r>
    </w:p>
    <w:p w14:paraId="31E231AE"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[8]</w:t>
      </w:r>
      <w:r w:rsidRPr="0046206F">
        <w:rPr>
          <w:rFonts w:ascii="Times New Roman" w:hAnsi="Times New Roman" w:cs="Times New Roman"/>
          <w:color w:val="000000" w:themeColor="text1"/>
          <w:sz w:val="20"/>
          <w:szCs w:val="20"/>
        </w:rPr>
        <w:tab/>
        <w:t xml:space="preserve">I. </w:t>
      </w:r>
      <w:proofErr w:type="spellStart"/>
      <w:r w:rsidRPr="0046206F">
        <w:rPr>
          <w:rFonts w:ascii="Times New Roman" w:hAnsi="Times New Roman" w:cs="Times New Roman"/>
          <w:color w:val="000000" w:themeColor="text1"/>
          <w:sz w:val="20"/>
          <w:szCs w:val="20"/>
        </w:rPr>
        <w:t>Sutskever</w:t>
      </w:r>
      <w:proofErr w:type="spellEnd"/>
      <w:r w:rsidRPr="0046206F">
        <w:rPr>
          <w:rFonts w:ascii="Times New Roman" w:hAnsi="Times New Roman" w:cs="Times New Roman"/>
          <w:color w:val="000000" w:themeColor="text1"/>
          <w:sz w:val="20"/>
          <w:szCs w:val="20"/>
        </w:rPr>
        <w:t xml:space="preserve">, O. </w:t>
      </w:r>
      <w:proofErr w:type="spellStart"/>
      <w:r w:rsidRPr="0046206F">
        <w:rPr>
          <w:rFonts w:ascii="Times New Roman" w:hAnsi="Times New Roman" w:cs="Times New Roman"/>
          <w:color w:val="000000" w:themeColor="text1"/>
          <w:sz w:val="20"/>
          <w:szCs w:val="20"/>
        </w:rPr>
        <w:t>Vinyals</w:t>
      </w:r>
      <w:proofErr w:type="spellEnd"/>
      <w:r w:rsidRPr="0046206F">
        <w:rPr>
          <w:rFonts w:ascii="Times New Roman" w:hAnsi="Times New Roman" w:cs="Times New Roman"/>
          <w:color w:val="000000" w:themeColor="text1"/>
          <w:sz w:val="20"/>
          <w:szCs w:val="20"/>
        </w:rPr>
        <w:t>, and Q. V. Le, "Sequence to sequence learning with neural networks," in Proc. Adv. Neural Inf. Process. Syst. (NeurIPS), 2014, pp. 3104–3112.</w:t>
      </w:r>
    </w:p>
    <w:p w14:paraId="4D98B1BB"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[9]</w:t>
      </w:r>
      <w:r w:rsidRPr="0046206F">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Neurosci., vol. 23, no. 4, pp. 575–582, Apr. 2020,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10.1038/s41593-020-0608-8.</w:t>
      </w:r>
    </w:p>
    <w:p w14:paraId="75E744BF"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[10]</w:t>
      </w:r>
      <w:r w:rsidRPr="0046206F">
        <w:rPr>
          <w:rFonts w:ascii="Times New Roman" w:hAnsi="Times New Roman" w:cs="Times New Roman"/>
          <w:color w:val="000000" w:themeColor="text1"/>
          <w:sz w:val="20"/>
          <w:szCs w:val="20"/>
        </w:rPr>
        <w:tab/>
        <w:t xml:space="preserve">G. K. Anumanchipalli, J. Chartier, and E. F. Chang, "Speech synthesis from neural decoding of spoken sentences," Nature, vol. 568, no. 7753, pp. 493–498, Apr. 2019,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10.1038/s41586-019-1119-1.</w:t>
      </w:r>
    </w:p>
    <w:p w14:paraId="44455038"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[11]</w:t>
      </w:r>
      <w:r w:rsidRPr="0046206F">
        <w:rPr>
          <w:rFonts w:ascii="Times New Roman" w:hAnsi="Times New Roman" w:cs="Times New Roman"/>
          <w:color w:val="000000" w:themeColor="text1"/>
          <w:sz w:val="20"/>
          <w:szCs w:val="20"/>
        </w:rPr>
        <w:tab/>
        <w:t>A. Vaswani et al., "Attention is all you need," in Proc. Adv. Neural Inf. Process. Syst. (NeurIPS), 2017, pp. 5998–6008. [Online]. Available: https://arxiv.org/abs/1706.03762</w:t>
      </w:r>
    </w:p>
    <w:p w14:paraId="32233F59"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[12]</w:t>
      </w:r>
      <w:r w:rsidRPr="0046206F">
        <w:rPr>
          <w:rFonts w:ascii="Times New Roman" w:hAnsi="Times New Roman" w:cs="Times New Roman"/>
          <w:color w:val="000000" w:themeColor="text1"/>
          <w:sz w:val="20"/>
          <w:szCs w:val="20"/>
        </w:rPr>
        <w:tab/>
        <w:t xml:space="preserve">Z. Wang and M. Ji, "Open vocabulary EEG-to-text decoding and zero-shot sentiment classification," in Proc. AAAI Conf. </w:t>
      </w:r>
      <w:proofErr w:type="spellStart"/>
      <w:r w:rsidRPr="0046206F">
        <w:rPr>
          <w:rFonts w:ascii="Times New Roman" w:hAnsi="Times New Roman" w:cs="Times New Roman"/>
          <w:color w:val="000000" w:themeColor="text1"/>
          <w:sz w:val="20"/>
          <w:szCs w:val="20"/>
        </w:rPr>
        <w:t>Artif</w:t>
      </w:r>
      <w:proofErr w:type="spellEnd"/>
      <w:r w:rsidRPr="0046206F">
        <w:rPr>
          <w:rFonts w:ascii="Times New Roman" w:hAnsi="Times New Roman" w:cs="Times New Roman"/>
          <w:color w:val="000000" w:themeColor="text1"/>
          <w:sz w:val="20"/>
          <w:szCs w:val="20"/>
        </w:rPr>
        <w:t>. Intell., 2022, vol. 36, pp. 5350–5358.</w:t>
      </w:r>
    </w:p>
    <w:p w14:paraId="0D420C5B"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[13]</w:t>
      </w:r>
      <w:r w:rsidRPr="0046206F">
        <w:rPr>
          <w:rFonts w:ascii="Times New Roman" w:hAnsi="Times New Roman" w:cs="Times New Roman"/>
          <w:color w:val="000000" w:themeColor="text1"/>
          <w:sz w:val="20"/>
          <w:szCs w:val="20"/>
        </w:rPr>
        <w:tab/>
        <w:t>S. d'Ascoli et al., "Towards decoding individual words from non-invasive brain recordings," Nat. Commun., 2025. [Verify DOI].</w:t>
      </w:r>
    </w:p>
    <w:p w14:paraId="39E0BC6D"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[14]</w:t>
      </w:r>
      <w:r w:rsidRPr="0046206F">
        <w:rPr>
          <w:rFonts w:ascii="Times New Roman" w:hAnsi="Times New Roman" w:cs="Times New Roman"/>
          <w:color w:val="000000" w:themeColor="text1"/>
          <w:sz w:val="20"/>
          <w:szCs w:val="20"/>
        </w:rPr>
        <w:tab/>
        <w:t xml:space="preserve">T. Chen, S. </w:t>
      </w:r>
      <w:proofErr w:type="spellStart"/>
      <w:r w:rsidRPr="0046206F">
        <w:rPr>
          <w:rFonts w:ascii="Times New Roman" w:hAnsi="Times New Roman" w:cs="Times New Roman"/>
          <w:color w:val="000000" w:themeColor="text1"/>
          <w:sz w:val="20"/>
          <w:szCs w:val="20"/>
        </w:rPr>
        <w:t>Kornblith</w:t>
      </w:r>
      <w:proofErr w:type="spellEnd"/>
      <w:r w:rsidRPr="0046206F">
        <w:rPr>
          <w:rFonts w:ascii="Times New Roman" w:hAnsi="Times New Roman" w:cs="Times New Roman"/>
          <w:color w:val="000000" w:themeColor="text1"/>
          <w:sz w:val="20"/>
          <w:szCs w:val="20"/>
        </w:rPr>
        <w:t>, M. Norouzi, and G. Hinton, "A simple framework for contrastive learning of visual representations," in Proc. Int. Conf. Mach. Learn. (ICML), 2020, pp. 1597–1607.</w:t>
      </w:r>
    </w:p>
    <w:p w14:paraId="7DA9725E"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[15]</w:t>
      </w:r>
      <w:r w:rsidRPr="0046206F">
        <w:rPr>
          <w:rFonts w:ascii="Times New Roman" w:hAnsi="Times New Roman" w:cs="Times New Roman"/>
          <w:color w:val="000000" w:themeColor="text1"/>
          <w:sz w:val="20"/>
          <w:szCs w:val="20"/>
        </w:rPr>
        <w:tab/>
        <w:t xml:space="preserve">D. Kostas, S. Aroca-Ouellette, F. A. A. Kingdom, and F. Bhatt, "BENDR: Using transformers and a contrastive self-supervised learning task to learn from massive amounts of EEG data," Front. Hum. Neurosci., vol. 15, Art. no. 653659, Aug. 2021,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10.3389/fnhum.2021.653659.</w:t>
      </w:r>
    </w:p>
    <w:p w14:paraId="68957901"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[16]</w:t>
      </w:r>
      <w:r w:rsidRPr="0046206F">
        <w:rPr>
          <w:rFonts w:ascii="Times New Roman" w:hAnsi="Times New Roman" w:cs="Times New Roman"/>
          <w:color w:val="000000" w:themeColor="text1"/>
          <w:sz w:val="20"/>
          <w:szCs w:val="20"/>
        </w:rPr>
        <w:tab/>
        <w:t xml:space="preserve">A. Défossez, C. </w:t>
      </w:r>
      <w:proofErr w:type="spellStart"/>
      <w:r w:rsidRPr="0046206F">
        <w:rPr>
          <w:rFonts w:ascii="Times New Roman" w:hAnsi="Times New Roman" w:cs="Times New Roman"/>
          <w:color w:val="000000" w:themeColor="text1"/>
          <w:sz w:val="20"/>
          <w:szCs w:val="20"/>
        </w:rPr>
        <w:t>Caucheteux</w:t>
      </w:r>
      <w:proofErr w:type="spellEnd"/>
      <w:r w:rsidRPr="0046206F">
        <w:rPr>
          <w:rFonts w:ascii="Times New Roman" w:hAnsi="Times New Roman" w:cs="Times New Roman"/>
          <w:color w:val="000000" w:themeColor="text1"/>
          <w:sz w:val="20"/>
          <w:szCs w:val="20"/>
        </w:rPr>
        <w:t xml:space="preserve">, J. Rapin, O. </w:t>
      </w:r>
      <w:proofErr w:type="spellStart"/>
      <w:r w:rsidRPr="0046206F">
        <w:rPr>
          <w:rFonts w:ascii="Times New Roman" w:hAnsi="Times New Roman" w:cs="Times New Roman"/>
          <w:color w:val="000000" w:themeColor="text1"/>
          <w:sz w:val="20"/>
          <w:szCs w:val="20"/>
        </w:rPr>
        <w:t>Kabeli</w:t>
      </w:r>
      <w:proofErr w:type="spellEnd"/>
      <w:r w:rsidRPr="0046206F">
        <w:rPr>
          <w:rFonts w:ascii="Times New Roman" w:hAnsi="Times New Roman" w:cs="Times New Roman"/>
          <w:color w:val="000000" w:themeColor="text1"/>
          <w:sz w:val="20"/>
          <w:szCs w:val="20"/>
        </w:rPr>
        <w:t xml:space="preserve">, and J.-R. King, "Decoding speech perception from non-invasive brain recordings," Nat. Mach. Intell., vol. 5, no. 10, pp. 1097–1107, Oct. 2023,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10.1038/s42256-023-00714-5.</w:t>
      </w:r>
    </w:p>
    <w:p w14:paraId="49501B1E"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[17]</w:t>
      </w:r>
      <w:r w:rsidRPr="0046206F">
        <w:rPr>
          <w:rFonts w:ascii="Times New Roman" w:hAnsi="Times New Roman" w:cs="Times New Roman"/>
          <w:color w:val="000000" w:themeColor="text1"/>
          <w:sz w:val="20"/>
          <w:szCs w:val="20"/>
        </w:rPr>
        <w:tab/>
        <w:t xml:space="preserve">Y. Wang, N. Chehab, A. </w:t>
      </w:r>
      <w:proofErr w:type="spellStart"/>
      <w:r w:rsidRPr="0046206F">
        <w:rPr>
          <w:rFonts w:ascii="Times New Roman" w:hAnsi="Times New Roman" w:cs="Times New Roman"/>
          <w:color w:val="000000" w:themeColor="text1"/>
          <w:sz w:val="20"/>
          <w:szCs w:val="20"/>
        </w:rPr>
        <w:t>Gramfort</w:t>
      </w:r>
      <w:proofErr w:type="spellEnd"/>
      <w:r w:rsidRPr="0046206F">
        <w:rPr>
          <w:rFonts w:ascii="Times New Roman" w:hAnsi="Times New Roman" w:cs="Times New Roman"/>
          <w:color w:val="000000" w:themeColor="text1"/>
          <w:sz w:val="20"/>
          <w:szCs w:val="20"/>
        </w:rPr>
        <w:t>, and J.-R. King, "BrainBERT: Self-supervised representation learning for intracranial recordings," in Proc. Int. Conf. Learn. Represent. (ICLR), 2023. [Online]. Available: https://arxiv.org/abs/2302.14367</w:t>
      </w:r>
    </w:p>
    <w:p w14:paraId="212D1C20"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[18]</w:t>
      </w:r>
      <w:r w:rsidRPr="0046206F">
        <w:rPr>
          <w:rFonts w:ascii="Times New Roman" w:hAnsi="Times New Roman" w:cs="Times New Roman"/>
          <w:color w:val="000000" w:themeColor="text1"/>
          <w:sz w:val="20"/>
          <w:szCs w:val="20"/>
        </w:rPr>
        <w:tab/>
        <w:t xml:space="preserve">J. Tang, A. </w:t>
      </w:r>
      <w:proofErr w:type="spellStart"/>
      <w:r w:rsidRPr="0046206F">
        <w:rPr>
          <w:rFonts w:ascii="Times New Roman" w:hAnsi="Times New Roman" w:cs="Times New Roman"/>
          <w:color w:val="000000" w:themeColor="text1"/>
          <w:sz w:val="20"/>
          <w:szCs w:val="20"/>
        </w:rPr>
        <w:t>LeBel</w:t>
      </w:r>
      <w:proofErr w:type="spellEnd"/>
      <w:r w:rsidRPr="0046206F">
        <w:rPr>
          <w:rFonts w:ascii="Times New Roman" w:hAnsi="Times New Roman" w:cs="Times New Roman"/>
          <w:color w:val="000000" w:themeColor="text1"/>
          <w:sz w:val="20"/>
          <w:szCs w:val="20"/>
        </w:rPr>
        <w:t xml:space="preserve">, S. Jain, and A. G. Huth, "Semantic reconstruction of continuous language from non-invasive brain recordings," Nat. Neurosci., vol. 26, no. 5, pp. 858–866, May 2023,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10.1038/s41593-023-01304-9.</w:t>
      </w:r>
    </w:p>
    <w:p w14:paraId="5A9CC360"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[19]</w:t>
      </w:r>
      <w:r w:rsidRPr="0046206F">
        <w:rPr>
          <w:rFonts w:ascii="Times New Roman" w:hAnsi="Times New Roman" w:cs="Times New Roman"/>
          <w:color w:val="000000" w:themeColor="text1"/>
          <w:sz w:val="20"/>
          <w:szCs w:val="20"/>
        </w:rPr>
        <w:tab/>
        <w:t xml:space="preserve">Z. Ye, Q. Ai, Y. Liu, M. Zhang, C. </w:t>
      </w:r>
      <w:proofErr w:type="spellStart"/>
      <w:r w:rsidRPr="0046206F">
        <w:rPr>
          <w:rFonts w:ascii="Times New Roman" w:hAnsi="Times New Roman" w:cs="Times New Roman"/>
          <w:color w:val="000000" w:themeColor="text1"/>
          <w:sz w:val="20"/>
          <w:szCs w:val="20"/>
        </w:rPr>
        <w:t>Lioma</w:t>
      </w:r>
      <w:proofErr w:type="spellEnd"/>
      <w:r w:rsidRPr="0046206F">
        <w:rPr>
          <w:rFonts w:ascii="Times New Roman" w:hAnsi="Times New Roman" w:cs="Times New Roman"/>
          <w:color w:val="000000" w:themeColor="text1"/>
          <w:sz w:val="20"/>
          <w:szCs w:val="20"/>
        </w:rPr>
        <w:t xml:space="preserve">, and T. </w:t>
      </w:r>
      <w:proofErr w:type="spellStart"/>
      <w:r w:rsidRPr="0046206F">
        <w:rPr>
          <w:rFonts w:ascii="Times New Roman" w:hAnsi="Times New Roman" w:cs="Times New Roman"/>
          <w:color w:val="000000" w:themeColor="text1"/>
          <w:sz w:val="20"/>
          <w:szCs w:val="20"/>
        </w:rPr>
        <w:t>Ruotsalo</w:t>
      </w:r>
      <w:proofErr w:type="spellEnd"/>
      <w:r w:rsidRPr="0046206F">
        <w:rPr>
          <w:rFonts w:ascii="Times New Roman" w:hAnsi="Times New Roman" w:cs="Times New Roman"/>
          <w:color w:val="000000" w:themeColor="text1"/>
          <w:sz w:val="20"/>
          <w:szCs w:val="20"/>
        </w:rPr>
        <w:t xml:space="preserve">, "Generative language reconstruction from brain recordings," Commun. Biol., vol. 8, 2025, </w:t>
      </w:r>
      <w:proofErr w:type="spellStart"/>
      <w:r w:rsidRPr="0046206F">
        <w:rPr>
          <w:rFonts w:ascii="Times New Roman" w:hAnsi="Times New Roman" w:cs="Times New Roman"/>
          <w:color w:val="000000" w:themeColor="text1"/>
          <w:sz w:val="20"/>
          <w:szCs w:val="20"/>
        </w:rPr>
        <w:t>doi</w:t>
      </w:r>
      <w:proofErr w:type="spellEnd"/>
      <w:r w:rsidRPr="0046206F">
        <w:rPr>
          <w:rFonts w:ascii="Times New Roman" w:hAnsi="Times New Roman" w:cs="Times New Roman"/>
          <w:color w:val="000000" w:themeColor="text1"/>
          <w:sz w:val="20"/>
          <w:szCs w:val="20"/>
        </w:rPr>
        <w:t>: 10.1038/s42003-025-07731-7.</w:t>
      </w:r>
    </w:p>
    <w:p w14:paraId="4B002C37" w14:textId="77777777" w:rsidR="00287410" w:rsidRPr="0046206F" w:rsidRDefault="00000000">
      <w:pPr>
        <w:spacing w:after="80" w:line="300" w:lineRule="auto"/>
        <w:ind w:left="480" w:hanging="480"/>
        <w:rPr>
          <w:rFonts w:ascii="Times New Roman" w:hAnsi="Times New Roman" w:cs="Times New Roman"/>
          <w:color w:val="000000" w:themeColor="text1"/>
          <w:sz w:val="20"/>
          <w:szCs w:val="20"/>
        </w:rPr>
      </w:pPr>
      <w:r w:rsidRPr="0046206F">
        <w:rPr>
          <w:rFonts w:ascii="Times New Roman" w:hAnsi="Times New Roman" w:cs="Times New Roman"/>
          <w:b/>
          <w:bCs/>
          <w:color w:val="000000" w:themeColor="text1"/>
          <w:sz w:val="20"/>
          <w:szCs w:val="20"/>
        </w:rPr>
        <w:t>[20]</w:t>
      </w:r>
      <w:r w:rsidRPr="0046206F">
        <w:rPr>
          <w:rFonts w:ascii="Times New Roman" w:hAnsi="Times New Roman" w:cs="Times New Roman"/>
          <w:color w:val="000000" w:themeColor="text1"/>
          <w:sz w:val="20"/>
          <w:szCs w:val="20"/>
        </w:rPr>
        <w:tab/>
        <w:t>B. A. Yuan and J. G. Makin, "Improving speech decoding from ECoG with self-supervised pretraining," arXiv preprint arXiv:2405.18639, May 2024.</w:t>
      </w:r>
    </w:p>
    <w:sectPr w:rsidR="00287410" w:rsidRPr="0046206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B40D" w14:textId="77777777" w:rsidR="00935BB0" w:rsidRDefault="00935BB0">
      <w:r>
        <w:separator/>
      </w:r>
    </w:p>
  </w:endnote>
  <w:endnote w:type="continuationSeparator" w:id="0">
    <w:p w14:paraId="4604F61D" w14:textId="77777777" w:rsidR="00935BB0" w:rsidRDefault="00935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6853" w14:textId="77777777" w:rsidR="00287410" w:rsidRDefault="00000000">
    <w:pPr>
      <w:pBdr>
        <w:top w:val="single" w:sz="4" w:space="1" w:color="2E75B6"/>
      </w:pBdr>
      <w:tabs>
        <w:tab w:val="right" w:pos="9026"/>
      </w:tabs>
      <w:spacing w:before="80"/>
    </w:pPr>
    <w:r>
      <w:rPr>
        <w:color w:val="595959"/>
        <w:sz w:val="18"/>
        <w:szCs w:val="18"/>
      </w:rPr>
      <w:t>Adeika &amp; Osuagwu  |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1168" w14:textId="77777777" w:rsidR="00935BB0" w:rsidRDefault="00935BB0">
      <w:r>
        <w:separator/>
      </w:r>
    </w:p>
  </w:footnote>
  <w:footnote w:type="continuationSeparator" w:id="0">
    <w:p w14:paraId="297D1966" w14:textId="77777777" w:rsidR="00935BB0" w:rsidRDefault="00935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870F" w14:textId="77777777" w:rsidR="00287410"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0633"/>
    <w:multiLevelType w:val="hybridMultilevel"/>
    <w:tmpl w:val="00F044C8"/>
    <w:lvl w:ilvl="0" w:tplc="1FD23810">
      <w:start w:val="1"/>
      <w:numFmt w:val="bullet"/>
      <w:lvlText w:val="●"/>
      <w:lvlJc w:val="left"/>
      <w:pPr>
        <w:ind w:left="720" w:hanging="360"/>
      </w:pPr>
    </w:lvl>
    <w:lvl w:ilvl="1" w:tplc="4580D472">
      <w:start w:val="1"/>
      <w:numFmt w:val="bullet"/>
      <w:lvlText w:val="○"/>
      <w:lvlJc w:val="left"/>
      <w:pPr>
        <w:ind w:left="1440" w:hanging="360"/>
      </w:pPr>
    </w:lvl>
    <w:lvl w:ilvl="2" w:tplc="A3B85BD8">
      <w:start w:val="1"/>
      <w:numFmt w:val="bullet"/>
      <w:lvlText w:val="■"/>
      <w:lvlJc w:val="left"/>
      <w:pPr>
        <w:ind w:left="2160" w:hanging="360"/>
      </w:pPr>
    </w:lvl>
    <w:lvl w:ilvl="3" w:tplc="0010BA8A">
      <w:start w:val="1"/>
      <w:numFmt w:val="bullet"/>
      <w:lvlText w:val="●"/>
      <w:lvlJc w:val="left"/>
      <w:pPr>
        <w:ind w:left="2880" w:hanging="360"/>
      </w:pPr>
    </w:lvl>
    <w:lvl w:ilvl="4" w:tplc="D56298D8">
      <w:start w:val="1"/>
      <w:numFmt w:val="bullet"/>
      <w:lvlText w:val="○"/>
      <w:lvlJc w:val="left"/>
      <w:pPr>
        <w:ind w:left="3600" w:hanging="360"/>
      </w:pPr>
    </w:lvl>
    <w:lvl w:ilvl="5" w:tplc="1CD8CF50">
      <w:start w:val="1"/>
      <w:numFmt w:val="bullet"/>
      <w:lvlText w:val="■"/>
      <w:lvlJc w:val="left"/>
      <w:pPr>
        <w:ind w:left="4320" w:hanging="360"/>
      </w:pPr>
    </w:lvl>
    <w:lvl w:ilvl="6" w:tplc="F092D0EC">
      <w:start w:val="1"/>
      <w:numFmt w:val="bullet"/>
      <w:lvlText w:val="●"/>
      <w:lvlJc w:val="left"/>
      <w:pPr>
        <w:ind w:left="5040" w:hanging="360"/>
      </w:pPr>
    </w:lvl>
    <w:lvl w:ilvl="7" w:tplc="A2D2DD04">
      <w:start w:val="1"/>
      <w:numFmt w:val="bullet"/>
      <w:lvlText w:val="●"/>
      <w:lvlJc w:val="left"/>
      <w:pPr>
        <w:ind w:left="5760" w:hanging="360"/>
      </w:pPr>
    </w:lvl>
    <w:lvl w:ilvl="8" w:tplc="5C28FF6E">
      <w:start w:val="1"/>
      <w:numFmt w:val="bullet"/>
      <w:lvlText w:val="●"/>
      <w:lvlJc w:val="left"/>
      <w:pPr>
        <w:ind w:left="6480" w:hanging="360"/>
      </w:pPr>
    </w:lvl>
  </w:abstractNum>
  <w:num w:numId="1" w16cid:durableId="1720662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10"/>
    <w:rsid w:val="00287410"/>
    <w:rsid w:val="0046206F"/>
    <w:rsid w:val="00642479"/>
    <w:rsid w:val="007842BD"/>
    <w:rsid w:val="008B37A7"/>
    <w:rsid w:val="00935BB0"/>
    <w:rsid w:val="00A95BBD"/>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51D07"/>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spacing w:before="20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2202</Words>
  <Characters>12552</Characters>
  <Application>Microsoft Office Word</Application>
  <DocSecurity>0</DocSecurity>
  <Lines>104</Lines>
  <Paragraphs>29</Paragraphs>
  <ScaleCrop>false</ScaleCrop>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4</cp:revision>
  <dcterms:created xsi:type="dcterms:W3CDTF">2026-05-01T06:24:00Z</dcterms:created>
  <dcterms:modified xsi:type="dcterms:W3CDTF">2026-05-12T23:11:00Z</dcterms:modified>
</cp:coreProperties>
</file>