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F7B4" w14:textId="21B9A064" w:rsidR="00C35484" w:rsidRPr="00333738" w:rsidRDefault="00000000">
      <w:pPr>
        <w:pStyle w:val="Heading1"/>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5. Performance Benchmarks</w:t>
      </w:r>
    </w:p>
    <w:p w14:paraId="081F5643" w14:textId="77777777" w:rsidR="00C35484" w:rsidRPr="00333738" w:rsidRDefault="00C35484">
      <w:pPr>
        <w:pBdr>
          <w:bottom w:val="single" w:sz="4" w:space="1" w:color="BDD7EE"/>
        </w:pBdr>
        <w:spacing w:after="180"/>
        <w:rPr>
          <w:rFonts w:ascii="Times New Roman" w:hAnsi="Times New Roman" w:cs="Times New Roman"/>
          <w:color w:val="000000" w:themeColor="text1"/>
          <w:sz w:val="20"/>
          <w:szCs w:val="20"/>
        </w:rPr>
      </w:pPr>
    </w:p>
    <w:p w14:paraId="353CFFB7" w14:textId="77777777" w:rsidR="00C35484" w:rsidRPr="00333738" w:rsidRDefault="00000000">
      <w:pPr>
        <w:pStyle w:val="Heading2"/>
        <w:rPr>
          <w:rFonts w:ascii="Times New Roman" w:hAnsi="Times New Roman" w:cs="Times New Roman"/>
          <w:color w:val="000000" w:themeColor="text1"/>
          <w:sz w:val="20"/>
          <w:szCs w:val="20"/>
        </w:rPr>
      </w:pPr>
      <w:proofErr w:type="gramStart"/>
      <w:r w:rsidRPr="00333738">
        <w:rPr>
          <w:rFonts w:ascii="Times New Roman" w:hAnsi="Times New Roman" w:cs="Times New Roman"/>
          <w:color w:val="000000" w:themeColor="text1"/>
          <w:sz w:val="20"/>
          <w:szCs w:val="20"/>
        </w:rPr>
        <w:t>5.1  Setting</w:t>
      </w:r>
      <w:proofErr w:type="gramEnd"/>
      <w:r w:rsidRPr="00333738">
        <w:rPr>
          <w:rFonts w:ascii="Times New Roman" w:hAnsi="Times New Roman" w:cs="Times New Roman"/>
          <w:color w:val="000000" w:themeColor="text1"/>
          <w:sz w:val="20"/>
          <w:szCs w:val="20"/>
        </w:rPr>
        <w:t xml:space="preserve"> the Scene: What Progress Actually Looks Like</w:t>
      </w:r>
    </w:p>
    <w:p w14:paraId="002AD761" w14:textId="1CDA28DA"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Numbers have a way of making things feel simple. A word error rate of 2.5% sounds like a solved problem. A classification accuracy of 92% sounds like a technology ready to deploy. But in brain-to-speech decoding, performance numbers without context are closer to misinformation than information — because the number itself tells you almost nothing without knowing what vocabulary it was tested on, what task the participant was performing, whether that participant was paralyzed or healthy, and what metric was used to measure the output. This section presents the quantitative evidence from the 71 included studies with that context made explicit. Core benchmarks are summarized in Table 2; the WER performance trajectory for invasive systems is visualized in Fig. 3; the modality-task performance landscape appears in Fig. 4.</w:t>
      </w:r>
    </w:p>
    <w:p w14:paraId="06954F70" w14:textId="77777777"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 xml:space="preserve">To appreciate how far the field has genuinely come, it is worth starting at the beginning. In 2015, Herff and colleagues decoded spoken ECoG signals at approximately 25% WER — meaning one word in four was wrong — using classical HMM speech recognition </w:t>
      </w:r>
      <w:r w:rsidRPr="00333738">
        <w:rPr>
          <w:rFonts w:ascii="Times New Roman" w:hAnsi="Times New Roman" w:cs="Times New Roman"/>
          <w:color w:val="000000" w:themeColor="text1"/>
          <w:sz w:val="20"/>
          <w:szCs w:val="20"/>
          <w:vertAlign w:val="superscript"/>
        </w:rPr>
        <w:t>[1]</w:t>
      </w:r>
      <w:r w:rsidRPr="00333738">
        <w:rPr>
          <w:rFonts w:ascii="Times New Roman" w:hAnsi="Times New Roman" w:cs="Times New Roman"/>
          <w:color w:val="000000" w:themeColor="text1"/>
          <w:sz w:val="20"/>
          <w:szCs w:val="20"/>
        </w:rPr>
        <w:t xml:space="preserve">. That was remarkable for its time. By 2020, Makin, Moses and Chang achieved ~3% WER using an encoder-decoder framework, though on a constrained corpus of limited vocabulary </w:t>
      </w:r>
      <w:r w:rsidRPr="00333738">
        <w:rPr>
          <w:rFonts w:ascii="Times New Roman" w:hAnsi="Times New Roman" w:cs="Times New Roman"/>
          <w:color w:val="000000" w:themeColor="text1"/>
          <w:sz w:val="20"/>
          <w:szCs w:val="20"/>
          <w:vertAlign w:val="superscript"/>
        </w:rPr>
        <w:t>[2]</w:t>
      </w:r>
      <w:r w:rsidRPr="00333738">
        <w:rPr>
          <w:rFonts w:ascii="Times New Roman" w:hAnsi="Times New Roman" w:cs="Times New Roman"/>
          <w:color w:val="000000" w:themeColor="text1"/>
          <w:sz w:val="20"/>
          <w:szCs w:val="20"/>
        </w:rPr>
        <w:t xml:space="preserve">. Moses and colleagues in 2021 demonstrated 26% WER but in an </w:t>
      </w:r>
      <w:proofErr w:type="spellStart"/>
      <w:r w:rsidRPr="00333738">
        <w:rPr>
          <w:rFonts w:ascii="Times New Roman" w:hAnsi="Times New Roman" w:cs="Times New Roman"/>
          <w:color w:val="000000" w:themeColor="text1"/>
          <w:sz w:val="20"/>
          <w:szCs w:val="20"/>
        </w:rPr>
        <w:t>anarthric</w:t>
      </w:r>
      <w:proofErr w:type="spellEnd"/>
      <w:r w:rsidRPr="00333738">
        <w:rPr>
          <w:rFonts w:ascii="Times New Roman" w:hAnsi="Times New Roman" w:cs="Times New Roman"/>
          <w:color w:val="000000" w:themeColor="text1"/>
          <w:sz w:val="20"/>
          <w:szCs w:val="20"/>
        </w:rPr>
        <w:t xml:space="preserve"> patient who had not spoken in years — the achievement was not the percentage but the fact that it was possible at all </w:t>
      </w:r>
      <w:r w:rsidRPr="00333738">
        <w:rPr>
          <w:rFonts w:ascii="Times New Roman" w:hAnsi="Times New Roman" w:cs="Times New Roman"/>
          <w:color w:val="000000" w:themeColor="text1"/>
          <w:sz w:val="20"/>
          <w:szCs w:val="20"/>
          <w:vertAlign w:val="superscript"/>
        </w:rPr>
        <w:t>[3]</w:t>
      </w:r>
      <w:r w:rsidRPr="00333738">
        <w:rPr>
          <w:rFonts w:ascii="Times New Roman" w:hAnsi="Times New Roman" w:cs="Times New Roman"/>
          <w:color w:val="000000" w:themeColor="text1"/>
          <w:sz w:val="20"/>
          <w:szCs w:val="20"/>
        </w:rPr>
        <w:t xml:space="preserve">. Willett and colleagues in 2023 reached 9% WER at 62 words per minute </w:t>
      </w:r>
      <w:r w:rsidRPr="00333738">
        <w:rPr>
          <w:rFonts w:ascii="Times New Roman" w:hAnsi="Times New Roman" w:cs="Times New Roman"/>
          <w:color w:val="000000" w:themeColor="text1"/>
          <w:sz w:val="20"/>
          <w:szCs w:val="20"/>
          <w:vertAlign w:val="superscript"/>
        </w:rPr>
        <w:t>[4]</w:t>
      </w:r>
      <w:r w:rsidRPr="00333738">
        <w:rPr>
          <w:rFonts w:ascii="Times New Roman" w:hAnsi="Times New Roman" w:cs="Times New Roman"/>
          <w:color w:val="000000" w:themeColor="text1"/>
          <w:sz w:val="20"/>
          <w:szCs w:val="20"/>
        </w:rPr>
        <w:t xml:space="preserve">, and Card and colleagues in 2024 achieved 2.5% WER sustained over eight months of daily use </w:t>
      </w:r>
      <w:r w:rsidRPr="00333738">
        <w:rPr>
          <w:rFonts w:ascii="Times New Roman" w:hAnsi="Times New Roman" w:cs="Times New Roman"/>
          <w:color w:val="000000" w:themeColor="text1"/>
          <w:sz w:val="20"/>
          <w:szCs w:val="20"/>
          <w:vertAlign w:val="superscript"/>
        </w:rPr>
        <w:t>[5]</w:t>
      </w:r>
      <w:r w:rsidRPr="00333738">
        <w:rPr>
          <w:rFonts w:ascii="Times New Roman" w:hAnsi="Times New Roman" w:cs="Times New Roman"/>
          <w:color w:val="000000" w:themeColor="text1"/>
          <w:sz w:val="20"/>
          <w:szCs w:val="20"/>
        </w:rPr>
        <w:t>. The trajectory — from 25% to 2.5% WER in less than a decade — is genuinely extraordinary. Fig. 3 plots this arc, and the downward slope is one of the most compelling trend lines in modern biomedical engineering.</w:t>
      </w:r>
    </w:p>
    <w:p w14:paraId="29153772" w14:textId="77777777" w:rsidR="00C35484" w:rsidRPr="00333738" w:rsidRDefault="00000000">
      <w:pPr>
        <w:pStyle w:val="Heading2"/>
        <w:rPr>
          <w:rFonts w:ascii="Times New Roman" w:hAnsi="Times New Roman" w:cs="Times New Roman"/>
          <w:color w:val="000000" w:themeColor="text1"/>
          <w:sz w:val="20"/>
          <w:szCs w:val="20"/>
        </w:rPr>
      </w:pPr>
      <w:proofErr w:type="gramStart"/>
      <w:r w:rsidRPr="00333738">
        <w:rPr>
          <w:rFonts w:ascii="Times New Roman" w:hAnsi="Times New Roman" w:cs="Times New Roman"/>
          <w:color w:val="000000" w:themeColor="text1"/>
          <w:sz w:val="20"/>
          <w:szCs w:val="20"/>
        </w:rPr>
        <w:t>5.2  Invasive</w:t>
      </w:r>
      <w:proofErr w:type="gramEnd"/>
      <w:r w:rsidRPr="00333738">
        <w:rPr>
          <w:rFonts w:ascii="Times New Roman" w:hAnsi="Times New Roman" w:cs="Times New Roman"/>
          <w:color w:val="000000" w:themeColor="text1"/>
          <w:sz w:val="20"/>
          <w:szCs w:val="20"/>
        </w:rPr>
        <w:t xml:space="preserve"> System Performance</w:t>
      </w:r>
    </w:p>
    <w:p w14:paraId="2DFCE003" w14:textId="77777777"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Invasive systems dominate the upper performance range across all metrics. Among the 32 invasive studies, WER ranges from approximately 3% (constrained corpora) to 26% (</w:t>
      </w:r>
      <w:proofErr w:type="gramStart"/>
      <w:r w:rsidRPr="00333738">
        <w:rPr>
          <w:rFonts w:ascii="Times New Roman" w:hAnsi="Times New Roman" w:cs="Times New Roman"/>
          <w:color w:val="000000" w:themeColor="text1"/>
          <w:sz w:val="20"/>
          <w:szCs w:val="20"/>
        </w:rPr>
        <w:t>open-vocabulary</w:t>
      </w:r>
      <w:proofErr w:type="gramEnd"/>
      <w:r w:rsidRPr="00333738">
        <w:rPr>
          <w:rFonts w:ascii="Times New Roman" w:hAnsi="Times New Roman" w:cs="Times New Roman"/>
          <w:color w:val="000000" w:themeColor="text1"/>
          <w:sz w:val="20"/>
          <w:szCs w:val="20"/>
        </w:rPr>
        <w:t xml:space="preserve"> attempted speech in paralysis), whilst communication rates range from 15 to 78 words per minute. For acoustic reconstruction from ECoG, Pearson correlations between synthesized and target speech reach r=0.87 for articulatory feature trajectories </w:t>
      </w:r>
      <w:r w:rsidRPr="00333738">
        <w:rPr>
          <w:rFonts w:ascii="Times New Roman" w:hAnsi="Times New Roman" w:cs="Times New Roman"/>
          <w:color w:val="000000" w:themeColor="text1"/>
          <w:sz w:val="20"/>
          <w:szCs w:val="20"/>
          <w:vertAlign w:val="superscript"/>
        </w:rPr>
        <w:t>[6]</w:t>
      </w:r>
      <w:r w:rsidRPr="00333738">
        <w:rPr>
          <w:rFonts w:ascii="Times New Roman" w:hAnsi="Times New Roman" w:cs="Times New Roman"/>
          <w:color w:val="000000" w:themeColor="text1"/>
          <w:sz w:val="20"/>
          <w:szCs w:val="20"/>
        </w:rPr>
        <w:t xml:space="preserve"> and r=0.804 for acoustic reconstruction across a 48-participant cross-subject cohort </w:t>
      </w:r>
      <w:r w:rsidRPr="00333738">
        <w:rPr>
          <w:rFonts w:ascii="Times New Roman" w:hAnsi="Times New Roman" w:cs="Times New Roman"/>
          <w:color w:val="000000" w:themeColor="text1"/>
          <w:sz w:val="20"/>
          <w:szCs w:val="20"/>
          <w:vertAlign w:val="superscript"/>
        </w:rPr>
        <w:t>[7]</w:t>
      </w:r>
      <w:r w:rsidRPr="00333738">
        <w:rPr>
          <w:rFonts w:ascii="Times New Roman" w:hAnsi="Times New Roman" w:cs="Times New Roman"/>
          <w:color w:val="000000" w:themeColor="text1"/>
          <w:sz w:val="20"/>
          <w:szCs w:val="20"/>
        </w:rPr>
        <w:t xml:space="preserve">. For sEEG, the largest cohort study demonstrated that group decoders outperform individual participant models </w:t>
      </w:r>
      <w:r w:rsidRPr="00333738">
        <w:rPr>
          <w:rFonts w:ascii="Times New Roman" w:hAnsi="Times New Roman" w:cs="Times New Roman"/>
          <w:color w:val="000000" w:themeColor="text1"/>
          <w:sz w:val="20"/>
          <w:szCs w:val="20"/>
          <w:vertAlign w:val="superscript"/>
        </w:rPr>
        <w:t>[8]</w:t>
      </w:r>
      <w:r w:rsidRPr="00333738">
        <w:rPr>
          <w:rFonts w:ascii="Times New Roman" w:hAnsi="Times New Roman" w:cs="Times New Roman"/>
          <w:color w:val="000000" w:themeColor="text1"/>
          <w:sz w:val="20"/>
          <w:szCs w:val="20"/>
        </w:rPr>
        <w:t xml:space="preserve">, whilst micro-ECoG delivered a 35% improvement over standard arrays </w:t>
      </w:r>
      <w:r w:rsidRPr="00333738">
        <w:rPr>
          <w:rFonts w:ascii="Times New Roman" w:hAnsi="Times New Roman" w:cs="Times New Roman"/>
          <w:color w:val="000000" w:themeColor="text1"/>
          <w:sz w:val="20"/>
          <w:szCs w:val="20"/>
          <w:vertAlign w:val="superscript"/>
        </w:rPr>
        <w:t>[9]</w:t>
      </w:r>
      <w:r w:rsidRPr="00333738">
        <w:rPr>
          <w:rFonts w:ascii="Times New Roman" w:hAnsi="Times New Roman" w:cs="Times New Roman"/>
          <w:color w:val="000000" w:themeColor="text1"/>
          <w:sz w:val="20"/>
          <w:szCs w:val="20"/>
        </w:rPr>
        <w:t xml:space="preserve">. These results, whilst impressive, share one characteristic that limits their interpretability: most come from one or two participants. The world's best WER of 2.5% </w:t>
      </w:r>
      <w:r w:rsidRPr="00333738">
        <w:rPr>
          <w:rFonts w:ascii="Times New Roman" w:hAnsi="Times New Roman" w:cs="Times New Roman"/>
          <w:color w:val="000000" w:themeColor="text1"/>
          <w:sz w:val="20"/>
          <w:szCs w:val="20"/>
          <w:vertAlign w:val="superscript"/>
        </w:rPr>
        <w:t>[5]</w:t>
      </w:r>
      <w:r w:rsidRPr="00333738">
        <w:rPr>
          <w:rFonts w:ascii="Times New Roman" w:hAnsi="Times New Roman" w:cs="Times New Roman"/>
          <w:color w:val="000000" w:themeColor="text1"/>
          <w:sz w:val="20"/>
          <w:szCs w:val="20"/>
        </w:rPr>
        <w:t xml:space="preserve"> represents one person. This is not a criticism of the research — single-participant clinical studies are the most that can reasonably be asked of individuals undergoing neurosurgical implantation — but it is an essential caveat for any field-level performance claim.</w:t>
      </w:r>
    </w:p>
    <w:p w14:paraId="592AA8F5" w14:textId="77777777" w:rsidR="00C35484" w:rsidRPr="00333738" w:rsidRDefault="00000000">
      <w:pPr>
        <w:pStyle w:val="Heading2"/>
        <w:rPr>
          <w:rFonts w:ascii="Times New Roman" w:hAnsi="Times New Roman" w:cs="Times New Roman"/>
          <w:color w:val="000000" w:themeColor="text1"/>
          <w:sz w:val="20"/>
          <w:szCs w:val="20"/>
        </w:rPr>
      </w:pPr>
      <w:proofErr w:type="gramStart"/>
      <w:r w:rsidRPr="00333738">
        <w:rPr>
          <w:rFonts w:ascii="Times New Roman" w:hAnsi="Times New Roman" w:cs="Times New Roman"/>
          <w:color w:val="000000" w:themeColor="text1"/>
          <w:sz w:val="20"/>
          <w:szCs w:val="20"/>
        </w:rPr>
        <w:t>5.3  Non</w:t>
      </w:r>
      <w:proofErr w:type="gramEnd"/>
      <w:r w:rsidRPr="00333738">
        <w:rPr>
          <w:rFonts w:ascii="Times New Roman" w:hAnsi="Times New Roman" w:cs="Times New Roman"/>
          <w:color w:val="000000" w:themeColor="text1"/>
          <w:sz w:val="20"/>
          <w:szCs w:val="20"/>
        </w:rPr>
        <w:t>-Invasive System Performance</w:t>
      </w:r>
    </w:p>
    <w:p w14:paraId="54A09EFC" w14:textId="77777777"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 xml:space="preserve">Non-invasive performance occupies a different space — not better or worse in any absolute </w:t>
      </w:r>
      <w:proofErr w:type="gramStart"/>
      <w:r w:rsidRPr="00333738">
        <w:rPr>
          <w:rFonts w:ascii="Times New Roman" w:hAnsi="Times New Roman" w:cs="Times New Roman"/>
          <w:color w:val="000000" w:themeColor="text1"/>
          <w:sz w:val="20"/>
          <w:szCs w:val="20"/>
        </w:rPr>
        <w:t>sense, but</w:t>
      </w:r>
      <w:proofErr w:type="gramEnd"/>
      <w:r w:rsidRPr="00333738">
        <w:rPr>
          <w:rFonts w:ascii="Times New Roman" w:hAnsi="Times New Roman" w:cs="Times New Roman"/>
          <w:color w:val="000000" w:themeColor="text1"/>
          <w:sz w:val="20"/>
          <w:szCs w:val="20"/>
        </w:rPr>
        <w:t xml:space="preserve"> operating under different constraints and serving different populations. Among the 20 EEG studies, closed-set imagined speech classification ranges from approximately 58% (early classical approaches) to 92.5% (recent deep learning on 4-class tasks) </w:t>
      </w:r>
      <w:r w:rsidRPr="00333738">
        <w:rPr>
          <w:rFonts w:ascii="Times New Roman" w:hAnsi="Times New Roman" w:cs="Times New Roman"/>
          <w:color w:val="000000" w:themeColor="text1"/>
          <w:sz w:val="20"/>
          <w:szCs w:val="20"/>
          <w:vertAlign w:val="superscript"/>
        </w:rPr>
        <w:t>[10]</w:t>
      </w:r>
      <w:r w:rsidRPr="00333738">
        <w:rPr>
          <w:rFonts w:ascii="Times New Roman" w:hAnsi="Times New Roman" w:cs="Times New Roman"/>
          <w:color w:val="000000" w:themeColor="text1"/>
          <w:sz w:val="20"/>
          <w:szCs w:val="20"/>
        </w:rPr>
        <w:t xml:space="preserve">, whilst open-vocabulary EEG-to-text approaches achieve BLEU improvements over baselines at WER around 35–45% </w:t>
      </w:r>
      <w:r w:rsidRPr="00333738">
        <w:rPr>
          <w:rFonts w:ascii="Times New Roman" w:hAnsi="Times New Roman" w:cs="Times New Roman"/>
          <w:color w:val="000000" w:themeColor="text1"/>
          <w:sz w:val="20"/>
          <w:szCs w:val="20"/>
          <w:vertAlign w:val="superscript"/>
        </w:rPr>
        <w:lastRenderedPageBreak/>
        <w:t>[11]</w:t>
      </w:r>
      <w:r w:rsidRPr="00333738">
        <w:rPr>
          <w:rFonts w:ascii="Times New Roman" w:hAnsi="Times New Roman" w:cs="Times New Roman"/>
          <w:color w:val="000000" w:themeColor="text1"/>
          <w:sz w:val="20"/>
          <w:szCs w:val="20"/>
        </w:rPr>
        <w:t xml:space="preserve">. For MEG and fMRI, the metrics shift towards semantic similarity, story identification, and top-k accuracy — reflecting the modalities' strength in content rather than acoustic detail. Défossez and colleagues achieved 41% </w:t>
      </w:r>
      <w:proofErr w:type="gramStart"/>
      <w:r w:rsidRPr="00333738">
        <w:rPr>
          <w:rFonts w:ascii="Times New Roman" w:hAnsi="Times New Roman" w:cs="Times New Roman"/>
          <w:color w:val="000000" w:themeColor="text1"/>
          <w:sz w:val="20"/>
          <w:szCs w:val="20"/>
        </w:rPr>
        <w:t>top-1</w:t>
      </w:r>
      <w:proofErr w:type="gramEnd"/>
      <w:r w:rsidRPr="00333738">
        <w:rPr>
          <w:rFonts w:ascii="Times New Roman" w:hAnsi="Times New Roman" w:cs="Times New Roman"/>
          <w:color w:val="000000" w:themeColor="text1"/>
          <w:sz w:val="20"/>
          <w:szCs w:val="20"/>
        </w:rPr>
        <w:t xml:space="preserve"> accuracy across 175 participants </w:t>
      </w:r>
      <w:r w:rsidRPr="00333738">
        <w:rPr>
          <w:rFonts w:ascii="Times New Roman" w:hAnsi="Times New Roman" w:cs="Times New Roman"/>
          <w:color w:val="000000" w:themeColor="text1"/>
          <w:sz w:val="20"/>
          <w:szCs w:val="20"/>
          <w:vertAlign w:val="superscript"/>
        </w:rPr>
        <w:t>[12]</w:t>
      </w:r>
      <w:r w:rsidRPr="00333738">
        <w:rPr>
          <w:rFonts w:ascii="Times New Roman" w:hAnsi="Times New Roman" w:cs="Times New Roman"/>
          <w:color w:val="000000" w:themeColor="text1"/>
          <w:sz w:val="20"/>
          <w:szCs w:val="20"/>
        </w:rPr>
        <w:t xml:space="preserve">; d'Ascoli and colleagues demonstrated that this scales to 723 participants across three languages </w:t>
      </w:r>
      <w:r w:rsidRPr="00333738">
        <w:rPr>
          <w:rFonts w:ascii="Times New Roman" w:hAnsi="Times New Roman" w:cs="Times New Roman"/>
          <w:color w:val="000000" w:themeColor="text1"/>
          <w:sz w:val="20"/>
          <w:szCs w:val="20"/>
          <w:vertAlign w:val="superscript"/>
        </w:rPr>
        <w:t>[13]</w:t>
      </w:r>
      <w:r w:rsidRPr="00333738">
        <w:rPr>
          <w:rFonts w:ascii="Times New Roman" w:hAnsi="Times New Roman" w:cs="Times New Roman"/>
          <w:color w:val="000000" w:themeColor="text1"/>
          <w:sz w:val="20"/>
          <w:szCs w:val="20"/>
        </w:rPr>
        <w:t xml:space="preserve">; Tang and colleagues reported 100% story identification from fMRI </w:t>
      </w:r>
      <w:r w:rsidRPr="00333738">
        <w:rPr>
          <w:rFonts w:ascii="Times New Roman" w:hAnsi="Times New Roman" w:cs="Times New Roman"/>
          <w:color w:val="000000" w:themeColor="text1"/>
          <w:sz w:val="20"/>
          <w:szCs w:val="20"/>
          <w:vertAlign w:val="superscript"/>
        </w:rPr>
        <w:t>[14]</w:t>
      </w:r>
      <w:r w:rsidRPr="00333738">
        <w:rPr>
          <w:rFonts w:ascii="Times New Roman" w:hAnsi="Times New Roman" w:cs="Times New Roman"/>
          <w:color w:val="000000" w:themeColor="text1"/>
          <w:sz w:val="20"/>
          <w:szCs w:val="20"/>
        </w:rPr>
        <w:t xml:space="preserve">. For hybrid and silent speech approaches, Song and colleagues achieved 3.11% CER from HD-sEMG — the lowest character error rate of any non-invasive approach in this review </w:t>
      </w:r>
      <w:r w:rsidRPr="00333738">
        <w:rPr>
          <w:rFonts w:ascii="Times New Roman" w:hAnsi="Times New Roman" w:cs="Times New Roman"/>
          <w:color w:val="000000" w:themeColor="text1"/>
          <w:sz w:val="20"/>
          <w:szCs w:val="20"/>
          <w:vertAlign w:val="superscript"/>
        </w:rPr>
        <w:t>[15]</w:t>
      </w:r>
      <w:r w:rsidRPr="00333738">
        <w:rPr>
          <w:rFonts w:ascii="Times New Roman" w:hAnsi="Times New Roman" w:cs="Times New Roman"/>
          <w:color w:val="000000" w:themeColor="text1"/>
          <w:sz w:val="20"/>
          <w:szCs w:val="20"/>
        </w:rPr>
        <w:t>.</w:t>
      </w:r>
    </w:p>
    <w:p w14:paraId="31001D89" w14:textId="77777777" w:rsidR="00C35484" w:rsidRPr="00333738" w:rsidRDefault="00000000">
      <w:pPr>
        <w:pStyle w:val="Heading2"/>
        <w:rPr>
          <w:rFonts w:ascii="Times New Roman" w:hAnsi="Times New Roman" w:cs="Times New Roman"/>
          <w:color w:val="000000" w:themeColor="text1"/>
          <w:sz w:val="20"/>
          <w:szCs w:val="20"/>
        </w:rPr>
      </w:pPr>
      <w:proofErr w:type="gramStart"/>
      <w:r w:rsidRPr="00333738">
        <w:rPr>
          <w:rFonts w:ascii="Times New Roman" w:hAnsi="Times New Roman" w:cs="Times New Roman"/>
          <w:color w:val="000000" w:themeColor="text1"/>
          <w:sz w:val="20"/>
          <w:szCs w:val="20"/>
        </w:rPr>
        <w:t>5.4  The</w:t>
      </w:r>
      <w:proofErr w:type="gramEnd"/>
      <w:r w:rsidRPr="00333738">
        <w:rPr>
          <w:rFonts w:ascii="Times New Roman" w:hAnsi="Times New Roman" w:cs="Times New Roman"/>
          <w:color w:val="000000" w:themeColor="text1"/>
          <w:sz w:val="20"/>
          <w:szCs w:val="20"/>
        </w:rPr>
        <w:t xml:space="preserve"> Language Model Effect</w:t>
      </w:r>
    </w:p>
    <w:p w14:paraId="6C79F180" w14:textId="77777777"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 xml:space="preserve">One finding from the performance data deserves particular emphasis because it is both striking and underexploited. Language model integration is the single largest discrete driver of WER reduction in the literature — yet only 14 of 71 included studies (20%) integrate a language model of any kind. The Willett 2023 study makes this quantifiable: WER dropped from 23% (neural decoder alone) to 9% (with neural language model rescoring) on the same 125,000-word vocabulary in the same participant </w:t>
      </w:r>
      <w:r w:rsidRPr="00333738">
        <w:rPr>
          <w:rFonts w:ascii="Times New Roman" w:hAnsi="Times New Roman" w:cs="Times New Roman"/>
          <w:color w:val="000000" w:themeColor="text1"/>
          <w:sz w:val="20"/>
          <w:szCs w:val="20"/>
          <w:vertAlign w:val="superscript"/>
        </w:rPr>
        <w:t>[4]</w:t>
      </w:r>
      <w:r w:rsidRPr="00333738">
        <w:rPr>
          <w:rFonts w:ascii="Times New Roman" w:hAnsi="Times New Roman" w:cs="Times New Roman"/>
          <w:color w:val="000000" w:themeColor="text1"/>
          <w:sz w:val="20"/>
          <w:szCs w:val="20"/>
        </w:rPr>
        <w:t>. That is a 14 percentage-point reduction from post-processing alone. For the 57 studies that do not use language model integration, the question is not whether LM integration would help — it almost certainly would — but whether the labeled brain-language paired data to support it exists. This points to a data infrastructure gap as much as an algorithmic one.</w:t>
      </w:r>
    </w:p>
    <w:p w14:paraId="1D32A873" w14:textId="77777777" w:rsidR="00C35484" w:rsidRPr="00333738" w:rsidRDefault="00000000">
      <w:pPr>
        <w:pStyle w:val="Heading2"/>
        <w:rPr>
          <w:rFonts w:ascii="Times New Roman" w:hAnsi="Times New Roman" w:cs="Times New Roman"/>
          <w:color w:val="000000" w:themeColor="text1"/>
          <w:sz w:val="20"/>
          <w:szCs w:val="20"/>
        </w:rPr>
      </w:pPr>
      <w:proofErr w:type="gramStart"/>
      <w:r w:rsidRPr="00333738">
        <w:rPr>
          <w:rFonts w:ascii="Times New Roman" w:hAnsi="Times New Roman" w:cs="Times New Roman"/>
          <w:color w:val="000000" w:themeColor="text1"/>
          <w:sz w:val="20"/>
          <w:szCs w:val="20"/>
        </w:rPr>
        <w:t>5.5  Benchmark</w:t>
      </w:r>
      <w:proofErr w:type="gramEnd"/>
      <w:r w:rsidRPr="00333738">
        <w:rPr>
          <w:rFonts w:ascii="Times New Roman" w:hAnsi="Times New Roman" w:cs="Times New Roman"/>
          <w:color w:val="000000" w:themeColor="text1"/>
          <w:sz w:val="20"/>
          <w:szCs w:val="20"/>
        </w:rPr>
        <w:t xml:space="preserve"> Comparability: Why the Numbers Cannot Be Compared Directly</w:t>
      </w:r>
    </w:p>
    <w:p w14:paraId="3B74FB4D" w14:textId="77777777"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 xml:space="preserve">Table 5 documents eight dimensions that limit cross-study performance comparison; three are critical. The most consequential is vocabulary size. A WER of 9% on a 50-word vocabulary is not a 9% WER system — it is a system whose error rate would be substantially higher with a realistic open vocabulary, as the Willett 2023 data directly demonstrates </w:t>
      </w:r>
      <w:r w:rsidRPr="00333738">
        <w:rPr>
          <w:rFonts w:ascii="Times New Roman" w:hAnsi="Times New Roman" w:cs="Times New Roman"/>
          <w:color w:val="000000" w:themeColor="text1"/>
          <w:sz w:val="20"/>
          <w:szCs w:val="20"/>
          <w:vertAlign w:val="superscript"/>
        </w:rPr>
        <w:t>[4]</w:t>
      </w:r>
      <w:r w:rsidRPr="00333738">
        <w:rPr>
          <w:rFonts w:ascii="Times New Roman" w:hAnsi="Times New Roman" w:cs="Times New Roman"/>
          <w:color w:val="000000" w:themeColor="text1"/>
          <w:sz w:val="20"/>
          <w:szCs w:val="20"/>
        </w:rPr>
        <w:t xml:space="preserve">. The second critical dimension is task type. Decoding overt speech and decoding imagined speech are </w:t>
      </w:r>
      <w:proofErr w:type="spellStart"/>
      <w:r w:rsidRPr="00333738">
        <w:rPr>
          <w:rFonts w:ascii="Times New Roman" w:hAnsi="Times New Roman" w:cs="Times New Roman"/>
          <w:color w:val="000000" w:themeColor="text1"/>
          <w:sz w:val="20"/>
          <w:szCs w:val="20"/>
        </w:rPr>
        <w:t>neurophysiologically</w:t>
      </w:r>
      <w:proofErr w:type="spellEnd"/>
      <w:r w:rsidRPr="00333738">
        <w:rPr>
          <w:rFonts w:ascii="Times New Roman" w:hAnsi="Times New Roman" w:cs="Times New Roman"/>
          <w:color w:val="000000" w:themeColor="text1"/>
          <w:sz w:val="20"/>
          <w:szCs w:val="20"/>
        </w:rPr>
        <w:t xml:space="preserve"> distinct tasks producing fundamentally different neural signals of different quality and consistency </w:t>
      </w:r>
      <w:r w:rsidRPr="00333738">
        <w:rPr>
          <w:rFonts w:ascii="Times New Roman" w:hAnsi="Times New Roman" w:cs="Times New Roman"/>
          <w:color w:val="000000" w:themeColor="text1"/>
          <w:sz w:val="20"/>
          <w:szCs w:val="20"/>
          <w:vertAlign w:val="superscript"/>
        </w:rPr>
        <w:t>[16]</w:t>
      </w:r>
      <w:r w:rsidRPr="00333738">
        <w:rPr>
          <w:rFonts w:ascii="Times New Roman" w:hAnsi="Times New Roman" w:cs="Times New Roman"/>
          <w:color w:val="000000" w:themeColor="text1"/>
          <w:sz w:val="20"/>
          <w:szCs w:val="20"/>
        </w:rPr>
        <w:t>; performance benchmarks cannot be compared across these conditions without explicit qualification. The third is metric heterogeneity: the nine distinct primary metric types used across the 71 included studies — WER, accuracy, PCC, WPM, CER, BLEU, ROUGE, MOS, and semantic similarity — are incommensurable. There is no principled conversion between a Pearson correlation of 0.87 and a word error rate of 9%. They measure different things about different outputs from different decoding objectives.</w:t>
      </w:r>
    </w:p>
    <w:p w14:paraId="11D9834E" w14:textId="77777777" w:rsidR="00C35484" w:rsidRPr="00333738" w:rsidRDefault="00000000">
      <w:pPr>
        <w:spacing w:after="160" w:line="348" w:lineRule="auto"/>
        <w:jc w:val="both"/>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The practical implication is that no single performance figure meaningfully represents the state of the field, and any review that implies otherwise — including informal summaries that cite the 2.5% WER of Card and colleagues as representing brain-to-speech decoding in general — is overstating the evidence. The 2.5% WER is the state of the art for one participant, one vocabulary, one task type, one evaluation methodology, and one specific clinical context. It is extraordinary within those bounds. Beyond them, it does not generalize. Table 2 provides the most defensible cross-study comparison this literature currently permits, stratified by modality, task type, and vocabulary scope within each row.</w:t>
      </w:r>
    </w:p>
    <w:p w14:paraId="608F0201" w14:textId="77777777" w:rsidR="00C35484" w:rsidRPr="00333738" w:rsidRDefault="00C35484">
      <w:pPr>
        <w:pBdr>
          <w:bottom w:val="single" w:sz="4" w:space="1" w:color="BDD7EE"/>
        </w:pBdr>
        <w:spacing w:after="180"/>
        <w:rPr>
          <w:rFonts w:ascii="Times New Roman" w:hAnsi="Times New Roman" w:cs="Times New Roman"/>
          <w:color w:val="000000" w:themeColor="text1"/>
          <w:sz w:val="20"/>
          <w:szCs w:val="20"/>
        </w:rPr>
      </w:pPr>
    </w:p>
    <w:p w14:paraId="694CC2D1" w14:textId="77777777" w:rsidR="00C35484" w:rsidRPr="00333738" w:rsidRDefault="00000000">
      <w:pPr>
        <w:spacing w:before="260" w:after="12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References</w:t>
      </w:r>
    </w:p>
    <w:p w14:paraId="40DABFB1" w14:textId="77777777" w:rsidR="00C35484" w:rsidRPr="00333738" w:rsidRDefault="00000000">
      <w:pPr>
        <w:spacing w:before="100" w:line="296" w:lineRule="auto"/>
        <w:rPr>
          <w:rFonts w:ascii="Times New Roman" w:hAnsi="Times New Roman" w:cs="Times New Roman"/>
          <w:color w:val="000000" w:themeColor="text1"/>
          <w:sz w:val="20"/>
          <w:szCs w:val="20"/>
        </w:rPr>
      </w:pPr>
      <w:r w:rsidRPr="00333738">
        <w:rPr>
          <w:rFonts w:ascii="Times New Roman" w:hAnsi="Times New Roman" w:cs="Times New Roman"/>
          <w:color w:val="000000" w:themeColor="text1"/>
          <w:sz w:val="20"/>
          <w:szCs w:val="20"/>
        </w:rPr>
        <w:t>Section 5 references — to be renumbered in the final manuscript pass.</w:t>
      </w:r>
    </w:p>
    <w:p w14:paraId="22F8B521" w14:textId="77777777" w:rsidR="00C35484" w:rsidRPr="00333738" w:rsidRDefault="00C35484">
      <w:pPr>
        <w:spacing w:after="60"/>
        <w:rPr>
          <w:rFonts w:ascii="Times New Roman" w:hAnsi="Times New Roman" w:cs="Times New Roman"/>
          <w:color w:val="000000" w:themeColor="text1"/>
          <w:sz w:val="20"/>
          <w:szCs w:val="20"/>
        </w:rPr>
      </w:pPr>
    </w:p>
    <w:p w14:paraId="3A4985EF"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lastRenderedPageBreak/>
        <w:t>[1]</w:t>
      </w:r>
      <w:r w:rsidRPr="00333738">
        <w:rPr>
          <w:rFonts w:ascii="Times New Roman" w:hAnsi="Times New Roman" w:cs="Times New Roman"/>
          <w:color w:val="000000" w:themeColor="text1"/>
          <w:sz w:val="20"/>
          <w:szCs w:val="20"/>
        </w:rPr>
        <w:tab/>
        <w:t xml:space="preserve">C. Herff et al., "Brain-to-text: Decoding spoken phrases from phonetic representations in the brain," Front. Neurosci., vol. 9, Art. no. 217, Jun. 2015,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10.3389/fnins.2015.00217.</w:t>
      </w:r>
    </w:p>
    <w:p w14:paraId="31A3FE96"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[2]</w:t>
      </w:r>
      <w:r w:rsidRPr="00333738">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Neurosci., vol. 23, no. 4, pp. 575–582, Apr. 2020,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10.1038/s41593-020-0608-8.</w:t>
      </w:r>
    </w:p>
    <w:p w14:paraId="7B6A9562"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[3]</w:t>
      </w:r>
      <w:r w:rsidRPr="00333738">
        <w:rPr>
          <w:rFonts w:ascii="Times New Roman" w:hAnsi="Times New Roman" w:cs="Times New Roman"/>
          <w:color w:val="000000" w:themeColor="text1"/>
          <w:sz w:val="20"/>
          <w:szCs w:val="20"/>
        </w:rPr>
        <w:tab/>
        <w:t xml:space="preserve">D. A. Moses et al., "Neuroprosthesis for decoding speech in a paralyzed person with anarthria," N. Engl. J. Med., vol. 385, no. 3, pp. 217–227, Jul. 2021,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10.1056/NEJMoa2119271.</w:t>
      </w:r>
    </w:p>
    <w:p w14:paraId="42F1C916"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[4]</w:t>
      </w:r>
      <w:r w:rsidRPr="00333738">
        <w:rPr>
          <w:rFonts w:ascii="Times New Roman" w:hAnsi="Times New Roman" w:cs="Times New Roman"/>
          <w:color w:val="000000" w:themeColor="text1"/>
          <w:sz w:val="20"/>
          <w:szCs w:val="20"/>
        </w:rPr>
        <w:tab/>
        <w:t xml:space="preserve">F. R. Willett et al., "A high-performance speech neuroprosthesis," Nature, vol. 620, pp. 1031–1036, Aug. 2023,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10.1038/s41586-023-06377-x.</w:t>
      </w:r>
    </w:p>
    <w:p w14:paraId="50BC2DD4"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[5]</w:t>
      </w:r>
      <w:r w:rsidRPr="00333738">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10.1056/NEJMoa2314132.</w:t>
      </w:r>
    </w:p>
    <w:p w14:paraId="5E36F9E0"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[6]</w:t>
      </w:r>
      <w:r w:rsidRPr="00333738">
        <w:rPr>
          <w:rFonts w:ascii="Times New Roman" w:hAnsi="Times New Roman" w:cs="Times New Roman"/>
          <w:color w:val="000000" w:themeColor="text1"/>
          <w:sz w:val="20"/>
          <w:szCs w:val="20"/>
        </w:rPr>
        <w:tab/>
        <w:t xml:space="preserve">J. Chartier et al., "Encoding of articulatory kinematic trajectories in human speech sensorimotor cortex," Neuron, vol. 98, no. 5, pp. 1042–1054, Jun. 2018,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10.1016/j.neuron.2018.04.031.</w:t>
      </w:r>
    </w:p>
    <w:p w14:paraId="7E1CFABC"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[7]</w:t>
      </w:r>
      <w:r w:rsidRPr="00333738">
        <w:rPr>
          <w:rFonts w:ascii="Times New Roman" w:hAnsi="Times New Roman" w:cs="Times New Roman"/>
          <w:color w:val="000000" w:themeColor="text1"/>
          <w:sz w:val="20"/>
          <w:szCs w:val="20"/>
        </w:rPr>
        <w:tab/>
        <w:t xml:space="preserve">X. Chen et al., "A neural speech decoding framework leveraging deep learning and speech synthesis," Nat. Mach. Intell., vol. 6, no. 4, pp. 467–480, Apr. 2024,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10.1038/s42256-024-00824-8.</w:t>
      </w:r>
    </w:p>
    <w:p w14:paraId="38CC01DF"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[8]</w:t>
      </w:r>
      <w:r w:rsidRPr="00333738">
        <w:rPr>
          <w:rFonts w:ascii="Times New Roman" w:hAnsi="Times New Roman" w:cs="Times New Roman"/>
          <w:color w:val="000000" w:themeColor="text1"/>
          <w:sz w:val="20"/>
          <w:szCs w:val="20"/>
        </w:rPr>
        <w:tab/>
        <w:t xml:space="preserve">A. Singh et al., "Transfer learning via distributed brain recordings enables reliable speech decoding," Nat. Commun., vol. 16, Art. no. 8749, 2025,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10.1038/s41467-025-63825-0.</w:t>
      </w:r>
    </w:p>
    <w:p w14:paraId="0570A05B"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[9]</w:t>
      </w:r>
      <w:r w:rsidRPr="00333738">
        <w:rPr>
          <w:rFonts w:ascii="Times New Roman" w:hAnsi="Times New Roman" w:cs="Times New Roman"/>
          <w:color w:val="000000" w:themeColor="text1"/>
          <w:sz w:val="20"/>
          <w:szCs w:val="20"/>
        </w:rPr>
        <w:tab/>
        <w:t xml:space="preserve">S. Duraivel et al., "High-resolution neural recordings improve the accuracy of speech decoding," Nat. Commun., vol. 14, Art. no. 6938, Nov. 2023,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10.1038/s41467-023-42555-1.</w:t>
      </w:r>
    </w:p>
    <w:p w14:paraId="4CC47C74"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[10]</w:t>
      </w:r>
      <w:r w:rsidRPr="00333738">
        <w:rPr>
          <w:rFonts w:ascii="Times New Roman" w:hAnsi="Times New Roman" w:cs="Times New Roman"/>
          <w:color w:val="000000" w:themeColor="text1"/>
          <w:sz w:val="20"/>
          <w:szCs w:val="20"/>
        </w:rPr>
        <w:tab/>
        <w:t xml:space="preserve">M. Abdulghani, G. Walters, and B. Abed, "Imagined speech classification using EEG and deep learning," Bioengineering, vol. 10, no. 6, Art. no. 649, Jun. 2023,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xml:space="preserve">: </w:t>
      </w:r>
      <w:bookmarkStart w:id="0" w:name="_Hlk232540492"/>
      <w:r w:rsidRPr="00333738">
        <w:rPr>
          <w:rFonts w:ascii="Times New Roman" w:hAnsi="Times New Roman" w:cs="Times New Roman"/>
          <w:color w:val="000000" w:themeColor="text1"/>
          <w:sz w:val="20"/>
          <w:szCs w:val="20"/>
        </w:rPr>
        <w:t>10.3390/bioengineering10060649</w:t>
      </w:r>
      <w:bookmarkEnd w:id="0"/>
      <w:r w:rsidRPr="00333738">
        <w:rPr>
          <w:rFonts w:ascii="Times New Roman" w:hAnsi="Times New Roman" w:cs="Times New Roman"/>
          <w:color w:val="000000" w:themeColor="text1"/>
          <w:sz w:val="20"/>
          <w:szCs w:val="20"/>
        </w:rPr>
        <w:t>.</w:t>
      </w:r>
    </w:p>
    <w:p w14:paraId="28E74D3A"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[11]</w:t>
      </w:r>
      <w:r w:rsidRPr="00333738">
        <w:rPr>
          <w:rFonts w:ascii="Times New Roman" w:hAnsi="Times New Roman" w:cs="Times New Roman"/>
          <w:color w:val="000000" w:themeColor="text1"/>
          <w:sz w:val="20"/>
          <w:szCs w:val="20"/>
        </w:rPr>
        <w:tab/>
        <w:t>Z. Duan et al., "DeWave: Discrete EEG waves encoding for brain dynamics to text translation," in Proc. NeurIPS, 2023.</w:t>
      </w:r>
    </w:p>
    <w:p w14:paraId="4C8A70CD"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[12]</w:t>
      </w:r>
      <w:r w:rsidRPr="00333738">
        <w:rPr>
          <w:rFonts w:ascii="Times New Roman" w:hAnsi="Times New Roman" w:cs="Times New Roman"/>
          <w:color w:val="000000" w:themeColor="text1"/>
          <w:sz w:val="20"/>
          <w:szCs w:val="20"/>
        </w:rPr>
        <w:tab/>
        <w:t xml:space="preserve">A. Défossez et al., "Decoding speech perception from non-invasive brain recordings," Nat. Mach. Intell., vol. 5, no. 10, pp. 1097–1107, Oct. 2023,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10.1038/s42256-023-00714-5.</w:t>
      </w:r>
    </w:p>
    <w:p w14:paraId="7616544B"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[13]</w:t>
      </w:r>
      <w:r w:rsidRPr="00333738">
        <w:rPr>
          <w:rFonts w:ascii="Times New Roman" w:hAnsi="Times New Roman" w:cs="Times New Roman"/>
          <w:color w:val="000000" w:themeColor="text1"/>
          <w:sz w:val="20"/>
          <w:szCs w:val="20"/>
        </w:rPr>
        <w:tab/>
        <w:t>S. d'Ascoli et al., "Towards decoding individual words from non-invasive brain recordings," Nat. Commun., 2025. [Verify DOI].</w:t>
      </w:r>
    </w:p>
    <w:p w14:paraId="51ACA9B2"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[14]</w:t>
      </w:r>
      <w:r w:rsidRPr="00333738">
        <w:rPr>
          <w:rFonts w:ascii="Times New Roman" w:hAnsi="Times New Roman" w:cs="Times New Roman"/>
          <w:color w:val="000000" w:themeColor="text1"/>
          <w:sz w:val="20"/>
          <w:szCs w:val="20"/>
        </w:rPr>
        <w:tab/>
        <w:t xml:space="preserve">J. Tang, A. </w:t>
      </w:r>
      <w:proofErr w:type="spellStart"/>
      <w:r w:rsidRPr="00333738">
        <w:rPr>
          <w:rFonts w:ascii="Times New Roman" w:hAnsi="Times New Roman" w:cs="Times New Roman"/>
          <w:color w:val="000000" w:themeColor="text1"/>
          <w:sz w:val="20"/>
          <w:szCs w:val="20"/>
        </w:rPr>
        <w:t>LeBel</w:t>
      </w:r>
      <w:proofErr w:type="spellEnd"/>
      <w:r w:rsidRPr="00333738">
        <w:rPr>
          <w:rFonts w:ascii="Times New Roman" w:hAnsi="Times New Roman" w:cs="Times New Roman"/>
          <w:color w:val="000000" w:themeColor="text1"/>
          <w:sz w:val="20"/>
          <w:szCs w:val="20"/>
        </w:rPr>
        <w:t xml:space="preserve">, S. Jain, and A. G. Huth, "Semantic reconstruction of continuous language from non-invasive brain recordings," Nat. Neurosci., vol. 26, no. 5, pp. 858–866, May 2023,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10.1038/s41593-023-01304-9.</w:t>
      </w:r>
    </w:p>
    <w:p w14:paraId="67F6F372"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[15]</w:t>
      </w:r>
      <w:r w:rsidRPr="00333738">
        <w:rPr>
          <w:rFonts w:ascii="Times New Roman" w:hAnsi="Times New Roman" w:cs="Times New Roman"/>
          <w:color w:val="000000" w:themeColor="text1"/>
          <w:sz w:val="20"/>
          <w:szCs w:val="20"/>
        </w:rPr>
        <w:tab/>
        <w:t xml:space="preserve">Y. Song et al., "Decoding silent speech based on high-density surface EMG using spatiotemporal neural network," IEEE Trans. Neural Syst. </w:t>
      </w:r>
      <w:proofErr w:type="spellStart"/>
      <w:r w:rsidRPr="00333738">
        <w:rPr>
          <w:rFonts w:ascii="Times New Roman" w:hAnsi="Times New Roman" w:cs="Times New Roman"/>
          <w:color w:val="000000" w:themeColor="text1"/>
          <w:sz w:val="20"/>
          <w:szCs w:val="20"/>
        </w:rPr>
        <w:t>Rehabil</w:t>
      </w:r>
      <w:proofErr w:type="spellEnd"/>
      <w:r w:rsidRPr="00333738">
        <w:rPr>
          <w:rFonts w:ascii="Times New Roman" w:hAnsi="Times New Roman" w:cs="Times New Roman"/>
          <w:color w:val="000000" w:themeColor="text1"/>
          <w:sz w:val="20"/>
          <w:szCs w:val="20"/>
        </w:rPr>
        <w:t>. Eng., vol. 31, pp. 1768–1778, Mar. 2023.</w:t>
      </w:r>
    </w:p>
    <w:p w14:paraId="07E637D5" w14:textId="77777777" w:rsidR="00C35484" w:rsidRPr="00333738" w:rsidRDefault="00000000">
      <w:pPr>
        <w:spacing w:after="80" w:line="296" w:lineRule="auto"/>
        <w:ind w:left="480" w:hanging="480"/>
        <w:rPr>
          <w:rFonts w:ascii="Times New Roman" w:hAnsi="Times New Roman" w:cs="Times New Roman"/>
          <w:color w:val="000000" w:themeColor="text1"/>
          <w:sz w:val="20"/>
          <w:szCs w:val="20"/>
        </w:rPr>
      </w:pPr>
      <w:r w:rsidRPr="00333738">
        <w:rPr>
          <w:rFonts w:ascii="Times New Roman" w:hAnsi="Times New Roman" w:cs="Times New Roman"/>
          <w:b/>
          <w:bCs/>
          <w:color w:val="000000" w:themeColor="text1"/>
          <w:sz w:val="20"/>
          <w:szCs w:val="20"/>
        </w:rPr>
        <w:t>[16]</w:t>
      </w:r>
      <w:r w:rsidRPr="00333738">
        <w:rPr>
          <w:rFonts w:ascii="Times New Roman" w:hAnsi="Times New Roman" w:cs="Times New Roman"/>
          <w:color w:val="000000" w:themeColor="text1"/>
          <w:sz w:val="20"/>
          <w:szCs w:val="20"/>
        </w:rPr>
        <w:tab/>
        <w:t xml:space="preserve">T. </w:t>
      </w:r>
      <w:proofErr w:type="spellStart"/>
      <w:r w:rsidRPr="00333738">
        <w:rPr>
          <w:rFonts w:ascii="Times New Roman" w:hAnsi="Times New Roman" w:cs="Times New Roman"/>
          <w:color w:val="000000" w:themeColor="text1"/>
          <w:sz w:val="20"/>
          <w:szCs w:val="20"/>
        </w:rPr>
        <w:t>Proix</w:t>
      </w:r>
      <w:proofErr w:type="spellEnd"/>
      <w:r w:rsidRPr="00333738">
        <w:rPr>
          <w:rFonts w:ascii="Times New Roman" w:hAnsi="Times New Roman" w:cs="Times New Roman"/>
          <w:color w:val="000000" w:themeColor="text1"/>
          <w:sz w:val="20"/>
          <w:szCs w:val="20"/>
        </w:rPr>
        <w:t xml:space="preserve"> et al., "</w:t>
      </w:r>
      <w:bookmarkStart w:id="1" w:name="_Hlk232540913"/>
      <w:r w:rsidRPr="00333738">
        <w:rPr>
          <w:rFonts w:ascii="Times New Roman" w:hAnsi="Times New Roman" w:cs="Times New Roman"/>
          <w:color w:val="000000" w:themeColor="text1"/>
          <w:sz w:val="20"/>
          <w:szCs w:val="20"/>
        </w:rPr>
        <w:t xml:space="preserve">Imagined speech can be decoded from </w:t>
      </w:r>
      <w:bookmarkEnd w:id="1"/>
      <w:r w:rsidRPr="00333738">
        <w:rPr>
          <w:rFonts w:ascii="Times New Roman" w:hAnsi="Times New Roman" w:cs="Times New Roman"/>
          <w:color w:val="000000" w:themeColor="text1"/>
          <w:sz w:val="20"/>
          <w:szCs w:val="20"/>
        </w:rPr>
        <w:t xml:space="preserve">low- and cross-frequency intracranial EEG features," Nat. Commun., vol. 13, Art. no. 48, Jan. 2022, </w:t>
      </w:r>
      <w:proofErr w:type="spellStart"/>
      <w:r w:rsidRPr="00333738">
        <w:rPr>
          <w:rFonts w:ascii="Times New Roman" w:hAnsi="Times New Roman" w:cs="Times New Roman"/>
          <w:color w:val="000000" w:themeColor="text1"/>
          <w:sz w:val="20"/>
          <w:szCs w:val="20"/>
        </w:rPr>
        <w:t>doi</w:t>
      </w:r>
      <w:proofErr w:type="spellEnd"/>
      <w:r w:rsidRPr="00333738">
        <w:rPr>
          <w:rFonts w:ascii="Times New Roman" w:hAnsi="Times New Roman" w:cs="Times New Roman"/>
          <w:color w:val="000000" w:themeColor="text1"/>
          <w:sz w:val="20"/>
          <w:szCs w:val="20"/>
        </w:rPr>
        <w:t>: 10.1038/s41467-021-27725-3.</w:t>
      </w:r>
    </w:p>
    <w:sectPr w:rsidR="00C35484" w:rsidRPr="0033373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09C9" w14:textId="77777777" w:rsidR="006C47CA" w:rsidRDefault="006C47CA">
      <w:r>
        <w:separator/>
      </w:r>
    </w:p>
  </w:endnote>
  <w:endnote w:type="continuationSeparator" w:id="0">
    <w:p w14:paraId="0CA684B4" w14:textId="77777777" w:rsidR="006C47CA" w:rsidRDefault="006C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D448" w14:textId="77777777" w:rsidR="00C35484"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48FD9" w14:textId="77777777" w:rsidR="006C47CA" w:rsidRDefault="006C47CA">
      <w:r>
        <w:separator/>
      </w:r>
    </w:p>
  </w:footnote>
  <w:footnote w:type="continuationSeparator" w:id="0">
    <w:p w14:paraId="38B7200F" w14:textId="77777777" w:rsidR="006C47CA" w:rsidRDefault="006C4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8BA1" w14:textId="77777777" w:rsidR="00C35484"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B581C"/>
    <w:multiLevelType w:val="hybridMultilevel"/>
    <w:tmpl w:val="C3565E16"/>
    <w:lvl w:ilvl="0" w:tplc="CA524E30">
      <w:start w:val="1"/>
      <w:numFmt w:val="bullet"/>
      <w:lvlText w:val="●"/>
      <w:lvlJc w:val="left"/>
      <w:pPr>
        <w:ind w:left="720" w:hanging="360"/>
      </w:pPr>
    </w:lvl>
    <w:lvl w:ilvl="1" w:tplc="D7B4C93C">
      <w:start w:val="1"/>
      <w:numFmt w:val="bullet"/>
      <w:lvlText w:val="○"/>
      <w:lvlJc w:val="left"/>
      <w:pPr>
        <w:ind w:left="1440" w:hanging="360"/>
      </w:pPr>
    </w:lvl>
    <w:lvl w:ilvl="2" w:tplc="7E32E25C">
      <w:start w:val="1"/>
      <w:numFmt w:val="bullet"/>
      <w:lvlText w:val="■"/>
      <w:lvlJc w:val="left"/>
      <w:pPr>
        <w:ind w:left="2160" w:hanging="360"/>
      </w:pPr>
    </w:lvl>
    <w:lvl w:ilvl="3" w:tplc="61D80738">
      <w:start w:val="1"/>
      <w:numFmt w:val="bullet"/>
      <w:lvlText w:val="●"/>
      <w:lvlJc w:val="left"/>
      <w:pPr>
        <w:ind w:left="2880" w:hanging="360"/>
      </w:pPr>
    </w:lvl>
    <w:lvl w:ilvl="4" w:tplc="68005A9A">
      <w:start w:val="1"/>
      <w:numFmt w:val="bullet"/>
      <w:lvlText w:val="○"/>
      <w:lvlJc w:val="left"/>
      <w:pPr>
        <w:ind w:left="3600" w:hanging="360"/>
      </w:pPr>
    </w:lvl>
    <w:lvl w:ilvl="5" w:tplc="4150F80E">
      <w:start w:val="1"/>
      <w:numFmt w:val="bullet"/>
      <w:lvlText w:val="■"/>
      <w:lvlJc w:val="left"/>
      <w:pPr>
        <w:ind w:left="4320" w:hanging="360"/>
      </w:pPr>
    </w:lvl>
    <w:lvl w:ilvl="6" w:tplc="FA2ABCCA">
      <w:start w:val="1"/>
      <w:numFmt w:val="bullet"/>
      <w:lvlText w:val="●"/>
      <w:lvlJc w:val="left"/>
      <w:pPr>
        <w:ind w:left="5040" w:hanging="360"/>
      </w:pPr>
    </w:lvl>
    <w:lvl w:ilvl="7" w:tplc="4B242E28">
      <w:start w:val="1"/>
      <w:numFmt w:val="bullet"/>
      <w:lvlText w:val="●"/>
      <w:lvlJc w:val="left"/>
      <w:pPr>
        <w:ind w:left="5760" w:hanging="360"/>
      </w:pPr>
    </w:lvl>
    <w:lvl w:ilvl="8" w:tplc="110A27CA">
      <w:start w:val="1"/>
      <w:numFmt w:val="bullet"/>
      <w:lvlText w:val="●"/>
      <w:lvlJc w:val="left"/>
      <w:pPr>
        <w:ind w:left="6480" w:hanging="360"/>
      </w:pPr>
    </w:lvl>
  </w:abstractNum>
  <w:num w:numId="1" w16cid:durableId="1985548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84"/>
    <w:rsid w:val="00333738"/>
    <w:rsid w:val="006C47CA"/>
    <w:rsid w:val="006F62DC"/>
    <w:rsid w:val="007842BD"/>
    <w:rsid w:val="008D4EA5"/>
    <w:rsid w:val="008E4FD0"/>
    <w:rsid w:val="00B973BA"/>
    <w:rsid w:val="00C35484"/>
    <w:rsid w:val="00CF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6CA1A0"/>
  <w15:docId w15:val="{0235A003-9ABB-2743-8362-F7E6DBCD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6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4</cp:revision>
  <dcterms:created xsi:type="dcterms:W3CDTF">2026-05-01T15:00:00Z</dcterms:created>
  <dcterms:modified xsi:type="dcterms:W3CDTF">2026-06-17T02:22:00Z</dcterms:modified>
</cp:coreProperties>
</file>