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Arial" w:cs="Arial" w:eastAsia="Arial" w:hAnsi="Arial"/>
          <w:b/>
          <w:bCs/>
          <w:color w:val="1F4E79"/>
          <w:sz w:val="28"/>
          <w:szCs w:val="28"/>
        </w:rPr>
        <w:t xml:space="preserve">6. Generalization Across Participants, Sessions, Languages, and Modalities</w:t>
      </w:r>
    </w:p>
    <w:p>
      <w:pPr>
        <w:pBdr>
          <w:bottom w:val="single" w:color="BDD7EE" w:sz="4" w:space="1"/>
        </w:pBdr>
        <w:spacing w:after="180" w:before="0"/>
      </w:pPr>
    </w:p>
    <w:p>
      <w:pPr>
        <w:pStyle w:val="Heading2"/>
        <w:spacing w:after="120" w:before="260"/>
      </w:pPr>
      <w:r>
        <w:rPr>
          <w:rFonts w:ascii="Arial" w:cs="Arial" w:eastAsia="Arial" w:hAnsi="Arial"/>
          <w:b/>
          <w:bCs/>
          <w:color w:val="2E75B6"/>
          <w:sz w:val="24"/>
          <w:szCs w:val="24"/>
        </w:rPr>
        <w:t xml:space="preserve">6.1  The Generalization Gap: A Field-Level Finding</w:t>
      </w:r>
    </w:p>
    <w:p>
      <w:pPr>
        <w:spacing w:after="160" w:before="0" w:line="348"/>
        <w:jc w:val="both"/>
      </w:pPr>
      <w:r>
        <w:rPr>
          <w:rFonts w:ascii="Arial" w:cs="Arial" w:eastAsia="Arial" w:hAnsi="Arial"/>
          <w:b w:val="false"/>
          <w:bCs w:val="false"/>
          <w:i w:val="false"/>
          <w:iCs w:val="false"/>
          <w:color w:val="000000"/>
          <w:sz w:val="22"/>
          <w:szCs w:val="22"/>
        </w:rPr>
        <w:t xml:space="preserve">There is a version of brain-to-speech decoding that works beautifully — for the specific person, on the specific day, using the specific vocabulary, in the specific laboratory where the system was trained. The uncomfortable question that the field has been slow to confront directly is: what happens when any one of those conditions changes? A neuroprosthesis that needs to be retrained every time the patient sleeps, cannot transfer to a second patient, and breaks down when the subject tries to say a word not in the training set is not a communication device — it is a laboratory demonstration.</w:t>
      </w:r>
    </w:p>
    <w:p>
      <w:pPr>
        <w:spacing w:after="160" w:before="0" w:line="348"/>
        <w:jc w:val="both"/>
      </w:pPr>
      <w:r>
        <w:rPr>
          <w:rFonts w:ascii="Arial" w:cs="Arial" w:eastAsia="Arial" w:hAnsi="Arial"/>
          <w:b w:val="false"/>
          <w:bCs w:val="false"/>
          <w:i w:val="false"/>
          <w:iCs w:val="false"/>
          <w:color w:val="000000"/>
          <w:sz w:val="22"/>
          <w:szCs w:val="22"/>
        </w:rPr>
        <w:t xml:space="preserve">The evidence from this review gives that concern a precise number. Of the 71 included studies, </w:t>
      </w:r>
      <w:r>
        <w:rPr>
          <w:rFonts w:ascii="Arial" w:cs="Arial" w:eastAsia="Arial" w:hAnsi="Arial"/>
          <w:b/>
          <w:bCs/>
          <w:i w:val="false"/>
          <w:iCs w:val="false"/>
          <w:color w:val="000000"/>
          <w:sz w:val="22"/>
          <w:szCs w:val="22"/>
        </w:rPr>
        <w:t xml:space="preserve">40 — 56% — demonstrate no generalization beyond the single participant and single session in which the decoder was developed.</w:t>
      </w:r>
      <w:r>
        <w:rPr>
          <w:rFonts w:ascii="Arial" w:cs="Arial" w:eastAsia="Arial" w:hAnsi="Arial"/>
          <w:b w:val="false"/>
          <w:bCs w:val="false"/>
          <w:i w:val="false"/>
          <w:iCs w:val="false"/>
          <w:color w:val="000000"/>
          <w:sz w:val="22"/>
          <w:szCs w:val="22"/>
        </w:rPr>
        <w:t xml:space="preserve"> Cross-session generalization is evidenced by exactly two studies. Cross-language generalization by exactly two. These are not isolated limitations of a few poorly designed studies; they describe the structural state of the field. The distribution is summarized in Table 4 and mapped visually in Fig. 6. The scarcity of generalization evidence is not a caveat to the review's conclusions — it is one of the review's primary conclusions.</w:t>
      </w:r>
    </w:p>
    <w:p>
      <w:pPr>
        <w:pStyle w:val="Heading2"/>
        <w:spacing w:after="120" w:before="260"/>
      </w:pPr>
      <w:r>
        <w:rPr>
          <w:rFonts w:ascii="Arial" w:cs="Arial" w:eastAsia="Arial" w:hAnsi="Arial"/>
          <w:b/>
          <w:bCs/>
          <w:color w:val="2E75B6"/>
          <w:sz w:val="24"/>
          <w:szCs w:val="24"/>
        </w:rPr>
        <w:t xml:space="preserve">6.2  Cross-Participant Generalization</w:t>
      </w:r>
    </w:p>
    <w:p>
      <w:pPr>
        <w:spacing w:after="160" w:before="0" w:line="348"/>
        <w:jc w:val="both"/>
      </w:pPr>
      <w:r>
        <w:rPr>
          <w:rFonts w:ascii="Arial" w:cs="Arial" w:eastAsia="Arial" w:hAnsi="Arial"/>
          <w:b w:val="false"/>
          <w:bCs w:val="false"/>
          <w:i w:val="false"/>
          <w:iCs w:val="false"/>
          <w:color w:val="000000"/>
          <w:sz w:val="22"/>
          <w:szCs w:val="22"/>
        </w:rPr>
        <w:t xml:space="preserve">Eighteen of the 71 included studies provide some evidence for cross-participant generalization — meaning a decoder trained on one or more participants performs above chance on a new, previously unseen participant. The methods used to achieve this vary considerably, and understanding them matters because not all cross-participant evidence is equivalent.</w:t>
      </w:r>
    </w:p>
    <w:p>
      <w:pPr>
        <w:spacing w:after="160" w:before="0" w:line="348"/>
        <w:jc w:val="both"/>
      </w:pPr>
      <w:r>
        <w:rPr>
          <w:rFonts w:ascii="Arial" w:cs="Arial" w:eastAsia="Arial" w:hAnsi="Arial"/>
          <w:b w:val="false"/>
          <w:bCs w:val="false"/>
          <w:i w:val="false"/>
          <w:iCs w:val="false"/>
          <w:color w:val="000000"/>
          <w:sz w:val="22"/>
          <w:szCs w:val="22"/>
        </w:rPr>
        <w:t xml:space="preserve">The strongest cross-participant evidence in this review comes from large-scale non-invasive studies where multi-participant training is the default assumption rather than a bonus result. Défossez and colleagues trained a contrastive self-supervised model across 175 participants simultaneously, achieving 41% top-1 accuracy on held-out participants — zero-shot, with no individual calibration </w:t>
      </w:r>
      <w:r>
        <w:rPr>
          <w:rFonts w:ascii="Arial" w:cs="Arial" w:eastAsia="Arial" w:hAnsi="Arial"/>
          <w:color w:val="2E75B6"/>
          <w:sz w:val="18"/>
          <w:szCs w:val="18"/>
          <w:vertAlign w:val="superscript"/>
        </w:rPr>
        <w:t xml:space="preserve">[1]</w:t>
      </w:r>
      <w:r>
        <w:rPr>
          <w:rFonts w:ascii="Arial" w:cs="Arial" w:eastAsia="Arial" w:hAnsi="Arial"/>
          <w:b w:val="false"/>
          <w:bCs w:val="false"/>
          <w:i w:val="false"/>
          <w:iCs w:val="false"/>
          <w:color w:val="000000"/>
          <w:sz w:val="22"/>
          <w:szCs w:val="22"/>
        </w:rPr>
        <w:t xml:space="preserve">. d'Ascoli and colleagues extended this to 723 participants across seven datasets and demonstrated explicitly that cross-participant performance scales with the number of training participants </w:t>
      </w:r>
      <w:r>
        <w:rPr>
          <w:rFonts w:ascii="Arial" w:cs="Arial" w:eastAsia="Arial" w:hAnsi="Arial"/>
          <w:color w:val="2E75B6"/>
          <w:sz w:val="18"/>
          <w:szCs w:val="18"/>
          <w:vertAlign w:val="superscript"/>
        </w:rPr>
        <w:t xml:space="preserve">[2]</w:t>
      </w:r>
      <w:r>
        <w:rPr>
          <w:rFonts w:ascii="Arial" w:cs="Arial" w:eastAsia="Arial" w:hAnsi="Arial"/>
          <w:b w:val="false"/>
          <w:bCs w:val="false"/>
          <w:i w:val="false"/>
          <w:iCs w:val="false"/>
          <w:color w:val="000000"/>
          <w:sz w:val="22"/>
          <w:szCs w:val="22"/>
        </w:rPr>
        <w:t xml:space="preserve">. For invasive modalities, where participant counts are smaller, Singh and colleagues pooled 25 sEEG recordings to show that a group decoder outperforms individual models — the most direct demonstration that shared latent neural representations exist across participants in invasive speech BCIs </w:t>
      </w:r>
      <w:r>
        <w:rPr>
          <w:rFonts w:ascii="Arial" w:cs="Arial" w:eastAsia="Arial" w:hAnsi="Arial"/>
          <w:color w:val="2E75B6"/>
          <w:sz w:val="18"/>
          <w:szCs w:val="18"/>
          <w:vertAlign w:val="superscript"/>
        </w:rPr>
        <w:t xml:space="preserve">[3]</w:t>
      </w:r>
      <w:r>
        <w:rPr>
          <w:rFonts w:ascii="Arial" w:cs="Arial" w:eastAsia="Arial" w:hAnsi="Arial"/>
          <w:b w:val="false"/>
          <w:bCs w:val="false"/>
          <w:i w:val="false"/>
          <w:iCs w:val="false"/>
          <w:color w:val="000000"/>
          <w:sz w:val="22"/>
          <w:szCs w:val="22"/>
        </w:rPr>
        <w:t xml:space="preserve">. Chen and colleagues achieved PCC=0.804 for cross-subject acoustic reconstruction across 48 ECoG participants </w:t>
      </w:r>
      <w:r>
        <w:rPr>
          <w:rFonts w:ascii="Arial" w:cs="Arial" w:eastAsia="Arial" w:hAnsi="Arial"/>
          <w:color w:val="2E75B6"/>
          <w:sz w:val="18"/>
          <w:szCs w:val="18"/>
          <w:vertAlign w:val="superscript"/>
        </w:rPr>
        <w:t xml:space="preserve">[4]</w:t>
      </w:r>
      <w:r>
        <w:rPr>
          <w:rFonts w:ascii="Arial" w:cs="Arial" w:eastAsia="Arial" w:hAnsi="Arial"/>
          <w:b w:val="false"/>
          <w:bCs w:val="false"/>
          <w:i w:val="false"/>
          <w:iCs w:val="false"/>
          <w:color w:val="000000"/>
          <w:sz w:val="22"/>
          <w:szCs w:val="22"/>
        </w:rPr>
        <w:t xml:space="preserve">, establishing that large ECoG cohort training is feasible even without the subject count accessible to non-invasive studies.</w:t>
      </w:r>
    </w:p>
    <w:p>
      <w:pPr>
        <w:spacing w:after="160" w:before="0" w:line="348"/>
        <w:jc w:val="both"/>
      </w:pPr>
      <w:r>
        <w:rPr>
          <w:rFonts w:ascii="Arial" w:cs="Arial" w:eastAsia="Arial" w:hAnsi="Arial"/>
          <w:b w:val="false"/>
          <w:bCs w:val="false"/>
          <w:i w:val="false"/>
          <w:iCs w:val="false"/>
          <w:color w:val="000000"/>
          <w:sz w:val="22"/>
          <w:szCs w:val="22"/>
        </w:rPr>
        <w:t xml:space="preserve">Transfer learning and self-supervised pre-training are the most consistently effective methods for achieving cross-participant generalization. The BENDR pre-training framework </w:t>
      </w:r>
      <w:r>
        <w:rPr>
          <w:rFonts w:ascii="Arial" w:cs="Arial" w:eastAsia="Arial" w:hAnsi="Arial"/>
          <w:color w:val="2E75B6"/>
          <w:sz w:val="18"/>
          <w:szCs w:val="18"/>
          <w:vertAlign w:val="superscript"/>
        </w:rPr>
        <w:t xml:space="preserve">[5]</w:t>
      </w:r>
      <w:r>
        <w:rPr>
          <w:rFonts w:ascii="Arial" w:cs="Arial" w:eastAsia="Arial" w:hAnsi="Arial"/>
          <w:b w:val="false"/>
          <w:bCs w:val="false"/>
          <w:i w:val="false"/>
          <w:iCs w:val="false"/>
          <w:color w:val="000000"/>
          <w:sz w:val="22"/>
          <w:szCs w:val="22"/>
        </w:rPr>
        <w:t xml:space="preserve">, BrainBERT for intracranial signals </w:t>
      </w:r>
      <w:r>
        <w:rPr>
          <w:rFonts w:ascii="Arial" w:cs="Arial" w:eastAsia="Arial" w:hAnsi="Arial"/>
          <w:color w:val="2E75B6"/>
          <w:sz w:val="18"/>
          <w:szCs w:val="18"/>
          <w:vertAlign w:val="superscript"/>
        </w:rPr>
        <w:t xml:space="preserve">[6]</w:t>
      </w:r>
      <w:r>
        <w:rPr>
          <w:rFonts w:ascii="Arial" w:cs="Arial" w:eastAsia="Arial" w:hAnsi="Arial"/>
          <w:b w:val="false"/>
          <w:bCs w:val="false"/>
          <w:i w:val="false"/>
          <w:iCs w:val="false"/>
          <w:color w:val="000000"/>
          <w:sz w:val="22"/>
          <w:szCs w:val="22"/>
        </w:rPr>
        <w:t xml:space="preserve">, and Yuan and Makin's ECoG SSL pre-training </w:t>
      </w:r>
      <w:r>
        <w:rPr>
          <w:rFonts w:ascii="Arial" w:cs="Arial" w:eastAsia="Arial" w:hAnsi="Arial"/>
          <w:color w:val="2E75B6"/>
          <w:sz w:val="18"/>
          <w:szCs w:val="18"/>
          <w:vertAlign w:val="superscript"/>
        </w:rPr>
        <w:t xml:space="preserve">[7]</w:t>
      </w:r>
      <w:r>
        <w:rPr>
          <w:rFonts w:ascii="Arial" w:cs="Arial" w:eastAsia="Arial" w:hAnsi="Arial"/>
          <w:b w:val="false"/>
          <w:bCs w:val="false"/>
          <w:i w:val="false"/>
          <w:iCs w:val="false"/>
          <w:color w:val="000000"/>
          <w:sz w:val="22"/>
          <w:szCs w:val="22"/>
        </w:rPr>
        <w:t xml:space="preserve"> all demonstrate that pre-trained shared representations improve downstream per-participant performance — reducing the amount of new-participant data required without eliminating the need for any fine-tuning entirely. The critical remaining question is how much individual fine-tuning will always be necessary given the known variability in cortical anatomy, electrode placement, and individual speech neurology. No study in this review achieves zero-shot cross-participant decoding for invasive modalities.</w:t>
      </w:r>
    </w:p>
    <w:p>
      <w:pPr>
        <w:pStyle w:val="Heading2"/>
        <w:spacing w:after="120" w:before="260"/>
      </w:pPr>
      <w:r>
        <w:rPr>
          <w:rFonts w:ascii="Arial" w:cs="Arial" w:eastAsia="Arial" w:hAnsi="Arial"/>
          <w:b/>
          <w:bCs/>
          <w:color w:val="2E75B6"/>
          <w:sz w:val="24"/>
          <w:szCs w:val="24"/>
        </w:rPr>
        <w:t xml:space="preserve">6.3  Cross-Session, Cross-Language, and Cross-Modal Evidence</w:t>
      </w:r>
    </w:p>
    <w:p>
      <w:pPr>
        <w:spacing w:after="160" w:before="0" w:line="348"/>
        <w:jc w:val="both"/>
      </w:pPr>
      <w:r>
        <w:rPr>
          <w:rFonts w:ascii="Arial" w:cs="Arial" w:eastAsia="Arial" w:hAnsi="Arial"/>
          <w:b w:val="false"/>
          <w:bCs w:val="false"/>
          <w:i w:val="false"/>
          <w:iCs w:val="false"/>
          <w:color w:val="000000"/>
          <w:sz w:val="22"/>
          <w:szCs w:val="22"/>
        </w:rPr>
        <w:t xml:space="preserve">Cross-session generalization — the ability of a decoder to maintain performance across recording sessions days or weeks apart without full retraining — is the most clinically urgent form of generalization and the most poorly evidenced in this review. Only two studies address it directly. Card and colleagues demonstrated 97.5% word accuracy sustained across eight months of daily use in a single ALS participant via a 30-minute daily calibration protocol </w:t>
      </w:r>
      <w:r>
        <w:rPr>
          <w:rFonts w:ascii="Arial" w:cs="Arial" w:eastAsia="Arial" w:hAnsi="Arial"/>
          <w:color w:val="2E75B6"/>
          <w:sz w:val="18"/>
          <w:szCs w:val="18"/>
          <w:vertAlign w:val="superscript"/>
        </w:rPr>
        <w:t xml:space="preserve">[8]</w:t>
      </w:r>
      <w:r>
        <w:rPr>
          <w:rFonts w:ascii="Arial" w:cs="Arial" w:eastAsia="Arial" w:hAnsi="Arial"/>
          <w:b w:val="false"/>
          <w:bCs w:val="false"/>
          <w:i w:val="false"/>
          <w:iCs w:val="false"/>
          <w:color w:val="000000"/>
          <w:sz w:val="22"/>
          <w:szCs w:val="22"/>
        </w:rPr>
        <w:t xml:space="preserve">. Degenhart and colleagues showed that low-dimensional manifold alignment preserves approximately 95% of single-session decoding performance across sessions without collecting any new labeled data </w:t>
      </w:r>
      <w:r>
        <w:rPr>
          <w:rFonts w:ascii="Arial" w:cs="Arial" w:eastAsia="Arial" w:hAnsi="Arial"/>
          <w:color w:val="2E75B6"/>
          <w:sz w:val="18"/>
          <w:szCs w:val="18"/>
          <w:vertAlign w:val="superscript"/>
        </w:rPr>
        <w:t xml:space="preserve">[9]</w:t>
      </w:r>
      <w:r>
        <w:rPr>
          <w:rFonts w:ascii="Arial" w:cs="Arial" w:eastAsia="Arial" w:hAnsi="Arial"/>
          <w:b w:val="false"/>
          <w:bCs w:val="false"/>
          <w:i w:val="false"/>
          <w:iCs w:val="false"/>
          <w:color w:val="000000"/>
          <w:sz w:val="22"/>
          <w:szCs w:val="22"/>
        </w:rPr>
        <w:t xml:space="preserve">. Both results are clinically meaningful, but both involve only two participants across two laboratories. A field whose clinical goal is daily, long-term, reliable communication has produced exactly two cross-session generalization studies. That gap is stark.</w:t>
      </w:r>
    </w:p>
    <w:p>
      <w:pPr>
        <w:spacing w:after="160" w:before="0" w:line="348"/>
        <w:jc w:val="both"/>
      </w:pPr>
      <w:r>
        <w:rPr>
          <w:rFonts w:ascii="Arial" w:cs="Arial" w:eastAsia="Arial" w:hAnsi="Arial"/>
          <w:b w:val="false"/>
          <w:bCs w:val="false"/>
          <w:i w:val="false"/>
          <w:iCs w:val="false"/>
          <w:color w:val="000000"/>
          <w:sz w:val="22"/>
          <w:szCs w:val="22"/>
        </w:rPr>
        <w:t xml:space="preserve">Cross-language generalization is equally sparse. d'Ascoli and colleagues stand alone as the only study to systematically evaluate a single decoder across multiple languages — English, French, and Dutch — at population scale </w:t>
      </w:r>
      <w:r>
        <w:rPr>
          <w:rFonts w:ascii="Arial" w:cs="Arial" w:eastAsia="Arial" w:hAnsi="Arial"/>
          <w:color w:val="2E75B6"/>
          <w:sz w:val="18"/>
          <w:szCs w:val="18"/>
          <w:vertAlign w:val="superscript"/>
        </w:rPr>
        <w:t xml:space="preserve">[2]</w:t>
      </w:r>
      <w:r>
        <w:rPr>
          <w:rFonts w:ascii="Arial" w:cs="Arial" w:eastAsia="Arial" w:hAnsi="Arial"/>
          <w:b w:val="false"/>
          <w:bCs w:val="false"/>
          <w:i w:val="false"/>
          <w:iCs w:val="false"/>
          <w:color w:val="000000"/>
          <w:sz w:val="22"/>
          <w:szCs w:val="22"/>
        </w:rPr>
        <w:t xml:space="preserve">. Zhu and colleagues demonstrated comparable HD-sEMG performance for English and Chinese digit classification using the same electrode configuration </w:t>
      </w:r>
      <w:r>
        <w:rPr>
          <w:rFonts w:ascii="Arial" w:cs="Arial" w:eastAsia="Arial" w:hAnsi="Arial"/>
          <w:color w:val="2E75B6"/>
          <w:sz w:val="18"/>
          <w:szCs w:val="18"/>
          <w:vertAlign w:val="superscript"/>
        </w:rPr>
        <w:t xml:space="preserve">[10]</w:t>
      </w:r>
      <w:r>
        <w:rPr>
          <w:rFonts w:ascii="Arial" w:cs="Arial" w:eastAsia="Arial" w:hAnsi="Arial"/>
          <w:b w:val="false"/>
          <w:bCs w:val="false"/>
          <w:i w:val="false"/>
          <w:iCs w:val="false"/>
          <w:color w:val="000000"/>
          <w:sz w:val="22"/>
          <w:szCs w:val="22"/>
        </w:rPr>
        <w:t xml:space="preserve">, but only for digit sets. The remaining 94% of included studies are English-only. For a technology intended to serve communicatively impaired individuals worldwide — including the hundreds of millions for whom English is not a first language — the language coverage of the existing evidence base represents a profound access gap that the field has not yet begun to address systematically.</w:t>
      </w:r>
    </w:p>
    <w:p>
      <w:pPr>
        <w:spacing w:after="160" w:before="0" w:line="348"/>
        <w:jc w:val="both"/>
      </w:pPr>
      <w:r>
        <w:rPr>
          <w:rFonts w:ascii="Arial" w:cs="Arial" w:eastAsia="Arial" w:hAnsi="Arial"/>
          <w:b w:val="false"/>
          <w:bCs w:val="false"/>
          <w:i w:val="false"/>
          <w:iCs w:val="false"/>
          <w:color w:val="000000"/>
          <w:sz w:val="22"/>
          <w:szCs w:val="22"/>
        </w:rPr>
        <w:t xml:space="preserve">Cross-modal generalization — transferring a decoder trained on one recording modality to another — appears in five included studies and represents a nascent but important direction. Peterson and colleagues demonstrated that a single CNN decoder trained jointly on EEG and ECoG data transfers across modalities </w:t>
      </w:r>
      <w:r>
        <w:rPr>
          <w:rFonts w:ascii="Arial" w:cs="Arial" w:eastAsia="Arial" w:hAnsi="Arial"/>
          <w:color w:val="2E75B6"/>
          <w:sz w:val="18"/>
          <w:szCs w:val="18"/>
          <w:vertAlign w:val="superscript"/>
        </w:rPr>
        <w:t xml:space="preserve">[11]</w:t>
      </w:r>
      <w:r>
        <w:rPr>
          <w:rFonts w:ascii="Arial" w:cs="Arial" w:eastAsia="Arial" w:hAnsi="Arial"/>
          <w:b w:val="false"/>
          <w:bCs w:val="false"/>
          <w:i w:val="false"/>
          <w:iCs w:val="false"/>
          <w:color w:val="000000"/>
          <w:sz w:val="22"/>
          <w:szCs w:val="22"/>
        </w:rPr>
        <w:t xml:space="preserve">. Tang and Huth showed cross-participant cross-modal semantic decoding simultaneously across EEG, MEG, and fMRI </w:t>
      </w:r>
      <w:r>
        <w:rPr>
          <w:rFonts w:ascii="Arial" w:cs="Arial" w:eastAsia="Arial" w:hAnsi="Arial"/>
          <w:color w:val="2E75B6"/>
          <w:sz w:val="18"/>
          <w:szCs w:val="18"/>
          <w:vertAlign w:val="superscript"/>
        </w:rPr>
        <w:t xml:space="preserve">[12]</w:t>
      </w:r>
      <w:r>
        <w:rPr>
          <w:rFonts w:ascii="Arial" w:cs="Arial" w:eastAsia="Arial" w:hAnsi="Arial"/>
          <w:b w:val="false"/>
          <w:bCs w:val="false"/>
          <w:i w:val="false"/>
          <w:iCs w:val="false"/>
          <w:color w:val="000000"/>
          <w:sz w:val="22"/>
          <w:szCs w:val="22"/>
        </w:rPr>
        <w:t xml:space="preserve">. De Borman and colleagues quantified the performance cost of transferring an ECoG decoder across speech production modes — overt, imagined, and perceived — in 16 participants </w:t>
      </w:r>
      <w:r>
        <w:rPr>
          <w:rFonts w:ascii="Arial" w:cs="Arial" w:eastAsia="Arial" w:hAnsi="Arial"/>
          <w:color w:val="2E75B6"/>
          <w:sz w:val="18"/>
          <w:szCs w:val="18"/>
          <w:vertAlign w:val="superscript"/>
        </w:rPr>
        <w:t xml:space="preserve">[13]</w:t>
      </w:r>
      <w:r>
        <w:rPr>
          <w:rFonts w:ascii="Arial" w:cs="Arial" w:eastAsia="Arial" w:hAnsi="Arial"/>
          <w:b w:val="false"/>
          <w:bCs w:val="false"/>
          <w:i w:val="false"/>
          <w:iCs w:val="false"/>
          <w:color w:val="000000"/>
          <w:sz w:val="22"/>
          <w:szCs w:val="22"/>
        </w:rPr>
        <w:t xml:space="preserve">. These studies collectively suggest that shared neural representations for language exist across recording modalities and speech conditions, but that transfer is not free: there is always a performance cost when the recording context changes.</w:t>
      </w:r>
    </w:p>
    <w:p>
      <w:pPr>
        <w:pStyle w:val="Heading2"/>
        <w:spacing w:after="120" w:before="260"/>
      </w:pPr>
      <w:r>
        <w:rPr>
          <w:rFonts w:ascii="Arial" w:cs="Arial" w:eastAsia="Arial" w:hAnsi="Arial"/>
          <w:b/>
          <w:bCs/>
          <w:color w:val="2E75B6"/>
          <w:sz w:val="24"/>
          <w:szCs w:val="24"/>
        </w:rPr>
        <w:t xml:space="preserve">6.4  What Generalization Actually Requires</w:t>
      </w:r>
    </w:p>
    <w:p>
      <w:pPr>
        <w:spacing w:after="160" w:before="0" w:line="348"/>
        <w:jc w:val="both"/>
      </w:pPr>
      <w:r>
        <w:rPr>
          <w:rFonts w:ascii="Arial" w:cs="Arial" w:eastAsia="Arial" w:hAnsi="Arial"/>
          <w:b w:val="false"/>
          <w:bCs w:val="false"/>
          <w:i w:val="false"/>
          <w:iCs w:val="false"/>
          <w:color w:val="000000"/>
          <w:sz w:val="22"/>
          <w:szCs w:val="22"/>
        </w:rPr>
        <w:t xml:space="preserve">Taken together, the evidence in this section points to three conditions that consistently enable generalization: sufficient participant scale for pre-training; architectural choices that learn modality-level rather than individual-level representations (SSL, contrastive learning, foundation models); and evaluation designs that treat generalization as a primary outcome rather than a secondary observation. The field's dominant single-participant, within-session study design systematically prevents any of these conditions from being met. Shifting towards multi-participant training consortia, standardized evaluation protocols that include held-out participant testing, and explicit cross-session evaluation windows would produce a literature far better equipped to answer the question that matters most to patients and clinicians: will this work for someone other than the person it was built for?</w:t>
      </w:r>
    </w:p>
    <w:p>
      <w:pPr>
        <w:pBdr>
          <w:bottom w:val="single" w:color="BDD7EE" w:sz="4" w:space="1"/>
        </w:pBdr>
        <w:spacing w:after="180" w:before="0"/>
      </w:pPr>
    </w:p>
    <w:p>
      <w:pPr>
        <w:spacing w:after="120" w:before="260"/>
      </w:pPr>
      <w:r>
        <w:rPr>
          <w:rFonts w:ascii="Arial" w:cs="Arial" w:eastAsia="Arial" w:hAnsi="Arial"/>
          <w:b/>
          <w:bCs/>
          <w:color w:val="1F4E79"/>
          <w:sz w:val="24"/>
          <w:szCs w:val="24"/>
        </w:rPr>
        <w:t xml:space="preserve">References</w:t>
      </w:r>
    </w:p>
    <w:p>
      <w:pPr>
        <w:spacing w:after="0" w:before="100" w:line="296"/>
      </w:pPr>
      <w:r>
        <w:rPr>
          <w:rFonts w:ascii="Arial" w:cs="Arial" w:eastAsia="Arial" w:hAnsi="Arial"/>
          <w:color w:val="595959"/>
          <w:sz w:val="18"/>
          <w:szCs w:val="18"/>
        </w:rPr>
        <w:t xml:space="preserve">Section 6 references — to be renumbered in the final manuscript pass.</w:t>
      </w:r>
    </w:p>
    <w:p>
      <w:pPr>
        <w:spacing w:after="60" w:before="0"/>
      </w:pPr>
    </w:p>
    <w:p>
      <w:pPr>
        <w:spacing w:after="80" w:before="0" w:line="296"/>
        <w:ind w:left="480" w:hanging="480"/>
      </w:pPr>
      <w:r>
        <w:rPr>
          <w:rFonts w:ascii="Arial" w:cs="Arial" w:eastAsia="Arial" w:hAnsi="Arial"/>
          <w:b/>
          <w:bCs/>
          <w:color w:val="2E75B6"/>
          <w:sz w:val="18"/>
          <w:szCs w:val="18"/>
        </w:rPr>
        <w:t xml:space="preserve">[1]</w:t>
      </w:r>
      <w:r>
        <w:rPr>
          <w:rFonts w:ascii="Arial" w:cs="Arial" w:eastAsia="Arial" w:hAnsi="Arial"/>
          <w:color w:val="000000"/>
          <w:sz w:val="18"/>
          <w:szCs w:val="18"/>
        </w:rPr>
        <w:t xml:space="preserve">	A. Défossez et al., "Decoding speech perception from non-invasive brain recordings," Nat. Mach. Intell., vol. 5, no. 10, pp. 1097–1107, Oct. 2023, doi: 10.1038/s42256-023-00714-5.</w:t>
      </w:r>
    </w:p>
    <w:p>
      <w:pPr>
        <w:spacing w:after="80" w:before="0" w:line="296"/>
        <w:ind w:left="480" w:hanging="480"/>
      </w:pPr>
      <w:r>
        <w:rPr>
          <w:rFonts w:ascii="Arial" w:cs="Arial" w:eastAsia="Arial" w:hAnsi="Arial"/>
          <w:b/>
          <w:bCs/>
          <w:color w:val="2E75B6"/>
          <w:sz w:val="18"/>
          <w:szCs w:val="18"/>
        </w:rPr>
        <w:t xml:space="preserve">[2]</w:t>
      </w:r>
      <w:r>
        <w:rPr>
          <w:rFonts w:ascii="Arial" w:cs="Arial" w:eastAsia="Arial" w:hAnsi="Arial"/>
          <w:color w:val="000000"/>
          <w:sz w:val="18"/>
          <w:szCs w:val="18"/>
        </w:rPr>
        <w:t xml:space="preserve">	S. d'Ascoli et al., "Towards decoding individual words from non-invasive brain recordings," Nat. Commun., 2025. [Verify final DOI upon publication].</w:t>
      </w:r>
    </w:p>
    <w:p>
      <w:pPr>
        <w:spacing w:after="80" w:before="0" w:line="296"/>
        <w:ind w:left="480" w:hanging="480"/>
      </w:pPr>
      <w:r>
        <w:rPr>
          <w:rFonts w:ascii="Arial" w:cs="Arial" w:eastAsia="Arial" w:hAnsi="Arial"/>
          <w:b/>
          <w:bCs/>
          <w:color w:val="2E75B6"/>
          <w:sz w:val="18"/>
          <w:szCs w:val="18"/>
        </w:rPr>
        <w:t xml:space="preserve">[3]</w:t>
      </w:r>
      <w:r>
        <w:rPr>
          <w:rFonts w:ascii="Arial" w:cs="Arial" w:eastAsia="Arial" w:hAnsi="Arial"/>
          <w:color w:val="000000"/>
          <w:sz w:val="18"/>
          <w:szCs w:val="18"/>
        </w:rPr>
        <w:t xml:space="preserve">	A. Singh et al., "Transfer learning via distributed brain recordings enables reliable speech decoding," Nat. Commun., vol. 16, Art. no. 8749, 2025, doi: 10.1038/s41467-025-63825-0.</w:t>
      </w:r>
    </w:p>
    <w:p>
      <w:pPr>
        <w:spacing w:after="80" w:before="0" w:line="296"/>
        <w:ind w:left="480" w:hanging="480"/>
      </w:pPr>
      <w:r>
        <w:rPr>
          <w:rFonts w:ascii="Arial" w:cs="Arial" w:eastAsia="Arial" w:hAnsi="Arial"/>
          <w:b/>
          <w:bCs/>
          <w:color w:val="2E75B6"/>
          <w:sz w:val="18"/>
          <w:szCs w:val="18"/>
        </w:rPr>
        <w:t xml:space="preserve">[4]</w:t>
      </w:r>
      <w:r>
        <w:rPr>
          <w:rFonts w:ascii="Arial" w:cs="Arial" w:eastAsia="Arial" w:hAnsi="Arial"/>
          <w:color w:val="000000"/>
          <w:sz w:val="18"/>
          <w:szCs w:val="18"/>
        </w:rPr>
        <w:t xml:space="preserve">	X. Chen et al., "A neural speech decoding framework leveraging deep learning and speech synthesis," Nat. Mach. Intell., vol. 6, no. 4, pp. 467–480, Apr. 2024, doi: 10.1038/s42256-024-00824-8.</w:t>
      </w:r>
    </w:p>
    <w:p>
      <w:pPr>
        <w:spacing w:after="80" w:before="0" w:line="296"/>
        <w:ind w:left="480" w:hanging="480"/>
      </w:pPr>
      <w:r>
        <w:rPr>
          <w:rFonts w:ascii="Arial" w:cs="Arial" w:eastAsia="Arial" w:hAnsi="Arial"/>
          <w:b/>
          <w:bCs/>
          <w:color w:val="2E75B6"/>
          <w:sz w:val="18"/>
          <w:szCs w:val="18"/>
        </w:rPr>
        <w:t xml:space="preserve">[5]</w:t>
      </w:r>
      <w:r>
        <w:rPr>
          <w:rFonts w:ascii="Arial" w:cs="Arial" w:eastAsia="Arial" w:hAnsi="Arial"/>
          <w:color w:val="000000"/>
          <w:sz w:val="18"/>
          <w:szCs w:val="18"/>
        </w:rPr>
        <w:t xml:space="preserve">	D. Kostas et al., "BENDR: Using transformers and a contrastive self-supervised learning task to learn from massive amounts of EEG data," Front. Hum. Neurosci., vol. 15, Art. no. 653659, Aug. 2021, doi: 10.3389/fnhum.2021.653659.</w:t>
      </w:r>
    </w:p>
    <w:p>
      <w:pPr>
        <w:spacing w:after="80" w:before="0" w:line="296"/>
        <w:ind w:left="480" w:hanging="480"/>
      </w:pPr>
      <w:r>
        <w:rPr>
          <w:rFonts w:ascii="Arial" w:cs="Arial" w:eastAsia="Arial" w:hAnsi="Arial"/>
          <w:b/>
          <w:bCs/>
          <w:color w:val="2E75B6"/>
          <w:sz w:val="18"/>
          <w:szCs w:val="18"/>
        </w:rPr>
        <w:t xml:space="preserve">[6]</w:t>
      </w:r>
      <w:r>
        <w:rPr>
          <w:rFonts w:ascii="Arial" w:cs="Arial" w:eastAsia="Arial" w:hAnsi="Arial"/>
          <w:color w:val="000000"/>
          <w:sz w:val="18"/>
          <w:szCs w:val="18"/>
        </w:rPr>
        <w:t xml:space="preserve">	Y. Wang et al., "BrainBERT: Self-supervised representation learning for intracranial recordings," in Proc. Int. Conf. Learn. Represent. (ICLR), 2023.</w:t>
      </w:r>
    </w:p>
    <w:p>
      <w:pPr>
        <w:spacing w:after="80" w:before="0" w:line="296"/>
        <w:ind w:left="480" w:hanging="480"/>
      </w:pPr>
      <w:r>
        <w:rPr>
          <w:rFonts w:ascii="Arial" w:cs="Arial" w:eastAsia="Arial" w:hAnsi="Arial"/>
          <w:b/>
          <w:bCs/>
          <w:color w:val="2E75B6"/>
          <w:sz w:val="18"/>
          <w:szCs w:val="18"/>
        </w:rPr>
        <w:t xml:space="preserve">[7]</w:t>
      </w:r>
      <w:r>
        <w:rPr>
          <w:rFonts w:ascii="Arial" w:cs="Arial" w:eastAsia="Arial" w:hAnsi="Arial"/>
          <w:color w:val="000000"/>
          <w:sz w:val="18"/>
          <w:szCs w:val="18"/>
        </w:rPr>
        <w:t xml:space="preserve">	B. A. Yuan and J. G. Makin, "Improving speech decoding from ECoG with self-supervised pretraining," arXiv preprint arXiv:2405.18639, May 2024.</w:t>
      </w:r>
    </w:p>
    <w:p>
      <w:pPr>
        <w:spacing w:after="80" w:before="0" w:line="296"/>
        <w:ind w:left="480" w:hanging="480"/>
      </w:pPr>
      <w:r>
        <w:rPr>
          <w:rFonts w:ascii="Arial" w:cs="Arial" w:eastAsia="Arial" w:hAnsi="Arial"/>
          <w:b/>
          <w:bCs/>
          <w:color w:val="2E75B6"/>
          <w:sz w:val="18"/>
          <w:szCs w:val="18"/>
        </w:rPr>
        <w:t xml:space="preserve">[8]</w:t>
      </w:r>
      <w:r>
        <w:rPr>
          <w:rFonts w:ascii="Arial" w:cs="Arial" w:eastAsia="Arial" w:hAnsi="Arial"/>
          <w:color w:val="000000"/>
          <w:sz w:val="18"/>
          <w:szCs w:val="18"/>
        </w:rPr>
        <w:t xml:space="preserve">	N. S. Card et al., "An accurate and rapidly calibrating speech neuroprosthesis," N. Engl. J. Med., vol. 391, no. 7, pp. 609–618, Aug. 2024, doi: 10.1056/NEJMoa2314132.</w:t>
      </w:r>
    </w:p>
    <w:p>
      <w:pPr>
        <w:spacing w:after="80" w:before="0" w:line="296"/>
        <w:ind w:left="480" w:hanging="480"/>
      </w:pPr>
      <w:r>
        <w:rPr>
          <w:rFonts w:ascii="Arial" w:cs="Arial" w:eastAsia="Arial" w:hAnsi="Arial"/>
          <w:b/>
          <w:bCs/>
          <w:color w:val="2E75B6"/>
          <w:sz w:val="18"/>
          <w:szCs w:val="18"/>
        </w:rPr>
        <w:t xml:space="preserve">[9]</w:t>
      </w:r>
      <w:r>
        <w:rPr>
          <w:rFonts w:ascii="Arial" w:cs="Arial" w:eastAsia="Arial" w:hAnsi="Arial"/>
          <w:color w:val="000000"/>
          <w:sz w:val="18"/>
          <w:szCs w:val="18"/>
        </w:rPr>
        <w:t xml:space="preserve">	A. D. Degenhart et al., "Stabilization of a brain–computer interface via the alignment of low-dimensional spaces of neural activity," Nat. Biomed. Eng., vol. 4, no. 12, pp. 1200–1213, Dec. 2020, doi: 10.1038/s41551-020-0542-9.</w:t>
      </w:r>
    </w:p>
    <w:p>
      <w:pPr>
        <w:spacing w:after="80" w:before="0" w:line="296"/>
        <w:ind w:left="480" w:hanging="480"/>
      </w:pPr>
      <w:r>
        <w:rPr>
          <w:rFonts w:ascii="Arial" w:cs="Arial" w:eastAsia="Arial" w:hAnsi="Arial"/>
          <w:b/>
          <w:bCs/>
          <w:color w:val="2E75B6"/>
          <w:sz w:val="18"/>
          <w:szCs w:val="18"/>
        </w:rPr>
        <w:t xml:space="preserve">[10]</w:t>
      </w:r>
      <w:r>
        <w:rPr>
          <w:rFonts w:ascii="Arial" w:cs="Arial" w:eastAsia="Arial" w:hAnsi="Arial"/>
          <w:color w:val="000000"/>
          <w:sz w:val="18"/>
          <w:szCs w:val="18"/>
        </w:rPr>
        <w:t xml:space="preserve">	J. Zhu et al., "Towards optimizing electrode configurations for silent speech recognition based on HD-sEMG," J. Neural Eng., vol. 18, no. 6, Art. no. 066010, Dec. 2021, doi: 10.1088/1741-2552/ac3309.</w:t>
      </w:r>
    </w:p>
    <w:p>
      <w:pPr>
        <w:spacing w:after="80" w:before="0" w:line="296"/>
        <w:ind w:left="480" w:hanging="480"/>
      </w:pPr>
      <w:r>
        <w:rPr>
          <w:rFonts w:ascii="Arial" w:cs="Arial" w:eastAsia="Arial" w:hAnsi="Arial"/>
          <w:b/>
          <w:bCs/>
          <w:color w:val="2E75B6"/>
          <w:sz w:val="18"/>
          <w:szCs w:val="18"/>
        </w:rPr>
        <w:t xml:space="preserve">[11]</w:t>
      </w:r>
      <w:r>
        <w:rPr>
          <w:rFonts w:ascii="Arial" w:cs="Arial" w:eastAsia="Arial" w:hAnsi="Arial"/>
          <w:color w:val="000000"/>
          <w:sz w:val="18"/>
          <w:szCs w:val="18"/>
        </w:rPr>
        <w:t xml:space="preserve">	J. C. Peterson et al., "Generalized neural decoders for transfer learning across participants and recording modalities," J. Neural Eng., vol. 18, no. 2, Art. no. 026014, 2021.</w:t>
      </w:r>
    </w:p>
    <w:p>
      <w:pPr>
        <w:spacing w:after="80" w:before="0" w:line="296"/>
        <w:ind w:left="480" w:hanging="480"/>
      </w:pPr>
      <w:r>
        <w:rPr>
          <w:rFonts w:ascii="Arial" w:cs="Arial" w:eastAsia="Arial" w:hAnsi="Arial"/>
          <w:b/>
          <w:bCs/>
          <w:color w:val="2E75B6"/>
          <w:sz w:val="18"/>
          <w:szCs w:val="18"/>
        </w:rPr>
        <w:t xml:space="preserve">[12]</w:t>
      </w:r>
      <w:r>
        <w:rPr>
          <w:rFonts w:ascii="Arial" w:cs="Arial" w:eastAsia="Arial" w:hAnsi="Arial"/>
          <w:color w:val="000000"/>
          <w:sz w:val="18"/>
          <w:szCs w:val="18"/>
        </w:rPr>
        <w:t xml:space="preserve">	J. Tang and A. G. Huth, "Semantic language decoding across participants and stimulus modalities," Curr. Biol., 2025.</w:t>
      </w:r>
    </w:p>
    <w:p>
      <w:pPr>
        <w:spacing w:after="80" w:before="0" w:line="296"/>
        <w:ind w:left="480" w:hanging="480"/>
      </w:pPr>
      <w:r>
        <w:rPr>
          <w:rFonts w:ascii="Arial" w:cs="Arial" w:eastAsia="Arial" w:hAnsi="Arial"/>
          <w:b/>
          <w:bCs/>
          <w:color w:val="2E75B6"/>
          <w:sz w:val="18"/>
          <w:szCs w:val="18"/>
        </w:rPr>
        <w:t xml:space="preserve">[13]</w:t>
      </w:r>
      <w:r>
        <w:rPr>
          <w:rFonts w:ascii="Arial" w:cs="Arial" w:eastAsia="Arial" w:hAnsi="Arial"/>
          <w:color w:val="000000"/>
          <w:sz w:val="18"/>
          <w:szCs w:val="18"/>
        </w:rPr>
        <w:t xml:space="preserve">	I. de Borman et al., "Imagined speech event detection from electrocorticography and its transfer between speech modes and subjects," Commun. Biol., 2024.</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8"/>
        <w:szCs w:val="18"/>
      </w:rPr>
      <w:t xml:space="preserve">Adeika &amp; Osuagwu  |  Morgan State University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pPr>
    <w:r>
      <w:rPr>
        <w:rFonts w:ascii="Arial" w:cs="Arial" w:eastAsia="Arial" w:hAnsi="Arial"/>
        <w:color w:val="595959"/>
        <w:sz w:val="18"/>
        <w:szCs w:val="18"/>
      </w:rPr>
      <w:t xml:space="preserve">AI for Brain-to-Speech Decoding: A Systematic Review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2026-05-01T15:06:40.331Z</dcterms:created>
  <dcterms:modified xsi:type="dcterms:W3CDTF">2026-05-01T15:06:40.332Z</dcterms:modified>
</cp:coreProperties>
</file>

<file path=docProps/custom.xml><?xml version="1.0" encoding="utf-8"?>
<Properties xmlns="http://schemas.openxmlformats.org/officeDocument/2006/custom-properties" xmlns:vt="http://schemas.openxmlformats.org/officeDocument/2006/docPropsVTypes"/>
</file>