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1F4E79"/>
          <w:sz w:val="28"/>
          <w:szCs w:val="28"/>
        </w:rPr>
        <w:t xml:space="preserve">7. Discussion</w:t>
      </w:r>
    </w:p>
    <w:p>
      <w:pPr>
        <w:pBdr>
          <w:bottom w:val="single" w:color="BDD7EE" w:sz="4" w:space="1"/>
        </w:pBdr>
        <w:spacing w:after="180" w:before="0"/>
      </w:pPr>
    </w:p>
    <w:p>
      <w:pPr>
        <w:pStyle w:val="Heading2"/>
        <w:spacing w:after="120" w:before="260"/>
      </w:pPr>
      <w:r>
        <w:rPr>
          <w:rFonts w:ascii="Arial" w:cs="Arial" w:eastAsia="Arial" w:hAnsi="Arial"/>
          <w:b/>
          <w:bCs/>
          <w:color w:val="2E75B6"/>
          <w:sz w:val="24"/>
          <w:szCs w:val="24"/>
        </w:rPr>
        <w:t xml:space="preserve">7.1  What the Evidence Actually Shows</w:t>
      </w:r>
    </w:p>
    <w:p>
      <w:pPr>
        <w:spacing w:after="160" w:before="0" w:line="348"/>
        <w:jc w:val="both"/>
      </w:pPr>
      <w:r>
        <w:rPr>
          <w:rFonts w:ascii="Arial" w:cs="Arial" w:eastAsia="Arial" w:hAnsi="Arial"/>
          <w:b w:val="false"/>
          <w:bCs w:val="false"/>
          <w:i w:val="false"/>
          <w:iCs w:val="false"/>
          <w:color w:val="000000"/>
          <w:sz w:val="22"/>
          <w:szCs w:val="22"/>
        </w:rPr>
        <w:t xml:space="preserve">The story this review tells is one of genuine, extraordinary progress — and one of deeply uneven foundations. Over the past decade, brain-to-speech decoding has moved from theoretical possibility to clinical demonstration: real people who have lost the ability to speak are communicating through neural signals at rates approaching conversational speed, with error rates that rival noisy telephone calls. The arc from Herff and colleagues in 2015 to Card and colleagues in 2024 — from 25% WER with classical models to 2.5% WER with RNN-LM systems, sustained over eight months </w:t>
      </w:r>
      <w:r>
        <w:rPr>
          <w:rFonts w:ascii="Arial" w:cs="Arial" w:eastAsia="Arial" w:hAnsi="Arial"/>
          <w:color w:val="2E75B6"/>
          <w:sz w:val="18"/>
          <w:szCs w:val="18"/>
          <w:vertAlign w:val="superscript"/>
        </w:rPr>
        <w:t xml:space="preserve">[1]</w:t>
      </w:r>
      <w:r>
        <w:rPr>
          <w:rFonts w:ascii="Arial" w:cs="Arial" w:eastAsia="Arial" w:hAnsi="Arial"/>
          <w:color w:val="2E75B6"/>
          <w:sz w:val="18"/>
          <w:szCs w:val="18"/>
          <w:vertAlign w:val="superscript"/>
        </w:rPr>
        <w:t xml:space="preserve">[2]</w:t>
      </w:r>
      <w:r>
        <w:rPr>
          <w:rFonts w:ascii="Arial" w:cs="Arial" w:eastAsia="Arial" w:hAnsi="Arial"/>
          <w:b w:val="false"/>
          <w:bCs w:val="false"/>
          <w:i w:val="false"/>
          <w:iCs w:val="false"/>
          <w:color w:val="000000"/>
          <w:sz w:val="22"/>
          <w:szCs w:val="22"/>
        </w:rPr>
        <w:t xml:space="preserve"> — is a legitimate landmark in biomedical engineering. These results are not simulations. They are not in healthy participants. They are in people who needed them.</w:t>
      </w:r>
    </w:p>
    <w:p>
      <w:pPr>
        <w:spacing w:after="160" w:before="0" w:line="348"/>
        <w:jc w:val="both"/>
      </w:pPr>
      <w:r>
        <w:rPr>
          <w:rFonts w:ascii="Arial" w:cs="Arial" w:eastAsia="Arial" w:hAnsi="Arial"/>
          <w:b w:val="false"/>
          <w:bCs w:val="false"/>
          <w:i w:val="false"/>
          <w:iCs w:val="false"/>
          <w:color w:val="000000"/>
          <w:sz w:val="22"/>
          <w:szCs w:val="22"/>
        </w:rPr>
        <w:t xml:space="preserve">But the foundations beneath that headline number are narrow. The best-performing systems exist for one or two participants per study, use fixed closed vocabularies that do not reflect the open-ended nature of real communication, and have been evaluated by the same laboratory that developed them. The 56% of included studies showing no cross-participant or cross-session generalization is not a failure of individual researchers — it is the predictable consequence of a field structured around small, heroic demonstrations rather than scalable, reproducible evidence. Both things are true simultaneously: the progress is real, and the evidence base for clinical scalability is thin.</w:t>
      </w:r>
    </w:p>
    <w:p>
      <w:pPr>
        <w:pStyle w:val="Heading2"/>
        <w:spacing w:after="120" w:before="260"/>
      </w:pPr>
      <w:r>
        <w:rPr>
          <w:rFonts w:ascii="Arial" w:cs="Arial" w:eastAsia="Arial" w:hAnsi="Arial"/>
          <w:b/>
          <w:bCs/>
          <w:color w:val="2E75B6"/>
          <w:sz w:val="24"/>
          <w:szCs w:val="24"/>
        </w:rPr>
        <w:t xml:space="preserve">7.2  Three Priority Research Directions</w:t>
      </w:r>
    </w:p>
    <w:p>
      <w:pPr>
        <w:spacing w:after="160" w:before="0" w:line="348"/>
        <w:jc w:val="both"/>
      </w:pPr>
      <w:r>
        <w:rPr>
          <w:rFonts w:ascii="Arial" w:cs="Arial" w:eastAsia="Arial" w:hAnsi="Arial"/>
          <w:b w:val="false"/>
          <w:bCs w:val="false"/>
          <w:i w:val="false"/>
          <w:iCs w:val="false"/>
          <w:color w:val="000000"/>
          <w:sz w:val="22"/>
          <w:szCs w:val="22"/>
        </w:rPr>
        <w:t xml:space="preserve">The evidence synthesized in this review points clearly to three areas where targeted investment would yield the greatest near-term return for clinical translation.</w:t>
      </w:r>
    </w:p>
    <w:p>
      <w:pPr>
        <w:spacing w:after="160" w:before="0" w:line="348"/>
        <w:jc w:val="both"/>
      </w:pPr>
      <w:r>
        <w:rPr>
          <w:rFonts w:ascii="Arial" w:cs="Arial" w:eastAsia="Arial" w:hAnsi="Arial"/>
          <w:b w:val="false"/>
          <w:bCs w:val="false"/>
          <w:i w:val="false"/>
          <w:iCs w:val="false"/>
          <w:color w:val="000000"/>
          <w:sz w:val="22"/>
          <w:szCs w:val="22"/>
        </w:rPr>
        <w:t xml:space="preserve">The first is standardized evaluation protocols. The benchmark comparability crisis documented in Table 5 and Section 5.5 is not an inevitable feature of a diverse research field — it is an addressable problem. The speech recognition community solved the analogous problem decades ago with standardized benchmarks (LibriSpeech, TED-LIUM, CHiME) that allow every new system to be compared against the same baseline on the same data </w:t>
      </w:r>
      <w:r>
        <w:rPr>
          <w:rFonts w:ascii="Arial" w:cs="Arial" w:eastAsia="Arial" w:hAnsi="Arial"/>
          <w:color w:val="2E75B6"/>
          <w:sz w:val="18"/>
          <w:szCs w:val="18"/>
          <w:vertAlign w:val="superscript"/>
        </w:rPr>
        <w:t xml:space="preserve">[3]</w:t>
      </w:r>
      <w:r>
        <w:rPr>
          <w:rFonts w:ascii="Arial" w:cs="Arial" w:eastAsia="Arial" w:hAnsi="Arial"/>
          <w:b w:val="false"/>
          <w:bCs w:val="false"/>
          <w:i w:val="false"/>
          <w:iCs w:val="false"/>
          <w:color w:val="000000"/>
          <w:sz w:val="22"/>
          <w:szCs w:val="22"/>
        </w:rPr>
        <w:t xml:space="preserve">. The brain-to-speech community lacks any equivalent. The practical consequence is that every new paper creates its own evaluation context, making it impossible to determine whether a new architecture genuinely advances the field or merely exploits a more favorable experimental setup. Standardized open-vocabulary benchmarks with pre-specified held-out participant evaluation — analogous to the Brain-to-Text Benchmark 2024 initiative </w:t>
      </w:r>
      <w:r>
        <w:rPr>
          <w:rFonts w:ascii="Arial" w:cs="Arial" w:eastAsia="Arial" w:hAnsi="Arial"/>
          <w:color w:val="2E75B6"/>
          <w:sz w:val="18"/>
          <w:szCs w:val="18"/>
          <w:vertAlign w:val="superscript"/>
        </w:rPr>
        <w:t xml:space="preserve">[4]</w:t>
      </w:r>
      <w:r>
        <w:rPr>
          <w:rFonts w:ascii="Arial" w:cs="Arial" w:eastAsia="Arial" w:hAnsi="Arial"/>
          <w:b w:val="false"/>
          <w:bCs w:val="false"/>
          <w:i w:val="false"/>
          <w:iCs w:val="false"/>
          <w:color w:val="000000"/>
          <w:sz w:val="22"/>
          <w:szCs w:val="22"/>
        </w:rPr>
        <w:t xml:space="preserve"> — are a necessary precondition for the field to measure its own progress honestly.</w:t>
      </w:r>
    </w:p>
    <w:p>
      <w:pPr>
        <w:spacing w:after="160" w:before="0" w:line="348"/>
        <w:jc w:val="both"/>
      </w:pPr>
      <w:r>
        <w:rPr>
          <w:rFonts w:ascii="Arial" w:cs="Arial" w:eastAsia="Arial" w:hAnsi="Arial"/>
          <w:b w:val="false"/>
          <w:bCs w:val="false"/>
          <w:i w:val="false"/>
          <w:iCs w:val="false"/>
          <w:color w:val="000000"/>
          <w:sz w:val="22"/>
          <w:szCs w:val="22"/>
        </w:rPr>
        <w:t xml:space="preserve">The second priority is multi-participant training infrastructure. The evidence from this review is unambiguous: cross-participant generalization scales with the number of training participants </w:t>
      </w:r>
      <w:r>
        <w:rPr>
          <w:rFonts w:ascii="Arial" w:cs="Arial" w:eastAsia="Arial" w:hAnsi="Arial"/>
          <w:color w:val="2E75B6"/>
          <w:sz w:val="18"/>
          <w:szCs w:val="18"/>
          <w:vertAlign w:val="superscript"/>
        </w:rPr>
        <w:t xml:space="preserve">[5]</w:t>
      </w:r>
      <w:r>
        <w:rPr>
          <w:rFonts w:ascii="Arial" w:cs="Arial" w:eastAsia="Arial" w:hAnsi="Arial"/>
          <w:b w:val="false"/>
          <w:bCs w:val="false"/>
          <w:i w:val="false"/>
          <w:iCs w:val="false"/>
          <w:color w:val="000000"/>
          <w:sz w:val="22"/>
          <w:szCs w:val="22"/>
        </w:rPr>
        <w:t xml:space="preserve">, self-supervised pre-training on large unlabeled neural corpora improves downstream per-participant performance </w:t>
      </w:r>
      <w:r>
        <w:rPr>
          <w:rFonts w:ascii="Arial" w:cs="Arial" w:eastAsia="Arial" w:hAnsi="Arial"/>
          <w:color w:val="2E75B6"/>
          <w:sz w:val="18"/>
          <w:szCs w:val="18"/>
          <w:vertAlign w:val="superscript"/>
        </w:rPr>
        <w:t xml:space="preserve">[6]</w:t>
      </w:r>
      <w:r>
        <w:rPr>
          <w:rFonts w:ascii="Arial" w:cs="Arial" w:eastAsia="Arial" w:hAnsi="Arial"/>
          <w:color w:val="2E75B6"/>
          <w:sz w:val="18"/>
          <w:szCs w:val="18"/>
          <w:vertAlign w:val="superscript"/>
        </w:rPr>
        <w:t xml:space="preserve">[7]</w:t>
      </w:r>
      <w:r>
        <w:rPr>
          <w:rFonts w:ascii="Arial" w:cs="Arial" w:eastAsia="Arial" w:hAnsi="Arial"/>
          <w:b w:val="false"/>
          <w:bCs w:val="false"/>
          <w:i w:val="false"/>
          <w:iCs w:val="false"/>
          <w:color w:val="000000"/>
          <w:sz w:val="22"/>
          <w:szCs w:val="22"/>
        </w:rPr>
        <w:t xml:space="preserve">, and group decoders trained across participants outperform individual models </w:t>
      </w:r>
      <w:r>
        <w:rPr>
          <w:rFonts w:ascii="Arial" w:cs="Arial" w:eastAsia="Arial" w:hAnsi="Arial"/>
          <w:color w:val="2E75B6"/>
          <w:sz w:val="18"/>
          <w:szCs w:val="18"/>
          <w:vertAlign w:val="superscript"/>
        </w:rPr>
        <w:t xml:space="preserve">[8]</w:t>
      </w:r>
      <w:r>
        <w:rPr>
          <w:rFonts w:ascii="Arial" w:cs="Arial" w:eastAsia="Arial" w:hAnsi="Arial"/>
          <w:b w:val="false"/>
          <w:bCs w:val="false"/>
          <w:i w:val="false"/>
          <w:iCs w:val="false"/>
          <w:color w:val="000000"/>
          <w:sz w:val="22"/>
          <w:szCs w:val="22"/>
        </w:rPr>
        <w:t xml:space="preserve">. Yet the structural incentives of the field push in the opposite direction — towards novel single-participant experiments that produce publishable results faster than consortium-level data collection. Shifting this requires coordinated data sharing initiatives, standardized recording protocols that enable cross-institution pooling, and grant structures that reward multi-site replication alongside first-in-field demonstrations. The open dataset releases of Nieto and colleagues </w:t>
      </w:r>
      <w:r>
        <w:rPr>
          <w:rFonts w:ascii="Arial" w:cs="Arial" w:eastAsia="Arial" w:hAnsi="Arial"/>
          <w:color w:val="2E75B6"/>
          <w:sz w:val="18"/>
          <w:szCs w:val="18"/>
          <w:vertAlign w:val="superscript"/>
        </w:rPr>
        <w:t xml:space="preserve">[9]</w:t>
      </w:r>
      <w:r>
        <w:rPr>
          <w:rFonts w:ascii="Arial" w:cs="Arial" w:eastAsia="Arial" w:hAnsi="Arial"/>
          <w:b w:val="false"/>
          <w:bCs w:val="false"/>
          <w:i w:val="false"/>
          <w:iCs w:val="false"/>
          <w:color w:val="000000"/>
          <w:sz w:val="22"/>
          <w:szCs w:val="22"/>
        </w:rPr>
        <w:t xml:space="preserve">, Berezutskaya and colleagues </w:t>
      </w:r>
      <w:r>
        <w:rPr>
          <w:rFonts w:ascii="Arial" w:cs="Arial" w:eastAsia="Arial" w:hAnsi="Arial"/>
          <w:color w:val="2E75B6"/>
          <w:sz w:val="18"/>
          <w:szCs w:val="18"/>
          <w:vertAlign w:val="superscript"/>
        </w:rPr>
        <w:t xml:space="preserve">[10]</w:t>
      </w:r>
      <w:r>
        <w:rPr>
          <w:rFonts w:ascii="Arial" w:cs="Arial" w:eastAsia="Arial" w:hAnsi="Arial"/>
          <w:b w:val="false"/>
          <w:bCs w:val="false"/>
          <w:i w:val="false"/>
          <w:iCs w:val="false"/>
          <w:color w:val="000000"/>
          <w:sz w:val="22"/>
          <w:szCs w:val="22"/>
        </w:rPr>
        <w:t xml:space="preserve">, and Gwilliams and colleagues </w:t>
      </w:r>
      <w:r>
        <w:rPr>
          <w:rFonts w:ascii="Arial" w:cs="Arial" w:eastAsia="Arial" w:hAnsi="Arial"/>
          <w:color w:val="2E75B6"/>
          <w:sz w:val="18"/>
          <w:szCs w:val="18"/>
          <w:vertAlign w:val="superscript"/>
        </w:rPr>
        <w:t xml:space="preserve">[11]</w:t>
      </w:r>
      <w:r>
        <w:rPr>
          <w:rFonts w:ascii="Arial" w:cs="Arial" w:eastAsia="Arial" w:hAnsi="Arial"/>
          <w:b w:val="false"/>
          <w:bCs w:val="false"/>
          <w:i w:val="false"/>
          <w:iCs w:val="false"/>
          <w:color w:val="000000"/>
          <w:sz w:val="22"/>
          <w:szCs w:val="22"/>
        </w:rPr>
        <w:t xml:space="preserve"> represent exactly the right direction — but they remain exceptions rather than the norm.</w:t>
      </w:r>
    </w:p>
    <w:p>
      <w:pPr>
        <w:spacing w:after="160" w:before="0" w:line="348"/>
        <w:jc w:val="both"/>
      </w:pPr>
      <w:r>
        <w:rPr>
          <w:rFonts w:ascii="Arial" w:cs="Arial" w:eastAsia="Arial" w:hAnsi="Arial"/>
          <w:b w:val="false"/>
          <w:bCs w:val="false"/>
          <w:i w:val="false"/>
          <w:iCs w:val="false"/>
          <w:color w:val="000000"/>
          <w:sz w:val="22"/>
          <w:szCs w:val="22"/>
        </w:rPr>
        <w:t xml:space="preserve">The third priority is language model integration at scale. Only 14 of 71 included studies (20%) integrate a language model, despite the evidence that LM integration is the single largest discrete driver of WER reduction in open-vocabulary systems </w:t>
      </w:r>
      <w:r>
        <w:rPr>
          <w:rFonts w:ascii="Arial" w:cs="Arial" w:eastAsia="Arial" w:hAnsi="Arial"/>
          <w:color w:val="2E75B6"/>
          <w:sz w:val="18"/>
          <w:szCs w:val="18"/>
          <w:vertAlign w:val="superscript"/>
        </w:rPr>
        <w:t xml:space="preserve">[2]</w:t>
      </w:r>
      <w:r>
        <w:rPr>
          <w:rFonts w:ascii="Arial" w:cs="Arial" w:eastAsia="Arial" w:hAnsi="Arial"/>
          <w:b w:val="false"/>
          <w:bCs w:val="false"/>
          <w:i w:val="false"/>
          <w:iCs w:val="false"/>
          <w:color w:val="000000"/>
          <w:sz w:val="22"/>
          <w:szCs w:val="22"/>
        </w:rPr>
        <w:t xml:space="preserve">. The barrier is not algorithmic — transformer-based LMs are freely available and straightforward to integrate post-hoc. The barrier is data: brain-language paired training sets large enough to support meaningful LM alignment remain scarce, particularly for non-English languages and clinical populations. Investing in the collection, annotation, and open sharing of neural-language parallel corpora — analogous to what Common Voice </w:t>
      </w:r>
      <w:r>
        <w:rPr>
          <w:rFonts w:ascii="Arial" w:cs="Arial" w:eastAsia="Arial" w:hAnsi="Arial"/>
          <w:color w:val="2E75B6"/>
          <w:sz w:val="18"/>
          <w:szCs w:val="18"/>
          <w:vertAlign w:val="superscript"/>
        </w:rPr>
        <w:t xml:space="preserve">[12]</w:t>
      </w:r>
      <w:r>
        <w:rPr>
          <w:rFonts w:ascii="Arial" w:cs="Arial" w:eastAsia="Arial" w:hAnsi="Arial"/>
          <w:b w:val="false"/>
          <w:bCs w:val="false"/>
          <w:i w:val="false"/>
          <w:iCs w:val="false"/>
          <w:color w:val="000000"/>
          <w:sz w:val="22"/>
          <w:szCs w:val="22"/>
        </w:rPr>
        <w:t xml:space="preserve"> has done for speech recognition — would unlock LM integration for the 80% of the literature currently operating without it.</w:t>
      </w:r>
    </w:p>
    <w:p>
      <w:pPr>
        <w:pStyle w:val="Heading2"/>
        <w:spacing w:after="120" w:before="260"/>
      </w:pPr>
      <w:r>
        <w:rPr>
          <w:rFonts w:ascii="Arial" w:cs="Arial" w:eastAsia="Arial" w:hAnsi="Arial"/>
          <w:b/>
          <w:bCs/>
          <w:color w:val="2E75B6"/>
          <w:sz w:val="24"/>
          <w:szCs w:val="24"/>
        </w:rPr>
        <w:t xml:space="preserve">7.3  The Clinical Translation Gap</w:t>
      </w:r>
    </w:p>
    <w:p>
      <w:pPr>
        <w:spacing w:after="160" w:before="0" w:line="348"/>
        <w:jc w:val="both"/>
      </w:pPr>
      <w:r>
        <w:rPr>
          <w:rFonts w:ascii="Arial" w:cs="Arial" w:eastAsia="Arial" w:hAnsi="Arial"/>
          <w:b w:val="false"/>
          <w:bCs w:val="false"/>
          <w:i w:val="false"/>
          <w:iCs w:val="false"/>
          <w:color w:val="000000"/>
          <w:sz w:val="22"/>
          <w:szCs w:val="22"/>
        </w:rPr>
        <w:t xml:space="preserve">Brain-to-speech BCIs have been described as being on the cusp of clinical translation for most of the past decade. The evidence from this review suggests that description requires qualification. For intracortical systems, the clinical performance evidence is compelling — sustained WER below 10%, communication rates approaching natural impaired speech, and at least one system operating reliably over an eight-month horizon </w:t>
      </w:r>
      <w:r>
        <w:rPr>
          <w:rFonts w:ascii="Arial" w:cs="Arial" w:eastAsia="Arial" w:hAnsi="Arial"/>
          <w:color w:val="2E75B6"/>
          <w:sz w:val="18"/>
          <w:szCs w:val="18"/>
          <w:vertAlign w:val="superscript"/>
        </w:rPr>
        <w:t xml:space="preserve">[2]</w:t>
      </w:r>
      <w:r>
        <w:rPr>
          <w:rFonts w:ascii="Arial" w:cs="Arial" w:eastAsia="Arial" w:hAnsi="Arial"/>
          <w:b w:val="false"/>
          <w:bCs w:val="false"/>
          <w:i w:val="false"/>
          <w:iCs w:val="false"/>
          <w:color w:val="000000"/>
          <w:sz w:val="22"/>
          <w:szCs w:val="22"/>
        </w:rPr>
        <w:t xml:space="preserve">. The pathway from research to regulated medical device exists and is being actively pursued </w:t>
      </w:r>
      <w:r>
        <w:rPr>
          <w:rFonts w:ascii="Arial" w:cs="Arial" w:eastAsia="Arial" w:hAnsi="Arial"/>
          <w:color w:val="2E75B6"/>
          <w:sz w:val="18"/>
          <w:szCs w:val="18"/>
          <w:vertAlign w:val="superscript"/>
        </w:rPr>
        <w:t xml:space="preserve">[13]</w:t>
      </w:r>
      <w:r>
        <w:rPr>
          <w:rFonts w:ascii="Arial" w:cs="Arial" w:eastAsia="Arial" w:hAnsi="Arial"/>
          <w:b w:val="false"/>
          <w:bCs w:val="false"/>
          <w:i w:val="false"/>
          <w:iCs w:val="false"/>
          <w:color w:val="000000"/>
          <w:sz w:val="22"/>
          <w:szCs w:val="22"/>
        </w:rPr>
        <w:t xml:space="preserve">. But the clinical translation of ECoG and non-invasive systems faces a different and more fundamental challenge: the performance-invasiveness trade-off has not yet been resolved at the level needed for widespread deployment.</w:t>
      </w:r>
    </w:p>
    <w:p>
      <w:pPr>
        <w:spacing w:after="160" w:before="0" w:line="348"/>
        <w:jc w:val="both"/>
      </w:pPr>
      <w:r>
        <w:rPr>
          <w:rFonts w:ascii="Arial" w:cs="Arial" w:eastAsia="Arial" w:hAnsi="Arial"/>
          <w:b w:val="false"/>
          <w:bCs w:val="false"/>
          <w:i w:val="false"/>
          <w:iCs w:val="false"/>
          <w:color w:val="000000"/>
          <w:sz w:val="22"/>
          <w:szCs w:val="22"/>
        </w:rPr>
        <w:t xml:space="preserve">For patients who cannot or will not accept neurosurgical implantation — which is the majority of the affected population — the best available non-invasive systems still produce WER well above the threshold for comfortable conversational use. The 35–45% WER range of current EEG open-vocabulary systems is functional for pre-specified command sets but falls short of the open-ended communication that ALS and LIS patients require for genuine social participation. Bridging this gap will require not just algorithmic advances but hardware innovation — higher-density EEG arrays, wearable MEG systems based on optically pumped magnetometers </w:t>
      </w:r>
      <w:r>
        <w:rPr>
          <w:rFonts w:ascii="Arial" w:cs="Arial" w:eastAsia="Arial" w:hAnsi="Arial"/>
          <w:color w:val="2E75B6"/>
          <w:sz w:val="18"/>
          <w:szCs w:val="18"/>
          <w:vertAlign w:val="superscript"/>
        </w:rPr>
        <w:t xml:space="preserve">[14]</w:t>
      </w:r>
      <w:r>
        <w:rPr>
          <w:rFonts w:ascii="Arial" w:cs="Arial" w:eastAsia="Arial" w:hAnsi="Arial"/>
          <w:b w:val="false"/>
          <w:bCs w:val="false"/>
          <w:i w:val="false"/>
          <w:iCs w:val="false"/>
          <w:color w:val="000000"/>
          <w:sz w:val="22"/>
          <w:szCs w:val="22"/>
        </w:rPr>
        <w:t xml:space="preserve">, and hybrid modality designs that combine accessible recording with richer signal content.</w:t>
      </w:r>
    </w:p>
    <w:p>
      <w:pPr>
        <w:pStyle w:val="Heading2"/>
        <w:spacing w:after="120" w:before="260"/>
      </w:pPr>
      <w:r>
        <w:rPr>
          <w:rFonts w:ascii="Arial" w:cs="Arial" w:eastAsia="Arial" w:hAnsi="Arial"/>
          <w:b/>
          <w:bCs/>
          <w:color w:val="2E75B6"/>
          <w:sz w:val="24"/>
          <w:szCs w:val="24"/>
        </w:rPr>
        <w:t xml:space="preserve">7.4  Foundation Models: Promising but Not Yet Demonstrated</w:t>
      </w:r>
    </w:p>
    <w:p>
      <w:pPr>
        <w:spacing w:after="160" w:before="0" w:line="348"/>
        <w:jc w:val="both"/>
      </w:pPr>
      <w:r>
        <w:rPr>
          <w:rFonts w:ascii="Arial" w:cs="Arial" w:eastAsia="Arial" w:hAnsi="Arial"/>
          <w:b w:val="false"/>
          <w:bCs w:val="false"/>
          <w:i w:val="false"/>
          <w:iCs w:val="false"/>
          <w:color w:val="000000"/>
          <w:sz w:val="22"/>
          <w:szCs w:val="22"/>
        </w:rPr>
        <w:t xml:space="preserve">The emergence of foundation model approaches — SSL pre-training on large multi-participant neural corpora, followed by few-shot fine-tuning for new participants and tasks — represents the most theoretically compelling direction for resolving both the generalization gap and the data efficiency problem simultaneously. The scaling law evidence from d'Ascoli and colleagues </w:t>
      </w:r>
      <w:r>
        <w:rPr>
          <w:rFonts w:ascii="Arial" w:cs="Arial" w:eastAsia="Arial" w:hAnsi="Arial"/>
          <w:color w:val="2E75B6"/>
          <w:sz w:val="18"/>
          <w:szCs w:val="18"/>
          <w:vertAlign w:val="superscript"/>
        </w:rPr>
        <w:t xml:space="preserve">[5]</w:t>
      </w:r>
      <w:r>
        <w:rPr>
          <w:rFonts w:ascii="Arial" w:cs="Arial" w:eastAsia="Arial" w:hAnsi="Arial"/>
          <w:b w:val="false"/>
          <w:bCs w:val="false"/>
          <w:i w:val="false"/>
          <w:iCs w:val="false"/>
          <w:color w:val="000000"/>
          <w:sz w:val="22"/>
          <w:szCs w:val="22"/>
        </w:rPr>
        <w:t xml:space="preserve"> is directly analogous to the scaling laws that transformed NLP </w:t>
      </w:r>
      <w:r>
        <w:rPr>
          <w:rFonts w:ascii="Arial" w:cs="Arial" w:eastAsia="Arial" w:hAnsi="Arial"/>
          <w:color w:val="2E75B6"/>
          <w:sz w:val="18"/>
          <w:szCs w:val="18"/>
          <w:vertAlign w:val="superscript"/>
        </w:rPr>
        <w:t xml:space="preserve">[15]</w:t>
      </w:r>
      <w:r>
        <w:rPr>
          <w:rFonts w:ascii="Arial" w:cs="Arial" w:eastAsia="Arial" w:hAnsi="Arial"/>
          <w:b w:val="false"/>
          <w:bCs w:val="false"/>
          <w:i w:val="false"/>
          <w:iCs w:val="false"/>
          <w:color w:val="000000"/>
          <w:sz w:val="22"/>
          <w:szCs w:val="22"/>
        </w:rPr>
        <w:t xml:space="preserve">: if neural decoding performance scales with training data volume the same way language model performance scales with text, then the path to generalizable brain-to-speech systems is, in principle, clear. Collect more multi-participant data. Pre-train larger models. Fine-tune efficiently.</w:t>
      </w:r>
    </w:p>
    <w:p>
      <w:pPr>
        <w:spacing w:after="160" w:before="0" w:line="348"/>
        <w:jc w:val="both"/>
      </w:pPr>
      <w:r>
        <w:rPr>
          <w:rFonts w:ascii="Arial" w:cs="Arial" w:eastAsia="Arial" w:hAnsi="Arial"/>
          <w:b w:val="false"/>
          <w:bCs w:val="false"/>
          <w:i w:val="false"/>
          <w:iCs w:val="false"/>
          <w:color w:val="000000"/>
          <w:sz w:val="22"/>
          <w:szCs w:val="22"/>
        </w:rPr>
        <w:t xml:space="preserve">The gap between this theoretical clarity and current empirical reality is, however, substantial. Foundation model approaches account for only 2 of the 71 included studies and have not yet been evaluated in clinical populations or on open-vocabulary tasks in the way that intracortical RNN systems have been. The promise is real; the evidence for it in brain-to-speech decoding specifically is nascent. This review endorses the direction but cautions against treating the NLP scaling analogy as proven — neural signals are not text, the number of participants that can ever be recruited for any single study is limited by neurosurgical access, and the idiosyncratic variability of individual cortical topography may impose generalization limits that text data does not.</w:t>
      </w:r>
    </w:p>
    <w:p>
      <w:pPr>
        <w:pStyle w:val="Heading2"/>
        <w:spacing w:after="120" w:before="260"/>
      </w:pPr>
      <w:r>
        <w:rPr>
          <w:rFonts w:ascii="Arial" w:cs="Arial" w:eastAsia="Arial" w:hAnsi="Arial"/>
          <w:b/>
          <w:bCs/>
          <w:color w:val="2E75B6"/>
          <w:sz w:val="24"/>
          <w:szCs w:val="24"/>
        </w:rPr>
        <w:t xml:space="preserve">7.5  Limitations of This Review</w:t>
      </w:r>
    </w:p>
    <w:p>
      <w:pPr>
        <w:spacing w:after="160" w:before="0" w:line="348"/>
        <w:jc w:val="both"/>
      </w:pPr>
      <w:r>
        <w:rPr>
          <w:rFonts w:ascii="Arial" w:cs="Arial" w:eastAsia="Arial" w:hAnsi="Arial"/>
          <w:b w:val="false"/>
          <w:bCs w:val="false"/>
          <w:i w:val="false"/>
          <w:iCs w:val="false"/>
          <w:color w:val="000000"/>
          <w:sz w:val="22"/>
          <w:szCs w:val="22"/>
        </w:rPr>
        <w:t xml:space="preserve">This review has several limitations that should be considered when interpreting its findings. The 2015 lower date boundary, whilst principled, excludes foundational pre-deep-learning work that shaped the conceptual framework of the field. The search cutoff of April 2026 means papers published or posted after that date — including potentially significant developments in the rapidly moving LLM-integration space — are not captured. The quality assessment tool was developed specifically for this review and has not been externally validated. As a narrative synthesis, this review does not produce pooled effect size estimates; the heterogeneity analyses in Table 5 identify why pooling is not valid, but they do not replace the quantitative precision that meta-analysis would provide if the evidence permitted it. Finally, the predominance of English-language studies in the included literature means this review's conclusions about decoding performance are themselves English-centric — a limitation that mirrors the field's own.</w:t>
      </w:r>
    </w:p>
    <w:p>
      <w:pPr>
        <w:pBdr>
          <w:bottom w:val="single" w:color="BDD7EE" w:sz="4" w:space="1"/>
        </w:pBdr>
        <w:spacing w:after="180" w:before="0"/>
      </w:pPr>
    </w:p>
    <w:p>
      <w:pPr>
        <w:spacing w:after="120" w:before="260"/>
      </w:pPr>
      <w:r>
        <w:rPr>
          <w:rFonts w:ascii="Arial" w:cs="Arial" w:eastAsia="Arial" w:hAnsi="Arial"/>
          <w:b/>
          <w:bCs/>
          <w:color w:val="1F4E79"/>
          <w:sz w:val="24"/>
          <w:szCs w:val="24"/>
        </w:rPr>
        <w:t xml:space="preserve">References</w:t>
      </w:r>
    </w:p>
    <w:p>
      <w:pPr>
        <w:spacing w:after="0" w:before="100" w:line="296"/>
      </w:pPr>
      <w:r>
        <w:rPr>
          <w:rFonts w:ascii="Arial" w:cs="Arial" w:eastAsia="Arial" w:hAnsi="Arial"/>
          <w:color w:val="595959"/>
          <w:sz w:val="18"/>
          <w:szCs w:val="18"/>
        </w:rPr>
        <w:t xml:space="preserve">Section 7 references — to be renumbered in the final manuscript pass.</w:t>
      </w:r>
    </w:p>
    <w:p>
      <w:pPr>
        <w:spacing w:after="60" w:before="0"/>
      </w:pPr>
    </w:p>
    <w:p>
      <w:pPr>
        <w:spacing w:after="80" w:before="0" w:line="296"/>
        <w:ind w:left="480" w:hanging="480"/>
      </w:pPr>
      <w:r>
        <w:rPr>
          <w:rFonts w:ascii="Arial" w:cs="Arial" w:eastAsia="Arial" w:hAnsi="Arial"/>
          <w:b/>
          <w:bCs/>
          <w:color w:val="2E75B6"/>
          <w:sz w:val="18"/>
          <w:szCs w:val="18"/>
        </w:rPr>
        <w:t xml:space="preserve">[1]</w:t>
      </w:r>
      <w:r>
        <w:rPr>
          <w:rFonts w:ascii="Arial" w:cs="Arial" w:eastAsia="Arial" w:hAnsi="Arial"/>
          <w:color w:val="000000"/>
          <w:sz w:val="18"/>
          <w:szCs w:val="18"/>
        </w:rPr>
        <w:t xml:space="preserve">	C. Herff et al., "Brain-to-text: Decoding spoken phrases from phonetic representations in the brain," Front. Neurosci., vol. 9, Art. no. 217, Jun. 2015, doi: 10.3389/fnins.2015.00217.</w:t>
      </w:r>
    </w:p>
    <w:p>
      <w:pPr>
        <w:spacing w:after="80" w:before="0" w:line="296"/>
        <w:ind w:left="480" w:hanging="480"/>
      </w:pPr>
      <w:r>
        <w:rPr>
          <w:rFonts w:ascii="Arial" w:cs="Arial" w:eastAsia="Arial" w:hAnsi="Arial"/>
          <w:b/>
          <w:bCs/>
          <w:color w:val="2E75B6"/>
          <w:sz w:val="18"/>
          <w:szCs w:val="18"/>
        </w:rPr>
        <w:t xml:space="preserve">[2]</w:t>
      </w:r>
      <w:r>
        <w:rPr>
          <w:rFonts w:ascii="Arial" w:cs="Arial" w:eastAsia="Arial" w:hAnsi="Arial"/>
          <w:color w:val="000000"/>
          <w:sz w:val="18"/>
          <w:szCs w:val="18"/>
        </w:rPr>
        <w:t xml:space="preserve">	N. S. Card et al., "An accurate and rapidly calibrating speech neuroprosthesis," N. Engl. J. Med., vol. 391, no. 7, pp. 609–618, Aug. 2024, doi: 10.1056/NEJMoa2314132.</w:t>
      </w:r>
    </w:p>
    <w:p>
      <w:pPr>
        <w:spacing w:after="80" w:before="0" w:line="296"/>
        <w:ind w:left="480" w:hanging="480"/>
      </w:pPr>
      <w:r>
        <w:rPr>
          <w:rFonts w:ascii="Arial" w:cs="Arial" w:eastAsia="Arial" w:hAnsi="Arial"/>
          <w:b/>
          <w:bCs/>
          <w:color w:val="2E75B6"/>
          <w:sz w:val="18"/>
          <w:szCs w:val="18"/>
        </w:rPr>
        <w:t xml:space="preserve">[3]</w:t>
      </w:r>
      <w:r>
        <w:rPr>
          <w:rFonts w:ascii="Arial" w:cs="Arial" w:eastAsia="Arial" w:hAnsi="Arial"/>
          <w:color w:val="000000"/>
          <w:sz w:val="18"/>
          <w:szCs w:val="18"/>
        </w:rPr>
        <w:t xml:space="preserve">	V. Panayotov, G. Chen, D. Povey, and S. Khudanpur, "LibriSpeech: An ASR corpus based on public domain audio books," in Proc. ICASSP, 2015, pp. 5206–5210, doi: 10.1109/ICASSP.2015.7178964.</w:t>
      </w:r>
    </w:p>
    <w:p>
      <w:pPr>
        <w:spacing w:after="80" w:before="0" w:line="296"/>
        <w:ind w:left="480" w:hanging="480"/>
      </w:pPr>
      <w:r>
        <w:rPr>
          <w:rFonts w:ascii="Arial" w:cs="Arial" w:eastAsia="Arial" w:hAnsi="Arial"/>
          <w:b/>
          <w:bCs/>
          <w:color w:val="2E75B6"/>
          <w:sz w:val="18"/>
          <w:szCs w:val="18"/>
        </w:rPr>
        <w:t xml:space="preserve">[4]</w:t>
      </w:r>
      <w:r>
        <w:rPr>
          <w:rFonts w:ascii="Arial" w:cs="Arial" w:eastAsia="Arial" w:hAnsi="Arial"/>
          <w:color w:val="000000"/>
          <w:sz w:val="18"/>
          <w:szCs w:val="18"/>
        </w:rPr>
        <w:t xml:space="preserve">	F. R. Willett, J. Li, T. V. Le, C. Fan, M. Chen, E. Shlizerman, Y. Chen, X. Zheng, T. S. Okubo, T. Benster, H. D. Lee, M. Kounga, E. K. Buchanan, D. M. Zoltowski, S. W. Linderman, and J. M. Henderson, "Brain-to-text benchmark '24: Lessons learned," arXiv preprint arXiv:2412.17227, Dec. 2024.</w:t>
      </w:r>
    </w:p>
    <w:p>
      <w:pPr>
        <w:spacing w:after="80" w:before="0" w:line="296"/>
        <w:ind w:left="480" w:hanging="480"/>
      </w:pPr>
      <w:r>
        <w:rPr>
          <w:rFonts w:ascii="Arial" w:cs="Arial" w:eastAsia="Arial" w:hAnsi="Arial"/>
          <w:b/>
          <w:bCs/>
          <w:color w:val="2E75B6"/>
          <w:sz w:val="18"/>
          <w:szCs w:val="18"/>
        </w:rPr>
        <w:t xml:space="preserve">[5]</w:t>
      </w:r>
      <w:r>
        <w:rPr>
          <w:rFonts w:ascii="Arial" w:cs="Arial" w:eastAsia="Arial" w:hAnsi="Arial"/>
          <w:color w:val="000000"/>
          <w:sz w:val="18"/>
          <w:szCs w:val="18"/>
        </w:rPr>
        <w:t xml:space="preserve">	S. d'Ascoli et al., "Towards decoding individual words from non-invasive brain recordings," Nat. Commun., 2025. [Verify DOI].</w:t>
      </w:r>
    </w:p>
    <w:p>
      <w:pPr>
        <w:spacing w:after="80" w:before="0" w:line="296"/>
        <w:ind w:left="480" w:hanging="480"/>
      </w:pPr>
      <w:r>
        <w:rPr>
          <w:rFonts w:ascii="Arial" w:cs="Arial" w:eastAsia="Arial" w:hAnsi="Arial"/>
          <w:b/>
          <w:bCs/>
          <w:color w:val="2E75B6"/>
          <w:sz w:val="18"/>
          <w:szCs w:val="18"/>
        </w:rPr>
        <w:t xml:space="preserve">[6]</w:t>
      </w:r>
      <w:r>
        <w:rPr>
          <w:rFonts w:ascii="Arial" w:cs="Arial" w:eastAsia="Arial" w:hAnsi="Arial"/>
          <w:color w:val="000000"/>
          <w:sz w:val="18"/>
          <w:szCs w:val="18"/>
        </w:rPr>
        <w:t xml:space="preserve">	D. Kostas et al., "BENDR: Using transformers and a contrastive self-supervised learning task to learn from massive amounts of EEG data," Front. Hum. Neurosci., vol. 15, Art. no. 653659, Aug. 2021, doi: 10.3389/fnhum.2021.653659.</w:t>
      </w:r>
    </w:p>
    <w:p>
      <w:pPr>
        <w:spacing w:after="80" w:before="0" w:line="296"/>
        <w:ind w:left="480" w:hanging="480"/>
      </w:pPr>
      <w:r>
        <w:rPr>
          <w:rFonts w:ascii="Arial" w:cs="Arial" w:eastAsia="Arial" w:hAnsi="Arial"/>
          <w:b/>
          <w:bCs/>
          <w:color w:val="2E75B6"/>
          <w:sz w:val="18"/>
          <w:szCs w:val="18"/>
        </w:rPr>
        <w:t xml:space="preserve">[7]</w:t>
      </w:r>
      <w:r>
        <w:rPr>
          <w:rFonts w:ascii="Arial" w:cs="Arial" w:eastAsia="Arial" w:hAnsi="Arial"/>
          <w:color w:val="000000"/>
          <w:sz w:val="18"/>
          <w:szCs w:val="18"/>
        </w:rPr>
        <w:t xml:space="preserve">	B. A. Yuan and J. G. Makin, "Improving speech decoding from ECoG with self-supervised pretraining," arXiv preprint arXiv:2405.18639, May 2024.</w:t>
      </w:r>
    </w:p>
    <w:p>
      <w:pPr>
        <w:spacing w:after="80" w:before="0" w:line="296"/>
        <w:ind w:left="480" w:hanging="480"/>
      </w:pPr>
      <w:r>
        <w:rPr>
          <w:rFonts w:ascii="Arial" w:cs="Arial" w:eastAsia="Arial" w:hAnsi="Arial"/>
          <w:b/>
          <w:bCs/>
          <w:color w:val="2E75B6"/>
          <w:sz w:val="18"/>
          <w:szCs w:val="18"/>
        </w:rPr>
        <w:t xml:space="preserve">[8]</w:t>
      </w:r>
      <w:r>
        <w:rPr>
          <w:rFonts w:ascii="Arial" w:cs="Arial" w:eastAsia="Arial" w:hAnsi="Arial"/>
          <w:color w:val="000000"/>
          <w:sz w:val="18"/>
          <w:szCs w:val="18"/>
        </w:rPr>
        <w:t xml:space="preserve">	A. Singh et al., "Transfer learning via distributed brain recordings enables reliable speech decoding," Nat. Commun., vol. 16, Art. no. 8749, 2025, doi: 10.1038/s41467-025-63825-0.</w:t>
      </w:r>
    </w:p>
    <w:p>
      <w:pPr>
        <w:spacing w:after="80" w:before="0" w:line="296"/>
        <w:ind w:left="480" w:hanging="480"/>
      </w:pPr>
      <w:r>
        <w:rPr>
          <w:rFonts w:ascii="Arial" w:cs="Arial" w:eastAsia="Arial" w:hAnsi="Arial"/>
          <w:b/>
          <w:bCs/>
          <w:color w:val="2E75B6"/>
          <w:sz w:val="18"/>
          <w:szCs w:val="18"/>
        </w:rPr>
        <w:t xml:space="preserve">[9]</w:t>
      </w:r>
      <w:r>
        <w:rPr>
          <w:rFonts w:ascii="Arial" w:cs="Arial" w:eastAsia="Arial" w:hAnsi="Arial"/>
          <w:color w:val="000000"/>
          <w:sz w:val="18"/>
          <w:szCs w:val="18"/>
        </w:rPr>
        <w:t xml:space="preserve">	N. Nieto, V. Peterson, H. Rufiner, J. Kamienkowski, and R. Spies, "Thinking out loud, an open-access EEG-based BCI dataset for inner speech recognition," Sci. Data, vol. 9, Art. no. 112, Mar. 2022, doi: 10.1038/s41597-022-01147-2.</w:t>
      </w:r>
    </w:p>
    <w:p>
      <w:pPr>
        <w:spacing w:after="80" w:before="0" w:line="296"/>
        <w:ind w:left="480" w:hanging="480"/>
      </w:pPr>
      <w:r>
        <w:rPr>
          <w:rFonts w:ascii="Arial" w:cs="Arial" w:eastAsia="Arial" w:hAnsi="Arial"/>
          <w:b/>
          <w:bCs/>
          <w:color w:val="2E75B6"/>
          <w:sz w:val="18"/>
          <w:szCs w:val="18"/>
        </w:rPr>
        <w:t xml:space="preserve">[10]</w:t>
      </w:r>
      <w:r>
        <w:rPr>
          <w:rFonts w:ascii="Arial" w:cs="Arial" w:eastAsia="Arial" w:hAnsi="Arial"/>
          <w:color w:val="000000"/>
          <w:sz w:val="18"/>
          <w:szCs w:val="18"/>
        </w:rPr>
        <w:t xml:space="preserve">	J. Berezutskaya, M. Vansteensel, E. Aarnoutse, Z. Freudenburg, G. Piantoni, M. Branco, and N. F. Ramsey, "Open multiband iEEG dataset from naturalistic reading and audio narrative tasks," Sci. Data, vol. 9, Art. no. 568, Sep. 2022, doi: 10.1038/s41597-022-01173-0.</w:t>
      </w:r>
    </w:p>
    <w:p>
      <w:pPr>
        <w:spacing w:after="80" w:before="0" w:line="296"/>
        <w:ind w:left="480" w:hanging="480"/>
      </w:pPr>
      <w:r>
        <w:rPr>
          <w:rFonts w:ascii="Arial" w:cs="Arial" w:eastAsia="Arial" w:hAnsi="Arial"/>
          <w:b/>
          <w:bCs/>
          <w:color w:val="2E75B6"/>
          <w:sz w:val="18"/>
          <w:szCs w:val="18"/>
        </w:rPr>
        <w:t xml:space="preserve">[11]</w:t>
      </w:r>
      <w:r>
        <w:rPr>
          <w:rFonts w:ascii="Arial" w:cs="Arial" w:eastAsia="Arial" w:hAnsi="Arial"/>
          <w:color w:val="000000"/>
          <w:sz w:val="18"/>
          <w:szCs w:val="18"/>
        </w:rPr>
        <w:t xml:space="preserve">	L. Gwilliams, G. Lauchaux, J. King, and A. Kleinschmidt, "MEG-MASC: A high-quality MEG dataset for evaluating natural speech processing," Sci. Data, vol. 10, Art. no. 862, Dec. 2023, doi: 10.1038/s41597-023-02752-5.</w:t>
      </w:r>
    </w:p>
    <w:p>
      <w:pPr>
        <w:spacing w:after="80" w:before="0" w:line="296"/>
        <w:ind w:left="480" w:hanging="480"/>
      </w:pPr>
      <w:r>
        <w:rPr>
          <w:rFonts w:ascii="Arial" w:cs="Arial" w:eastAsia="Arial" w:hAnsi="Arial"/>
          <w:b/>
          <w:bCs/>
          <w:color w:val="2E75B6"/>
          <w:sz w:val="18"/>
          <w:szCs w:val="18"/>
        </w:rPr>
        <w:t xml:space="preserve">[12]</w:t>
      </w:r>
      <w:r>
        <w:rPr>
          <w:rFonts w:ascii="Arial" w:cs="Arial" w:eastAsia="Arial" w:hAnsi="Arial"/>
          <w:color w:val="000000"/>
          <w:sz w:val="18"/>
          <w:szCs w:val="18"/>
        </w:rPr>
        <w:t xml:space="preserve">	R. Ardila et al., "Common voice: A massively-multilingual speech corpus," in Proc. LREC, 2020, pp. 4218–4222.</w:t>
      </w:r>
    </w:p>
    <w:p>
      <w:pPr>
        <w:spacing w:after="80" w:before="0" w:line="296"/>
        <w:ind w:left="480" w:hanging="480"/>
      </w:pPr>
      <w:r>
        <w:rPr>
          <w:rFonts w:ascii="Arial" w:cs="Arial" w:eastAsia="Arial" w:hAnsi="Arial"/>
          <w:b/>
          <w:bCs/>
          <w:color w:val="2E75B6"/>
          <w:sz w:val="18"/>
          <w:szCs w:val="18"/>
        </w:rPr>
        <w:t xml:space="preserve">[13]</w:t>
      </w:r>
      <w:r>
        <w:rPr>
          <w:rFonts w:ascii="Arial" w:cs="Arial" w:eastAsia="Arial" w:hAnsi="Arial"/>
          <w:color w:val="000000"/>
          <w:sz w:val="18"/>
          <w:szCs w:val="18"/>
        </w:rPr>
        <w:t xml:space="preserve">	M. J. Vansteensel, K. Jarosiewicz, M. Aarnoutse, F. Freudenburg, and N. F. Ramsey, "Towards clinical application of implantable brain–computer interfaces for people with late-stage ALS: medical and ethical considerations," J. Neurol., 2023, doi: 10.1007/s00415-022-11464-6.</w:t>
      </w:r>
    </w:p>
    <w:p>
      <w:pPr>
        <w:spacing w:after="80" w:before="0" w:line="296"/>
        <w:ind w:left="480" w:hanging="480"/>
      </w:pPr>
      <w:r>
        <w:rPr>
          <w:rFonts w:ascii="Arial" w:cs="Arial" w:eastAsia="Arial" w:hAnsi="Arial"/>
          <w:b/>
          <w:bCs/>
          <w:color w:val="2E75B6"/>
          <w:sz w:val="18"/>
          <w:szCs w:val="18"/>
        </w:rPr>
        <w:t xml:space="preserve">[14]</w:t>
      </w:r>
      <w:r>
        <w:rPr>
          <w:rFonts w:ascii="Arial" w:cs="Arial" w:eastAsia="Arial" w:hAnsi="Arial"/>
          <w:color w:val="000000"/>
          <w:sz w:val="18"/>
          <w:szCs w:val="18"/>
        </w:rPr>
        <w:t xml:space="preserve">	E. Boto, N. Holmes, J. Leggett, G. Roberts, V. Shah, S. S. Meyer, L. D. Muñoz, K. J. Mullinger, T. M. Tierney, S. Bestmann, G. R. Barnes, R. Bowtell, and M. J. Brookes, "Moving magnetoencephalography towards real-world applications with a wearable system," Nature, vol. 555, no. 7698, pp. 657–661, Mar. 2018, doi: 10.1038/nature26147.</w:t>
      </w:r>
    </w:p>
    <w:p>
      <w:pPr>
        <w:spacing w:after="80" w:before="0" w:line="296"/>
        <w:ind w:left="480" w:hanging="480"/>
      </w:pPr>
      <w:r>
        <w:rPr>
          <w:rFonts w:ascii="Arial" w:cs="Arial" w:eastAsia="Arial" w:hAnsi="Arial"/>
          <w:b/>
          <w:bCs/>
          <w:color w:val="2E75B6"/>
          <w:sz w:val="18"/>
          <w:szCs w:val="18"/>
        </w:rPr>
        <w:t xml:space="preserve">[15]</w:t>
      </w:r>
      <w:r>
        <w:rPr>
          <w:rFonts w:ascii="Arial" w:cs="Arial" w:eastAsia="Arial" w:hAnsi="Arial"/>
          <w:color w:val="000000"/>
          <w:sz w:val="18"/>
          <w:szCs w:val="18"/>
        </w:rPr>
        <w:t xml:space="preserve">	J. Kaplan, S. McCandlish, T. Henighan, T. B. Brown, B. Chess, R. Child, S. Gray, A. Radford, J. Wu, and D. Amodei, "Scaling laws for neural language models," arXiv preprint arXiv:2001.08361, Jan. 2020.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8"/>
        <w:szCs w:val="18"/>
      </w:rPr>
      <w:t xml:space="preserve">Adeika &amp; Osuagwu  |  Morgan State University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color w:val="595959"/>
        <w:sz w:val="18"/>
        <w:szCs w:val="18"/>
      </w:rPr>
      <w:t xml:space="preserve">AI for Brain-to-Speech Decoding: A Systematic Review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2026-05-01T15:16:11.083Z</dcterms:created>
  <dcterms:modified xsi:type="dcterms:W3CDTF">2026-05-01T15:16:11.084Z</dcterms:modified>
</cp:coreProperties>
</file>

<file path=docProps/custom.xml><?xml version="1.0" encoding="utf-8"?>
<Properties xmlns="http://schemas.openxmlformats.org/officeDocument/2006/custom-properties" xmlns:vt="http://schemas.openxmlformats.org/officeDocument/2006/docPropsVTypes"/>
</file>