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3EFB" w14:textId="77777777" w:rsidR="00F45C7D" w:rsidRPr="005B06FE" w:rsidRDefault="00000000">
      <w:pPr>
        <w:pStyle w:val="Heading1"/>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8. Conclusion</w:t>
      </w:r>
    </w:p>
    <w:p w14:paraId="28489BBD" w14:textId="77777777" w:rsidR="00F45C7D" w:rsidRPr="005B06FE" w:rsidRDefault="00000000">
      <w:pPr>
        <w:spacing w:after="160" w:line="348" w:lineRule="auto"/>
        <w:jc w:val="both"/>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This systematic review of 71 empirical studies published between 2015 and 2026 has synthesized the AI methods, performance benchmarks, and generalization evidence underpinning brain-to-speech decoding research across five neural recording modality groups. The answers to the three research questions are now grounded in evidence rather than extrapolation.</w:t>
      </w:r>
    </w:p>
    <w:p w14:paraId="048B5B36" w14:textId="78CE2E8A" w:rsidR="00F45C7D" w:rsidRPr="005B06FE" w:rsidRDefault="00000000">
      <w:pPr>
        <w:spacing w:after="160" w:line="348" w:lineRule="auto"/>
        <w:jc w:val="both"/>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 xml:space="preserve">On RQ1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 xml:space="preserve">AI architecture evolution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 xml:space="preserve">the field has progressed through eight distinct architecture classes in a decade, from HMM-based speech recognition through convolutional and recurrent networks, encoder-decoder frameworks, transformers, and self-supervised pre-training to nascent LLM-integrated and foundation model approaches. The architecture that currently delivers the best clinical results (RNN combined with language model rescoring) is not the most recent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reflecting a recurring tension in applied AI between theoretical advancement and the data and deployment constraints of clinical settings. Only 14 of 71 studies (20%) integrate a language model despite this being the single largest driver of WER reduction in open-vocabulary systems.</w:t>
      </w:r>
    </w:p>
    <w:p w14:paraId="7136DDE9" w14:textId="0BEE4388" w:rsidR="00F45C7D" w:rsidRPr="005B06FE" w:rsidRDefault="00000000">
      <w:pPr>
        <w:spacing w:after="160" w:line="348" w:lineRule="auto"/>
        <w:jc w:val="both"/>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 xml:space="preserve">On RQ2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 xml:space="preserve">performance benchmarks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 xml:space="preserve">the field has achieved extraordinary results in optimal conditions: WER as low as 2.5% </w:t>
      </w:r>
      <w:r w:rsidRPr="005B06FE">
        <w:rPr>
          <w:rFonts w:ascii="Times New Roman" w:hAnsi="Times New Roman" w:cs="Times New Roman"/>
          <w:color w:val="000000" w:themeColor="text1"/>
          <w:sz w:val="20"/>
          <w:szCs w:val="20"/>
          <w:vertAlign w:val="superscript"/>
        </w:rPr>
        <w:t>[1]</w:t>
      </w:r>
      <w:r w:rsidRPr="005B06FE">
        <w:rPr>
          <w:rFonts w:ascii="Times New Roman" w:hAnsi="Times New Roman" w:cs="Times New Roman"/>
          <w:color w:val="000000" w:themeColor="text1"/>
          <w:sz w:val="20"/>
          <w:szCs w:val="20"/>
        </w:rPr>
        <w:t xml:space="preserve">, communication rates up to 78 words per minute </w:t>
      </w:r>
      <w:r w:rsidRPr="005B06FE">
        <w:rPr>
          <w:rFonts w:ascii="Times New Roman" w:hAnsi="Times New Roman" w:cs="Times New Roman"/>
          <w:color w:val="000000" w:themeColor="text1"/>
          <w:sz w:val="20"/>
          <w:szCs w:val="20"/>
          <w:vertAlign w:val="superscript"/>
        </w:rPr>
        <w:t>[2]</w:t>
      </w:r>
      <w:r w:rsidRPr="005B06FE">
        <w:rPr>
          <w:rFonts w:ascii="Times New Roman" w:hAnsi="Times New Roman" w:cs="Times New Roman"/>
          <w:color w:val="000000" w:themeColor="text1"/>
          <w:sz w:val="20"/>
          <w:szCs w:val="20"/>
        </w:rPr>
        <w:t xml:space="preserve">, and 100% semantic story identification from non-invasive brain signals </w:t>
      </w:r>
      <w:r w:rsidRPr="005B06FE">
        <w:rPr>
          <w:rFonts w:ascii="Times New Roman" w:hAnsi="Times New Roman" w:cs="Times New Roman"/>
          <w:color w:val="000000" w:themeColor="text1"/>
          <w:sz w:val="20"/>
          <w:szCs w:val="20"/>
          <w:vertAlign w:val="superscript"/>
        </w:rPr>
        <w:t>[3]</w:t>
      </w:r>
      <w:r w:rsidRPr="005B06FE">
        <w:rPr>
          <w:rFonts w:ascii="Times New Roman" w:hAnsi="Times New Roman" w:cs="Times New Roman"/>
          <w:color w:val="000000" w:themeColor="text1"/>
          <w:sz w:val="20"/>
          <w:szCs w:val="20"/>
        </w:rPr>
        <w:t xml:space="preserve">. These are genuine scientific achievements. They are also, as Table 5 documents across eight comparability dimensions, not directly comparable to one another or to </w:t>
      </w:r>
      <w:proofErr w:type="gramStart"/>
      <w:r w:rsidRPr="005B06FE">
        <w:rPr>
          <w:rFonts w:ascii="Times New Roman" w:hAnsi="Times New Roman" w:cs="Times New Roman"/>
          <w:color w:val="000000" w:themeColor="text1"/>
          <w:sz w:val="20"/>
          <w:szCs w:val="20"/>
        </w:rPr>
        <w:t>the majority of</w:t>
      </w:r>
      <w:proofErr w:type="gramEnd"/>
      <w:r w:rsidRPr="005B06FE">
        <w:rPr>
          <w:rFonts w:ascii="Times New Roman" w:hAnsi="Times New Roman" w:cs="Times New Roman"/>
          <w:color w:val="000000" w:themeColor="text1"/>
          <w:sz w:val="20"/>
          <w:szCs w:val="20"/>
        </w:rPr>
        <w:t xml:space="preserve"> results in the literature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because vocabulary size, task type, participant population, evaluation methodology, and metric choice vary so substantially across studies that no single performance number can meaningfully represent the state of the field. Any synthesis that implies otherwise overstates the evidence.</w:t>
      </w:r>
    </w:p>
    <w:p w14:paraId="60EC35CB" w14:textId="230A9F63" w:rsidR="00F45C7D" w:rsidRPr="005B06FE" w:rsidRDefault="00000000">
      <w:pPr>
        <w:spacing w:after="160" w:line="348" w:lineRule="auto"/>
        <w:jc w:val="both"/>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 xml:space="preserve">On RQ3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 xml:space="preserve">generalization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the finding is stark. Forty of 71 included studies (56%) demonstrate no generalization beyond a single participant and a single recording session. Cross-session evidence exists in exactly two studies. Cross-language evidence in exactly two. A technology whose clinical promise rests on deployment across diverse patients, across daily sessions, across languages other than English, has not yet produced a body of evidence adequate to that promise. The gap is real, it is quantifiable, and it is the field's most important unsolved problem.</w:t>
      </w:r>
    </w:p>
    <w:p w14:paraId="60D89A37" w14:textId="4FCD75C4" w:rsidR="00F45C7D" w:rsidRPr="005B06FE" w:rsidRDefault="00000000">
      <w:pPr>
        <w:spacing w:after="160" w:line="348" w:lineRule="auto"/>
        <w:jc w:val="both"/>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 xml:space="preserve">None of this diminishes what has been accomplished. People who could not speak are speaking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through intracortical arrays, through ECoG grids, through the extraordinary convergence of neuroscience, engineering, and AI that defines this field at its best. The task for the next decade is to ensure that what works for one person in one laboratory can work for many people in many contexts. That will require standardized evaluation benchmarks, coordinated multi-participant data infrastructure, and a research culture that rewards replication and generalization as highly as it currently rewards novelty. The scientific foundations are strong enough. What is needed now is the will to build on them at scale.</w:t>
      </w:r>
    </w:p>
    <w:p w14:paraId="70A11847" w14:textId="77777777" w:rsidR="00F45C7D" w:rsidRPr="005B06FE" w:rsidRDefault="00F45C7D">
      <w:pPr>
        <w:pBdr>
          <w:bottom w:val="single" w:sz="4" w:space="1" w:color="BDD7EE"/>
        </w:pBdr>
        <w:spacing w:after="180"/>
        <w:rPr>
          <w:rFonts w:ascii="Times New Roman" w:hAnsi="Times New Roman" w:cs="Times New Roman"/>
          <w:color w:val="000000" w:themeColor="text1"/>
          <w:sz w:val="20"/>
          <w:szCs w:val="20"/>
        </w:rPr>
      </w:pPr>
    </w:p>
    <w:p w14:paraId="6F2D5600" w14:textId="77777777" w:rsidR="00F45C7D" w:rsidRPr="005B06FE" w:rsidRDefault="00000000">
      <w:pPr>
        <w:spacing w:before="260" w:after="120"/>
        <w:rPr>
          <w:rFonts w:ascii="Times New Roman" w:hAnsi="Times New Roman" w:cs="Times New Roman"/>
          <w:color w:val="000000" w:themeColor="text1"/>
          <w:sz w:val="20"/>
          <w:szCs w:val="20"/>
        </w:rPr>
      </w:pPr>
      <w:r w:rsidRPr="005B06FE">
        <w:rPr>
          <w:rFonts w:ascii="Times New Roman" w:hAnsi="Times New Roman" w:cs="Times New Roman"/>
          <w:b/>
          <w:bCs/>
          <w:color w:val="000000" w:themeColor="text1"/>
          <w:sz w:val="20"/>
          <w:szCs w:val="20"/>
        </w:rPr>
        <w:t>References</w:t>
      </w:r>
    </w:p>
    <w:p w14:paraId="394921BB" w14:textId="6244D5E1" w:rsidR="00F45C7D" w:rsidRPr="005B06FE" w:rsidRDefault="00000000">
      <w:pPr>
        <w:spacing w:before="100" w:line="296" w:lineRule="auto"/>
        <w:rPr>
          <w:rFonts w:ascii="Times New Roman" w:hAnsi="Times New Roman" w:cs="Times New Roman"/>
          <w:color w:val="000000" w:themeColor="text1"/>
          <w:sz w:val="20"/>
          <w:szCs w:val="20"/>
        </w:rPr>
      </w:pPr>
      <w:r w:rsidRPr="005B06FE">
        <w:rPr>
          <w:rFonts w:ascii="Times New Roman" w:hAnsi="Times New Roman" w:cs="Times New Roman"/>
          <w:color w:val="000000" w:themeColor="text1"/>
          <w:sz w:val="20"/>
          <w:szCs w:val="20"/>
        </w:rPr>
        <w:t xml:space="preserve">Section 8 references </w:t>
      </w:r>
      <w:r w:rsidR="005B06FE">
        <w:rPr>
          <w:rFonts w:ascii="Times New Roman" w:hAnsi="Times New Roman" w:cs="Times New Roman"/>
          <w:color w:val="000000" w:themeColor="text1"/>
          <w:sz w:val="20"/>
          <w:szCs w:val="20"/>
        </w:rPr>
        <w:t xml:space="preserve">- </w:t>
      </w:r>
      <w:r w:rsidRPr="005B06FE">
        <w:rPr>
          <w:rFonts w:ascii="Times New Roman" w:hAnsi="Times New Roman" w:cs="Times New Roman"/>
          <w:color w:val="000000" w:themeColor="text1"/>
          <w:sz w:val="20"/>
          <w:szCs w:val="20"/>
        </w:rPr>
        <w:t>to be renumbered in the final manuscript pass.</w:t>
      </w:r>
    </w:p>
    <w:p w14:paraId="459FD3C8" w14:textId="77777777" w:rsidR="00F45C7D" w:rsidRPr="005B06FE" w:rsidRDefault="00F45C7D">
      <w:pPr>
        <w:spacing w:after="60"/>
        <w:rPr>
          <w:rFonts w:ascii="Times New Roman" w:hAnsi="Times New Roman" w:cs="Times New Roman"/>
          <w:color w:val="000000" w:themeColor="text1"/>
          <w:sz w:val="20"/>
          <w:szCs w:val="20"/>
        </w:rPr>
      </w:pPr>
    </w:p>
    <w:p w14:paraId="1F8C791F" w14:textId="77777777" w:rsidR="00F45C7D" w:rsidRPr="005B06FE" w:rsidRDefault="00000000">
      <w:pPr>
        <w:spacing w:after="80" w:line="296" w:lineRule="auto"/>
        <w:ind w:left="480" w:hanging="480"/>
        <w:rPr>
          <w:rFonts w:ascii="Times New Roman" w:hAnsi="Times New Roman" w:cs="Times New Roman"/>
          <w:color w:val="000000" w:themeColor="text1"/>
          <w:sz w:val="20"/>
          <w:szCs w:val="20"/>
        </w:rPr>
      </w:pPr>
      <w:r w:rsidRPr="005B06FE">
        <w:rPr>
          <w:rFonts w:ascii="Times New Roman" w:hAnsi="Times New Roman" w:cs="Times New Roman"/>
          <w:b/>
          <w:bCs/>
          <w:color w:val="000000" w:themeColor="text1"/>
          <w:sz w:val="20"/>
          <w:szCs w:val="20"/>
        </w:rPr>
        <w:lastRenderedPageBreak/>
        <w:t>[1]</w:t>
      </w:r>
      <w:r w:rsidRPr="005B06FE">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5B06FE">
        <w:rPr>
          <w:rFonts w:ascii="Times New Roman" w:hAnsi="Times New Roman" w:cs="Times New Roman"/>
          <w:color w:val="000000" w:themeColor="text1"/>
          <w:sz w:val="20"/>
          <w:szCs w:val="20"/>
        </w:rPr>
        <w:t>doi</w:t>
      </w:r>
      <w:proofErr w:type="spellEnd"/>
      <w:r w:rsidRPr="005B06FE">
        <w:rPr>
          <w:rFonts w:ascii="Times New Roman" w:hAnsi="Times New Roman" w:cs="Times New Roman"/>
          <w:color w:val="000000" w:themeColor="text1"/>
          <w:sz w:val="20"/>
          <w:szCs w:val="20"/>
        </w:rPr>
        <w:t>: 10.1056/NEJMoa2314132.</w:t>
      </w:r>
    </w:p>
    <w:p w14:paraId="6B0F6F74" w14:textId="77777777" w:rsidR="00F45C7D" w:rsidRPr="005B06FE" w:rsidRDefault="00000000">
      <w:pPr>
        <w:spacing w:after="80" w:line="296" w:lineRule="auto"/>
        <w:ind w:left="480" w:hanging="480"/>
        <w:rPr>
          <w:rFonts w:ascii="Times New Roman" w:hAnsi="Times New Roman" w:cs="Times New Roman"/>
          <w:color w:val="000000" w:themeColor="text1"/>
          <w:sz w:val="20"/>
          <w:szCs w:val="20"/>
        </w:rPr>
      </w:pPr>
      <w:r w:rsidRPr="005B06FE">
        <w:rPr>
          <w:rFonts w:ascii="Times New Roman" w:hAnsi="Times New Roman" w:cs="Times New Roman"/>
          <w:b/>
          <w:bCs/>
          <w:color w:val="000000" w:themeColor="text1"/>
          <w:sz w:val="20"/>
          <w:szCs w:val="20"/>
        </w:rPr>
        <w:t>[2]</w:t>
      </w:r>
      <w:r w:rsidRPr="005B06FE">
        <w:rPr>
          <w:rFonts w:ascii="Times New Roman" w:hAnsi="Times New Roman" w:cs="Times New Roman"/>
          <w:color w:val="000000" w:themeColor="text1"/>
          <w:sz w:val="20"/>
          <w:szCs w:val="20"/>
        </w:rPr>
        <w:tab/>
        <w:t xml:space="preserve">S. L. Metzger et al., "A high-performance neuroprosthesis for speech decoding and avatar control," Nature, vol. 620, pp. 1037–1046, Aug. 2023, </w:t>
      </w:r>
      <w:proofErr w:type="spellStart"/>
      <w:r w:rsidRPr="005B06FE">
        <w:rPr>
          <w:rFonts w:ascii="Times New Roman" w:hAnsi="Times New Roman" w:cs="Times New Roman"/>
          <w:color w:val="000000" w:themeColor="text1"/>
          <w:sz w:val="20"/>
          <w:szCs w:val="20"/>
        </w:rPr>
        <w:t>doi</w:t>
      </w:r>
      <w:proofErr w:type="spellEnd"/>
      <w:r w:rsidRPr="005B06FE">
        <w:rPr>
          <w:rFonts w:ascii="Times New Roman" w:hAnsi="Times New Roman" w:cs="Times New Roman"/>
          <w:color w:val="000000" w:themeColor="text1"/>
          <w:sz w:val="20"/>
          <w:szCs w:val="20"/>
        </w:rPr>
        <w:t>: 10.1038/s41586-023-06443-4.</w:t>
      </w:r>
    </w:p>
    <w:p w14:paraId="4A33A323" w14:textId="77777777" w:rsidR="00F45C7D" w:rsidRPr="005B06FE" w:rsidRDefault="00000000">
      <w:pPr>
        <w:spacing w:after="80" w:line="296" w:lineRule="auto"/>
        <w:ind w:left="480" w:hanging="480"/>
        <w:rPr>
          <w:rFonts w:ascii="Times New Roman" w:hAnsi="Times New Roman" w:cs="Times New Roman"/>
          <w:color w:val="000000" w:themeColor="text1"/>
          <w:sz w:val="20"/>
          <w:szCs w:val="20"/>
        </w:rPr>
      </w:pPr>
      <w:r w:rsidRPr="005B06FE">
        <w:rPr>
          <w:rFonts w:ascii="Times New Roman" w:hAnsi="Times New Roman" w:cs="Times New Roman"/>
          <w:b/>
          <w:bCs/>
          <w:color w:val="000000" w:themeColor="text1"/>
          <w:sz w:val="20"/>
          <w:szCs w:val="20"/>
        </w:rPr>
        <w:t>[3]</w:t>
      </w:r>
      <w:r w:rsidRPr="005B06FE">
        <w:rPr>
          <w:rFonts w:ascii="Times New Roman" w:hAnsi="Times New Roman" w:cs="Times New Roman"/>
          <w:color w:val="000000" w:themeColor="text1"/>
          <w:sz w:val="20"/>
          <w:szCs w:val="20"/>
        </w:rPr>
        <w:tab/>
        <w:t xml:space="preserve">J. Tang, A. </w:t>
      </w:r>
      <w:proofErr w:type="spellStart"/>
      <w:r w:rsidRPr="005B06FE">
        <w:rPr>
          <w:rFonts w:ascii="Times New Roman" w:hAnsi="Times New Roman" w:cs="Times New Roman"/>
          <w:color w:val="000000" w:themeColor="text1"/>
          <w:sz w:val="20"/>
          <w:szCs w:val="20"/>
        </w:rPr>
        <w:t>LeBel</w:t>
      </w:r>
      <w:proofErr w:type="spellEnd"/>
      <w:r w:rsidRPr="005B06FE">
        <w:rPr>
          <w:rFonts w:ascii="Times New Roman" w:hAnsi="Times New Roman" w:cs="Times New Roman"/>
          <w:color w:val="000000" w:themeColor="text1"/>
          <w:sz w:val="20"/>
          <w:szCs w:val="20"/>
        </w:rPr>
        <w:t xml:space="preserve">, S. Jain, and A. G. Huth, "Semantic reconstruction of continuous language from non-invasive brain recordings," Nat. </w:t>
      </w:r>
      <w:proofErr w:type="spellStart"/>
      <w:r w:rsidRPr="005B06FE">
        <w:rPr>
          <w:rFonts w:ascii="Times New Roman" w:hAnsi="Times New Roman" w:cs="Times New Roman"/>
          <w:color w:val="000000" w:themeColor="text1"/>
          <w:sz w:val="20"/>
          <w:szCs w:val="20"/>
        </w:rPr>
        <w:t>Neurosci</w:t>
      </w:r>
      <w:proofErr w:type="spellEnd"/>
      <w:r w:rsidRPr="005B06FE">
        <w:rPr>
          <w:rFonts w:ascii="Times New Roman" w:hAnsi="Times New Roman" w:cs="Times New Roman"/>
          <w:color w:val="000000" w:themeColor="text1"/>
          <w:sz w:val="20"/>
          <w:szCs w:val="20"/>
        </w:rPr>
        <w:t xml:space="preserve">., vol. 26, no. 5, pp. 858–866, May 2023, </w:t>
      </w:r>
      <w:proofErr w:type="spellStart"/>
      <w:r w:rsidRPr="005B06FE">
        <w:rPr>
          <w:rFonts w:ascii="Times New Roman" w:hAnsi="Times New Roman" w:cs="Times New Roman"/>
          <w:color w:val="000000" w:themeColor="text1"/>
          <w:sz w:val="20"/>
          <w:szCs w:val="20"/>
        </w:rPr>
        <w:t>doi</w:t>
      </w:r>
      <w:proofErr w:type="spellEnd"/>
      <w:r w:rsidRPr="005B06FE">
        <w:rPr>
          <w:rFonts w:ascii="Times New Roman" w:hAnsi="Times New Roman" w:cs="Times New Roman"/>
          <w:color w:val="000000" w:themeColor="text1"/>
          <w:sz w:val="20"/>
          <w:szCs w:val="20"/>
        </w:rPr>
        <w:t>: 10.1038/s41593-023-01304-9.</w:t>
      </w:r>
    </w:p>
    <w:sectPr w:rsidR="00F45C7D" w:rsidRPr="005B06F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ED93" w14:textId="77777777" w:rsidR="00D95220" w:rsidRDefault="00D95220">
      <w:r>
        <w:separator/>
      </w:r>
    </w:p>
  </w:endnote>
  <w:endnote w:type="continuationSeparator" w:id="0">
    <w:p w14:paraId="180732B5" w14:textId="77777777" w:rsidR="00D95220" w:rsidRDefault="00D9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8702" w14:textId="77777777" w:rsidR="00F45C7D"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6932" w14:textId="77777777" w:rsidR="00D95220" w:rsidRDefault="00D95220">
      <w:r>
        <w:separator/>
      </w:r>
    </w:p>
  </w:footnote>
  <w:footnote w:type="continuationSeparator" w:id="0">
    <w:p w14:paraId="34D78FA6" w14:textId="77777777" w:rsidR="00D95220" w:rsidRDefault="00D95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2154" w14:textId="77777777" w:rsidR="00F45C7D"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F6FCE"/>
    <w:multiLevelType w:val="hybridMultilevel"/>
    <w:tmpl w:val="1DAA7D2E"/>
    <w:lvl w:ilvl="0" w:tplc="CC881EC0">
      <w:start w:val="1"/>
      <w:numFmt w:val="bullet"/>
      <w:lvlText w:val="●"/>
      <w:lvlJc w:val="left"/>
      <w:pPr>
        <w:ind w:left="720" w:hanging="360"/>
      </w:pPr>
    </w:lvl>
    <w:lvl w:ilvl="1" w:tplc="090C93AA">
      <w:start w:val="1"/>
      <w:numFmt w:val="bullet"/>
      <w:lvlText w:val="○"/>
      <w:lvlJc w:val="left"/>
      <w:pPr>
        <w:ind w:left="1440" w:hanging="360"/>
      </w:pPr>
    </w:lvl>
    <w:lvl w:ilvl="2" w:tplc="734EF462">
      <w:start w:val="1"/>
      <w:numFmt w:val="bullet"/>
      <w:lvlText w:val="■"/>
      <w:lvlJc w:val="left"/>
      <w:pPr>
        <w:ind w:left="2160" w:hanging="360"/>
      </w:pPr>
    </w:lvl>
    <w:lvl w:ilvl="3" w:tplc="0B4CBA02">
      <w:start w:val="1"/>
      <w:numFmt w:val="bullet"/>
      <w:lvlText w:val="●"/>
      <w:lvlJc w:val="left"/>
      <w:pPr>
        <w:ind w:left="2880" w:hanging="360"/>
      </w:pPr>
    </w:lvl>
    <w:lvl w:ilvl="4" w:tplc="6F3CB7C4">
      <w:start w:val="1"/>
      <w:numFmt w:val="bullet"/>
      <w:lvlText w:val="○"/>
      <w:lvlJc w:val="left"/>
      <w:pPr>
        <w:ind w:left="3600" w:hanging="360"/>
      </w:pPr>
    </w:lvl>
    <w:lvl w:ilvl="5" w:tplc="6A1E5CB8">
      <w:start w:val="1"/>
      <w:numFmt w:val="bullet"/>
      <w:lvlText w:val="■"/>
      <w:lvlJc w:val="left"/>
      <w:pPr>
        <w:ind w:left="4320" w:hanging="360"/>
      </w:pPr>
    </w:lvl>
    <w:lvl w:ilvl="6" w:tplc="9C4A4088">
      <w:start w:val="1"/>
      <w:numFmt w:val="bullet"/>
      <w:lvlText w:val="●"/>
      <w:lvlJc w:val="left"/>
      <w:pPr>
        <w:ind w:left="5040" w:hanging="360"/>
      </w:pPr>
    </w:lvl>
    <w:lvl w:ilvl="7" w:tplc="1D7EE3DE">
      <w:start w:val="1"/>
      <w:numFmt w:val="bullet"/>
      <w:lvlText w:val="●"/>
      <w:lvlJc w:val="left"/>
      <w:pPr>
        <w:ind w:left="5760" w:hanging="360"/>
      </w:pPr>
    </w:lvl>
    <w:lvl w:ilvl="8" w:tplc="792062B6">
      <w:start w:val="1"/>
      <w:numFmt w:val="bullet"/>
      <w:lvlText w:val="●"/>
      <w:lvlJc w:val="left"/>
      <w:pPr>
        <w:ind w:left="6480" w:hanging="360"/>
      </w:pPr>
    </w:lvl>
  </w:abstractNum>
  <w:num w:numId="1" w16cid:durableId="1673681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7D"/>
    <w:rsid w:val="005B06FE"/>
    <w:rsid w:val="00D95220"/>
    <w:rsid w:val="00EB464E"/>
    <w:rsid w:val="00F4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029D63"/>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2026-05-01T15:19:00Z</dcterms:created>
  <dcterms:modified xsi:type="dcterms:W3CDTF">2026-05-01T15:22:00Z</dcterms:modified>
</cp:coreProperties>
</file>