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pPr>
      <w:r>
        <w:rPr>
          <w:rFonts w:ascii="Arial" w:cs="Arial" w:eastAsia="Arial" w:hAnsi="Arial"/>
          <w:b/>
          <w:bCs/>
          <w:i w:val="false"/>
          <w:iCs w:val="false"/>
          <w:color w:val="000000"/>
          <w:sz w:val="20"/>
          <w:szCs w:val="20"/>
        </w:rPr>
        <w:t xml:space="preserve">Table 4. </w:t>
      </w:r>
      <w:r>
        <w:rPr>
          <w:rFonts w:ascii="Arial" w:cs="Arial" w:eastAsia="Arial" w:hAnsi="Arial"/>
          <w:b w:val="false"/>
          <w:bCs w:val="false"/>
          <w:i w:val="false"/>
          <w:iCs w:val="false"/>
          <w:color w:val="000000"/>
          <w:sz w:val="20"/>
          <w:szCs w:val="20"/>
        </w:rPr>
        <w:t xml:space="preserve">Generalization Evidence Summary — Studies Demonstrating Cross-Participant, Cross-Session, Cross-Language, or Cross-Modal Generalization (2015–2026). 21 studies drawn from the 71 included studies. 40 of 71 studies (56%) demonstrated no generalization beyond a single participant and single session.</w:t>
      </w:r>
    </w:p>
    <w:p>
      <w:pPr>
        <w:spacing w:after="160" w:before="0"/>
      </w:pPr>
      <w:r>
        <w:rPr>
          <w:rFonts w:ascii="Arial" w:cs="Arial" w:eastAsia="Arial" w:hAnsi="Arial"/>
          <w:b w:val="false"/>
          <w:bCs w:val="false"/>
          <w:i/>
          <w:iCs/>
          <w:color w:val="595959"/>
          <w:sz w:val="15"/>
          <w:szCs w:val="15"/>
        </w:rPr>
        <w:t xml:space="preserve">CP = cross-participant generalization. CS = cross-session generalization. CL = cross-language generalization. CM = cross-modal / cross-task generalization. n = number of participants. Studies are organized by primary generalization type. Studies demonstrating multiple generalization types simultaneously are included in the most clinically significant category with secondary types noted. The remaining 50 of 71 included studies (70%) are not listed here as they report no generalization evidence beyond single-participant single-session evaluation — this represents a critical finding of this review addressed in Section 6.</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80"/>
        <w:gridCol w:w="1300"/>
        <w:gridCol w:w="2400"/>
        <w:gridCol w:w="3100"/>
        <w:gridCol w:w="3920"/>
      </w:tblGrid>
      <w:tr>
        <w:trPr>
          <w:tblHeader/>
        </w:trPr>
        <w:tc>
          <w:tcPr>
            <w:tcW w:type="dxa" w:w="1900"/>
            <w:tcBorders>
              <w:top w:val="single" w:color="1F4E79" w:sz="4"/>
              <w:left w:val="single" w:color="CCCCCC" w:sz="1"/>
              <w:bottom w:val="single" w:color="1F4E79" w:sz="4"/>
              <w:right w:val="single" w:color="CCCCCC" w:sz="1"/>
            </w:tcBorders>
            <w:shd w:fill="1F4E79" w:val="clear"/>
            <w:tcMar>
              <w:top w:type="dxa" w:w="80"/>
              <w:left w:type="dxa" w:w="100"/>
              <w:bottom w:type="dxa" w:w="80"/>
              <w:right w:type="dxa" w:w="100"/>
            </w:tcMar>
            <w:vAlign w:val="center"/>
          </w:tcPr>
          <w:p>
            <w:pPr>
              <w:spacing w:after="0" w:before="0"/>
            </w:pPr>
            <w:r>
              <w:rPr>
                <w:rFonts w:ascii="Arial" w:cs="Arial" w:eastAsia="Arial" w:hAnsi="Arial"/>
                <w:b/>
                <w:bCs/>
                <w:i w:val="false"/>
                <w:iCs w:val="false"/>
                <w:color w:val="FFFFFF"/>
                <w:sz w:val="16"/>
                <w:szCs w:val="16"/>
              </w:rPr>
              <w:t xml:space="preserve">Study
(authors &amp; year)</w:t>
            </w:r>
          </w:p>
        </w:tc>
        <w:tc>
          <w:tcPr>
            <w:tcW w:type="dxa" w:w="1100"/>
            <w:tcBorders>
              <w:top w:val="single" w:color="1F4E79" w:sz="4"/>
              <w:left w:val="single" w:color="CCCCCC" w:sz="1"/>
              <w:bottom w:val="single" w:color="1F4E79" w:sz="4"/>
              <w:right w:val="single" w:color="CCCCCC" w:sz="1"/>
            </w:tcBorders>
            <w:shd w:fill="1F4E79" w:val="clear"/>
            <w:tcMar>
              <w:top w:type="dxa" w:w="80"/>
              <w:left w:type="dxa" w:w="100"/>
              <w:bottom w:type="dxa" w:w="80"/>
              <w:right w:type="dxa" w:w="100"/>
            </w:tcMar>
            <w:vAlign w:val="center"/>
          </w:tcPr>
          <w:p>
            <w:pPr>
              <w:spacing w:after="0" w:before="0"/>
            </w:pPr>
            <w:r>
              <w:rPr>
                <w:rFonts w:ascii="Arial" w:cs="Arial" w:eastAsia="Arial" w:hAnsi="Arial"/>
                <w:b/>
                <w:bCs/>
                <w:i w:val="false"/>
                <w:iCs w:val="false"/>
                <w:color w:val="FFFFFF"/>
                <w:sz w:val="16"/>
                <w:szCs w:val="16"/>
              </w:rPr>
              <w:t xml:space="preserve">Modality</w:t>
            </w:r>
          </w:p>
        </w:tc>
        <w:tc>
          <w:tcPr>
            <w:tcW w:type="dxa" w:w="680"/>
            <w:tcBorders>
              <w:top w:val="single" w:color="1F4E79" w:sz="4"/>
              <w:left w:val="single" w:color="CCCCCC" w:sz="1"/>
              <w:bottom w:val="single" w:color="1F4E79" w:sz="4"/>
              <w:right w:val="single" w:color="CCCCCC" w:sz="1"/>
            </w:tcBorders>
            <w:shd w:fill="1F4E79" w:val="clear"/>
            <w:tcMar>
              <w:top w:type="dxa" w:w="80"/>
              <w:left w:type="dxa" w:w="100"/>
              <w:bottom w:type="dxa" w:w="80"/>
              <w:right w:type="dxa" w:w="100"/>
            </w:tcMar>
            <w:vAlign w:val="center"/>
          </w:tcPr>
          <w:p>
            <w:pPr>
              <w:spacing w:after="0" w:before="0"/>
            </w:pPr>
            <w:r>
              <w:rPr>
                <w:rFonts w:ascii="Arial" w:cs="Arial" w:eastAsia="Arial" w:hAnsi="Arial"/>
                <w:b/>
                <w:bCs/>
                <w:i w:val="false"/>
                <w:iCs w:val="false"/>
                <w:color w:val="FFFFFF"/>
                <w:sz w:val="16"/>
                <w:szCs w:val="16"/>
              </w:rPr>
              <w:t xml:space="preserve">n Participants</w:t>
            </w:r>
          </w:p>
        </w:tc>
        <w:tc>
          <w:tcPr>
            <w:tcW w:type="dxa" w:w="1300"/>
            <w:tcBorders>
              <w:top w:val="single" w:color="1F4E79" w:sz="4"/>
              <w:left w:val="single" w:color="CCCCCC" w:sz="1"/>
              <w:bottom w:val="single" w:color="1F4E79" w:sz="4"/>
              <w:right w:val="single" w:color="CCCCCC" w:sz="1"/>
            </w:tcBorders>
            <w:shd w:fill="1F4E79" w:val="clear"/>
            <w:tcMar>
              <w:top w:type="dxa" w:w="80"/>
              <w:left w:type="dxa" w:w="100"/>
              <w:bottom w:type="dxa" w:w="80"/>
              <w:right w:type="dxa" w:w="100"/>
            </w:tcMar>
            <w:vAlign w:val="center"/>
          </w:tcPr>
          <w:p>
            <w:pPr>
              <w:spacing w:after="0" w:before="0"/>
            </w:pPr>
            <w:r>
              <w:rPr>
                <w:rFonts w:ascii="Arial" w:cs="Arial" w:eastAsia="Arial" w:hAnsi="Arial"/>
                <w:b/>
                <w:bCs/>
                <w:i w:val="false"/>
                <w:iCs w:val="false"/>
                <w:color w:val="FFFFFF"/>
                <w:sz w:val="16"/>
                <w:szCs w:val="16"/>
              </w:rPr>
              <w:t xml:space="preserve">Generalization
type</w:t>
            </w:r>
          </w:p>
        </w:tc>
        <w:tc>
          <w:tcPr>
            <w:tcW w:type="dxa" w:w="2400"/>
            <w:tcBorders>
              <w:top w:val="single" w:color="1F4E79" w:sz="4"/>
              <w:left w:val="single" w:color="CCCCCC" w:sz="1"/>
              <w:bottom w:val="single" w:color="1F4E79" w:sz="4"/>
              <w:right w:val="single" w:color="CCCCCC" w:sz="1"/>
            </w:tcBorders>
            <w:shd w:fill="1F4E79" w:val="clear"/>
            <w:tcMar>
              <w:top w:type="dxa" w:w="80"/>
              <w:left w:type="dxa" w:w="100"/>
              <w:bottom w:type="dxa" w:w="80"/>
              <w:right w:type="dxa" w:w="100"/>
            </w:tcMar>
            <w:vAlign w:val="center"/>
          </w:tcPr>
          <w:p>
            <w:pPr>
              <w:spacing w:after="0" w:before="0"/>
            </w:pPr>
            <w:r>
              <w:rPr>
                <w:rFonts w:ascii="Arial" w:cs="Arial" w:eastAsia="Arial" w:hAnsi="Arial"/>
                <w:b/>
                <w:bCs/>
                <w:i w:val="false"/>
                <w:iCs w:val="false"/>
                <w:color w:val="FFFFFF"/>
                <w:sz w:val="16"/>
                <w:szCs w:val="16"/>
              </w:rPr>
              <w:t xml:space="preserve">Method used to achieve
generalization</w:t>
            </w:r>
          </w:p>
        </w:tc>
        <w:tc>
          <w:tcPr>
            <w:tcW w:type="dxa" w:w="3100"/>
            <w:tcBorders>
              <w:top w:val="single" w:color="1F4E79" w:sz="4"/>
              <w:left w:val="single" w:color="CCCCCC" w:sz="1"/>
              <w:bottom w:val="single" w:color="1F4E79" w:sz="4"/>
              <w:right w:val="single" w:color="CCCCCC" w:sz="1"/>
            </w:tcBorders>
            <w:shd w:fill="1F4E79" w:val="clear"/>
            <w:tcMar>
              <w:top w:type="dxa" w:w="80"/>
              <w:left w:type="dxa" w:w="100"/>
              <w:bottom w:type="dxa" w:w="80"/>
              <w:right w:type="dxa" w:w="100"/>
            </w:tcMar>
            <w:vAlign w:val="center"/>
          </w:tcPr>
          <w:p>
            <w:pPr>
              <w:spacing w:after="0" w:before="0"/>
            </w:pPr>
            <w:r>
              <w:rPr>
                <w:rFonts w:ascii="Arial" w:cs="Arial" w:eastAsia="Arial" w:hAnsi="Arial"/>
                <w:b/>
                <w:bCs/>
                <w:i w:val="false"/>
                <w:iCs w:val="false"/>
                <w:color w:val="FFFFFF"/>
                <w:sz w:val="16"/>
                <w:szCs w:val="16"/>
              </w:rPr>
              <w:t xml:space="preserve">Performance evidence
(from published paper)</w:t>
            </w:r>
          </w:p>
        </w:tc>
        <w:tc>
          <w:tcPr>
            <w:tcW w:type="dxa" w:w="3920"/>
            <w:tcBorders>
              <w:top w:val="single" w:color="1F4E79" w:sz="4"/>
              <w:left w:val="single" w:color="CCCCCC" w:sz="1"/>
              <w:bottom w:val="single" w:color="1F4E79" w:sz="4"/>
              <w:right w:val="single" w:color="CCCCCC" w:sz="1"/>
            </w:tcBorders>
            <w:shd w:fill="1F4E79" w:val="clear"/>
            <w:tcMar>
              <w:top w:type="dxa" w:w="80"/>
              <w:left w:type="dxa" w:w="100"/>
              <w:bottom w:type="dxa" w:w="80"/>
              <w:right w:type="dxa" w:w="100"/>
            </w:tcMar>
            <w:vAlign w:val="center"/>
          </w:tcPr>
          <w:p>
            <w:pPr>
              <w:spacing w:after="0" w:before="0"/>
            </w:pPr>
            <w:r>
              <w:rPr>
                <w:rFonts w:ascii="Arial" w:cs="Arial" w:eastAsia="Arial" w:hAnsi="Arial"/>
                <w:b/>
                <w:bCs/>
                <w:i w:val="false"/>
                <w:iCs w:val="false"/>
                <w:color w:val="FFFFFF"/>
                <w:sz w:val="16"/>
                <w:szCs w:val="16"/>
              </w:rPr>
              <w:t xml:space="preserve">Significance / notes</w:t>
            </w:r>
          </w:p>
        </w:tc>
      </w:tr>
      <w:tr>
        <w:tc>
          <w:tcPr>
            <w:tcW w:type="dxa" w:w="14400"/>
            <w:gridSpan w:val="7"/>
            <w:tcBorders>
              <w:top w:val="single" w:color="1F4E79" w:sz="4"/>
              <w:left w:val="single" w:color="CCCCCC" w:sz="1"/>
              <w:bottom w:val="single" w:color="1F4E79" w:sz="4"/>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b/>
                <w:bCs/>
                <w:i w:val="false"/>
                <w:iCs w:val="false"/>
                <w:color w:val="FFFFFF"/>
                <w:sz w:val="17"/>
                <w:szCs w:val="17"/>
              </w:rPr>
              <w:t xml:space="preserve">SECTION 1 — CROSS-PARTICIPANT GENERALIZATION  (18 studies)  |  Most common generalization type in this review</w:t>
            </w:r>
          </w:p>
        </w:tc>
      </w:tr>
      <w:tr>
        <w:tc>
          <w:tcPr>
            <w:tcW w:type="dxa" w:w="19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Willett et al.</w:t>
            </w:r>
          </w:p>
          <w:p>
            <w:pPr>
              <w:spacing w:after="0" w:before="0"/>
            </w:pPr>
            <w:r>
              <w:rPr>
                <w:rFonts w:ascii="Arial" w:cs="Arial" w:eastAsia="Arial" w:hAnsi="Arial"/>
                <w:b w:val="false"/>
                <w:bCs w:val="false"/>
                <w:i w:val="false"/>
                <w:iCs w:val="false"/>
                <w:color w:val="595959"/>
                <w:sz w:val="15"/>
                <w:szCs w:val="15"/>
              </w:rPr>
              <w:t xml:space="preserve">(2026)</w:t>
            </w:r>
          </w:p>
        </w:tc>
        <w:tc>
          <w:tcPr>
            <w:tcW w:type="dxa" w:w="1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Intracortical</w:t>
            </w:r>
          </w:p>
        </w:tc>
        <w:tc>
          <w:tcPr>
            <w:tcW w:type="dxa" w:w="68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000000"/>
                <w:sz w:val="15"/>
                <w:szCs w:val="15"/>
              </w:rPr>
              <w:t xml:space="preserve">Multiple</w:t>
            </w:r>
          </w:p>
        </w:tc>
        <w:tc>
          <w:tcPr>
            <w:tcW w:type="dxa" w:w="13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1F4E79"/>
                <w:sz w:val="15"/>
                <w:szCs w:val="15"/>
              </w:rPr>
              <w:t xml:space="preserve">Cross-participant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Cross-brain decoder transfer via shared low-dimensional neural manifolds</w:t>
            </w:r>
          </w:p>
          <w:p>
            <w:pPr>
              <w:spacing w:after="30" w:before="0"/>
              <w:ind w:left="220" w:hanging="200"/>
            </w:pPr>
            <w:r>
              <w:rPr>
                <w:rFonts w:ascii="Arial" w:cs="Arial" w:eastAsia="Arial" w:hAnsi="Arial"/>
                <w:b w:val="false"/>
                <w:bCs w:val="false"/>
                <w:i w:val="false"/>
                <w:iCs w:val="false"/>
                <w:color w:val="000000"/>
                <w:sz w:val="15"/>
                <w:szCs w:val="15"/>
              </w:rPr>
              <w:t xml:space="preserve">•  Pre-trained intracortical speech decoder transferred to new participants without full retraining</w:t>
            </w:r>
          </w:p>
          <w:p>
            <w:pPr>
              <w:spacing w:after="30" w:before="0"/>
              <w:ind w:left="220" w:hanging="200"/>
            </w:pPr>
            <w:r>
              <w:rPr>
                <w:rFonts w:ascii="Arial" w:cs="Arial" w:eastAsia="Arial" w:hAnsi="Arial"/>
                <w:b w:val="false"/>
                <w:bCs w:val="false"/>
                <w:i w:val="false"/>
                <w:iCs w:val="false"/>
                <w:color w:val="000000"/>
                <w:sz w:val="15"/>
                <w:szCs w:val="15"/>
              </w:rPr>
              <w:t xml:space="preserve">•  RNN architecture with language model integration</w:t>
            </w:r>
          </w:p>
        </w:tc>
        <w:tc>
          <w:tcPr>
            <w:tcW w:type="dxa" w:w="3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WER: </w:t>
            </w:r>
            <w:r>
              <w:rPr>
                <w:rFonts w:ascii="Arial" w:cs="Arial" w:eastAsia="Arial" w:hAnsi="Arial"/>
                <w:b w:val="false"/>
                <w:bCs w:val="false"/>
                <w:i w:val="false"/>
                <w:iCs w:val="false"/>
                <w:color w:val="000000"/>
                <w:sz w:val="16"/>
                <w:szCs w:val="16"/>
              </w:rPr>
              <w:t xml:space="preserve">Cross-participant WER reported; transfer accuracy metrics</w:t>
            </w:r>
          </w:p>
          <w:p>
            <w:pPr>
              <w:spacing w:after="40" w:before="0"/>
            </w:pPr>
            <w:r>
              <w:rPr>
                <w:rFonts w:ascii="Arial" w:cs="Arial" w:eastAsia="Arial" w:hAnsi="Arial"/>
                <w:b/>
                <w:bCs/>
                <w:i w:val="false"/>
                <w:iCs w:val="false"/>
                <w:color w:val="000000"/>
                <w:sz w:val="16"/>
                <w:szCs w:val="16"/>
              </w:rPr>
              <w:t xml:space="preserve">Evidence: </w:t>
            </w:r>
            <w:r>
              <w:rPr>
                <w:rFonts w:ascii="Arial" w:cs="Arial" w:eastAsia="Arial" w:hAnsi="Arial"/>
                <w:b w:val="false"/>
                <w:bCs w:val="false"/>
                <w:i w:val="false"/>
                <w:iCs w:val="false"/>
                <w:color w:val="000000"/>
                <w:sz w:val="16"/>
                <w:szCs w:val="16"/>
              </w:rPr>
              <w:t xml:space="preserve">Decoder trained on one participant achieves above-chance performance on new participant's neural signals</w:t>
            </w:r>
          </w:p>
          <w:p>
            <w:pPr>
              <w:spacing w:after="30" w:before="0"/>
            </w:pPr>
            <w:r>
              <w:rPr>
                <w:rFonts w:ascii="Arial" w:cs="Arial" w:eastAsia="Arial" w:hAnsi="Arial"/>
                <w:b w:val="false"/>
                <w:bCs w:val="false"/>
                <w:i/>
                <w:iCs/>
                <w:color w:val="595959"/>
                <w:sz w:val="14"/>
                <w:szCs w:val="14"/>
              </w:rPr>
              <w:t xml:space="preserve">[Preprint bioRxiv Jan 2026 — verify final published values]</w:t>
            </w:r>
          </w:p>
        </w:tc>
        <w:tc>
          <w:tcPr>
            <w:tcW w:type="dxa" w:w="39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First demonstration of cross-brain decoder transfer for intracortical speech BCIs. Directly addresses the scalability bottleneck — currently each participant requires months of calibration. Foundational for clinical deployment at scale. Nature (anticipated).</w:t>
            </w:r>
          </w:p>
        </w:tc>
      </w:tr>
      <w:tr>
        <w:tc>
          <w:tcPr>
            <w:tcW w:type="dxa" w:w="19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Singh et al.</w:t>
            </w:r>
          </w:p>
          <w:p>
            <w:pPr>
              <w:spacing w:after="0" w:before="0"/>
            </w:pPr>
            <w:r>
              <w:rPr>
                <w:rFonts w:ascii="Arial" w:cs="Arial" w:eastAsia="Arial" w:hAnsi="Arial"/>
                <w:b w:val="false"/>
                <w:bCs w:val="false"/>
                <w:i w:val="false"/>
                <w:iCs w:val="false"/>
                <w:color w:val="595959"/>
                <w:sz w:val="15"/>
                <w:szCs w:val="15"/>
              </w:rPr>
              <w:t xml:space="preserve">(2025)</w:t>
            </w:r>
          </w:p>
        </w:tc>
        <w:tc>
          <w:tcPr>
            <w:tcW w:type="dxa" w:w="1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val="false"/>
                <w:bCs w:val="false"/>
                <w:i w:val="false"/>
                <w:iCs w:val="false"/>
                <w:color w:val="000000"/>
                <w:sz w:val="15"/>
                <w:szCs w:val="15"/>
              </w:rPr>
              <w:t xml:space="preserve">sEEG</w:t>
            </w:r>
          </w:p>
        </w:tc>
        <w:tc>
          <w:tcPr>
            <w:tcW w:type="dxa" w:w="68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25</w:t>
            </w:r>
          </w:p>
        </w:tc>
        <w:tc>
          <w:tcPr>
            <w:tcW w:type="dxa" w:w="13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1F4E79"/>
                <w:sz w:val="15"/>
                <w:szCs w:val="15"/>
              </w:rPr>
              <w:t xml:space="preserve">Cross-participant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Shared latent manifold learning across 25 distributed sEEG recordings</w:t>
            </w:r>
          </w:p>
          <w:p>
            <w:pPr>
              <w:spacing w:after="30" w:before="0"/>
              <w:ind w:left="220" w:hanging="200"/>
            </w:pPr>
            <w:r>
              <w:rPr>
                <w:rFonts w:ascii="Arial" w:cs="Arial" w:eastAsia="Arial" w:hAnsi="Arial"/>
                <w:b w:val="false"/>
                <w:bCs w:val="false"/>
                <w:i w:val="false"/>
                <w:iCs w:val="false"/>
                <w:color w:val="000000"/>
                <w:sz w:val="15"/>
                <w:szCs w:val="15"/>
              </w:rPr>
              <w:t xml:space="preserve">•  Group decoder trained jointly on all participants outperforms individual decoders</w:t>
            </w:r>
          </w:p>
          <w:p>
            <w:pPr>
              <w:spacing w:after="30" w:before="0"/>
              <w:ind w:left="220" w:hanging="200"/>
            </w:pPr>
            <w:r>
              <w:rPr>
                <w:rFonts w:ascii="Arial" w:cs="Arial" w:eastAsia="Arial" w:hAnsi="Arial"/>
                <w:b w:val="false"/>
                <w:bCs w:val="false"/>
                <w:i w:val="false"/>
                <w:iCs w:val="false"/>
                <w:color w:val="000000"/>
                <w:sz w:val="15"/>
                <w:szCs w:val="15"/>
              </w:rPr>
              <w:t xml:space="preserve">•  Encoder-decoder (Seq2Seq) with shared latent representation space</w:t>
            </w:r>
          </w:p>
          <w:p>
            <w:pPr>
              <w:spacing w:after="30" w:before="0"/>
              <w:ind w:left="220" w:hanging="200"/>
            </w:pPr>
            <w:r>
              <w:rPr>
                <w:rFonts w:ascii="Arial" w:cs="Arial" w:eastAsia="Arial" w:hAnsi="Arial"/>
                <w:b w:val="false"/>
                <w:bCs w:val="false"/>
                <w:i w:val="false"/>
                <w:iCs w:val="false"/>
                <w:color w:val="000000"/>
                <w:sz w:val="15"/>
                <w:szCs w:val="15"/>
              </w:rPr>
              <w:t xml:space="preserve">•  Transfer learning via distributed brain recordings — no full individual retraining</w:t>
            </w:r>
          </w:p>
        </w:tc>
        <w:tc>
          <w:tcPr>
            <w:tcW w:type="dxa" w:w="3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Evidence: </w:t>
            </w:r>
            <w:r>
              <w:rPr>
                <w:rFonts w:ascii="Arial" w:cs="Arial" w:eastAsia="Arial" w:hAnsi="Arial"/>
                <w:b w:val="false"/>
                <w:bCs w:val="false"/>
                <w:i w:val="false"/>
                <w:iCs w:val="false"/>
                <w:color w:val="000000"/>
                <w:sz w:val="16"/>
                <w:szCs w:val="16"/>
              </w:rPr>
              <w:t xml:space="preserve">Group decoder accuracy &gt; individual participant decoders across all 25 participants</w:t>
            </w:r>
          </w:p>
          <w:p>
            <w:pPr>
              <w:spacing w:after="40" w:before="0"/>
            </w:pPr>
            <w:r>
              <w:rPr>
                <w:rFonts w:ascii="Arial" w:cs="Arial" w:eastAsia="Arial" w:hAnsi="Arial"/>
                <w:b/>
                <w:bCs/>
                <w:i w:val="false"/>
                <w:iCs w:val="false"/>
                <w:color w:val="000000"/>
                <w:sz w:val="16"/>
                <w:szCs w:val="16"/>
              </w:rPr>
              <w:t xml:space="preserve">Phoneme accuracy: </w:t>
            </w:r>
            <w:r>
              <w:rPr>
                <w:rFonts w:ascii="Arial" w:cs="Arial" w:eastAsia="Arial" w:hAnsi="Arial"/>
                <w:b w:val="false"/>
                <w:bCs w:val="false"/>
                <w:i w:val="false"/>
                <w:iCs w:val="false"/>
                <w:color w:val="000000"/>
                <w:sz w:val="16"/>
                <w:szCs w:val="16"/>
              </w:rPr>
              <w:t xml:space="preserve">Improved cross-participant phoneme classification reported</w:t>
            </w:r>
          </w:p>
          <w:p>
            <w:pPr>
              <w:spacing w:after="30" w:before="0"/>
            </w:pPr>
            <w:r>
              <w:rPr>
                <w:rFonts w:ascii="Arial" w:cs="Arial" w:eastAsia="Arial" w:hAnsi="Arial"/>
                <w:b w:val="false"/>
                <w:bCs w:val="false"/>
                <w:i/>
                <w:iCs/>
                <w:color w:val="595959"/>
                <w:sz w:val="14"/>
                <w:szCs w:val="14"/>
              </w:rPr>
              <w:t xml:space="preserve">Nature Communications 2025</w:t>
            </w:r>
          </w:p>
        </w:tc>
        <w:tc>
          <w:tcPr>
            <w:tcW w:type="dxa" w:w="39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Largest sEEG cross-participant generalization study in the literature. Demonstrates that pooling distributed sEEG recordings produces a more generalizable decoder than training per-participant. Key scalability evidence for clinical sEEG neuroprostheses.</w:t>
            </w:r>
          </w:p>
        </w:tc>
      </w:tr>
      <w:tr>
        <w:tc>
          <w:tcPr>
            <w:tcW w:type="dxa" w:w="19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Chen et al.</w:t>
            </w:r>
          </w:p>
          <w:p>
            <w:pPr>
              <w:spacing w:after="0" w:before="0"/>
            </w:pPr>
            <w:r>
              <w:rPr>
                <w:rFonts w:ascii="Arial" w:cs="Arial" w:eastAsia="Arial" w:hAnsi="Arial"/>
                <w:b w:val="false"/>
                <w:bCs w:val="false"/>
                <w:i w:val="false"/>
                <w:iCs w:val="false"/>
                <w:color w:val="595959"/>
                <w:sz w:val="15"/>
                <w:szCs w:val="15"/>
              </w:rPr>
              <w:t xml:space="preserve">(2024)</w:t>
            </w:r>
          </w:p>
        </w:tc>
        <w:tc>
          <w:tcPr>
            <w:tcW w:type="dxa" w:w="1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ECoG</w:t>
            </w:r>
          </w:p>
        </w:tc>
        <w:tc>
          <w:tcPr>
            <w:tcW w:type="dxa" w:w="68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48</w:t>
            </w:r>
          </w:p>
        </w:tc>
        <w:tc>
          <w:tcPr>
            <w:tcW w:type="dxa" w:w="13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1F4E79"/>
                <w:sz w:val="15"/>
                <w:szCs w:val="15"/>
              </w:rPr>
              <w:t xml:space="preserve">Cross-participant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3D ResNet and SwinTransformer trained across 48 ECoG participants</w:t>
            </w:r>
          </w:p>
          <w:p>
            <w:pPr>
              <w:spacing w:after="30" w:before="0"/>
              <w:ind w:left="220" w:hanging="200"/>
            </w:pPr>
            <w:r>
              <w:rPr>
                <w:rFonts w:ascii="Arial" w:cs="Arial" w:eastAsia="Arial" w:hAnsi="Arial"/>
                <w:b w:val="false"/>
                <w:bCs w:val="false"/>
                <w:i w:val="false"/>
                <w:iCs w:val="false"/>
                <w:color w:val="000000"/>
                <w:sz w:val="15"/>
                <w:szCs w:val="15"/>
              </w:rPr>
              <w:t xml:space="preserve">•  Cross-subject acoustic decoding via shared spectrotemporal feature representations</w:t>
            </w:r>
          </w:p>
          <w:p>
            <w:pPr>
              <w:spacing w:after="30" w:before="0"/>
              <w:ind w:left="220" w:hanging="200"/>
            </w:pPr>
            <w:r>
              <w:rPr>
                <w:rFonts w:ascii="Arial" w:cs="Arial" w:eastAsia="Arial" w:hAnsi="Arial"/>
                <w:b w:val="false"/>
                <w:bCs w:val="false"/>
                <w:i w:val="false"/>
                <w:iCs w:val="false"/>
                <w:color w:val="000000"/>
                <w:sz w:val="15"/>
                <w:szCs w:val="15"/>
              </w:rPr>
              <w:t xml:space="preserve">•  Deep CNN architecture with subject normalization layers</w:t>
            </w:r>
          </w:p>
        </w:tc>
        <w:tc>
          <w:tcPr>
            <w:tcW w:type="dxa" w:w="3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PCC: </w:t>
            </w:r>
            <w:r>
              <w:rPr>
                <w:rFonts w:ascii="Arial" w:cs="Arial" w:eastAsia="Arial" w:hAnsi="Arial"/>
                <w:b w:val="false"/>
                <w:bCs w:val="false"/>
                <w:i w:val="false"/>
                <w:iCs w:val="false"/>
                <w:color w:val="000000"/>
                <w:sz w:val="16"/>
                <w:szCs w:val="16"/>
              </w:rPr>
              <w:t xml:space="preserve">0.804 (3D ResNet cross-subject acoustic reconstruction)</w:t>
            </w:r>
          </w:p>
          <w:p>
            <w:pPr>
              <w:spacing w:after="40" w:before="0"/>
            </w:pPr>
            <w:r>
              <w:rPr>
                <w:rFonts w:ascii="Arial" w:cs="Arial" w:eastAsia="Arial" w:hAnsi="Arial"/>
                <w:b/>
                <w:bCs/>
                <w:i w:val="false"/>
                <w:iCs w:val="false"/>
                <w:color w:val="000000"/>
                <w:sz w:val="16"/>
                <w:szCs w:val="16"/>
              </w:rPr>
              <w:t xml:space="preserve">Comparison: </w:t>
            </w:r>
            <w:r>
              <w:rPr>
                <w:rFonts w:ascii="Arial" w:cs="Arial" w:eastAsia="Arial" w:hAnsi="Arial"/>
                <w:b w:val="false"/>
                <w:bCs w:val="false"/>
                <w:i w:val="false"/>
                <w:iCs w:val="false"/>
                <w:color w:val="000000"/>
                <w:sz w:val="16"/>
                <w:szCs w:val="16"/>
              </w:rPr>
              <w:t xml:space="preserve">SwinTransformer PCC = 0.796; both outperform within-subject baselines</w:t>
            </w:r>
          </w:p>
          <w:p>
            <w:pPr>
              <w:spacing w:after="30" w:before="0"/>
            </w:pPr>
            <w:r>
              <w:rPr>
                <w:rFonts w:ascii="Arial" w:cs="Arial" w:eastAsia="Arial" w:hAnsi="Arial"/>
                <w:b w:val="false"/>
                <w:bCs w:val="false"/>
                <w:i/>
                <w:iCs/>
                <w:color w:val="595959"/>
                <w:sz w:val="14"/>
                <w:szCs w:val="14"/>
              </w:rPr>
              <w:t xml:space="preserve">Nature Machine Intelligence 2024 — largest ECoG cohort published</w:t>
            </w:r>
          </w:p>
        </w:tc>
        <w:tc>
          <w:tcPr>
            <w:tcW w:type="dxa" w:w="39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Demonstrates that cross-subject ECoG acoustic decoding is scalable to large cohorts. PCC of 0.804 achieved across 48 participants establishes that deep CNNs can learn modality-level representations generalizable beyond individual neural patterns.</w:t>
            </w:r>
          </w:p>
        </w:tc>
      </w:tr>
      <w:tr>
        <w:tc>
          <w:tcPr>
            <w:tcW w:type="dxa" w:w="19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Défossez et al.</w:t>
            </w:r>
          </w:p>
          <w:p>
            <w:pPr>
              <w:spacing w:after="0" w:before="0"/>
            </w:pPr>
            <w:r>
              <w:rPr>
                <w:rFonts w:ascii="Arial" w:cs="Arial" w:eastAsia="Arial" w:hAnsi="Arial"/>
                <w:b w:val="false"/>
                <w:bCs w:val="false"/>
                <w:i w:val="false"/>
                <w:iCs w:val="false"/>
                <w:color w:val="595959"/>
                <w:sz w:val="15"/>
                <w:szCs w:val="15"/>
              </w:rPr>
              <w:t xml:space="preserve">(2023)</w:t>
            </w:r>
          </w:p>
        </w:tc>
        <w:tc>
          <w:tcPr>
            <w:tcW w:type="dxa" w:w="1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MEG / EEG</w:t>
            </w:r>
          </w:p>
        </w:tc>
        <w:tc>
          <w:tcPr>
            <w:tcW w:type="dxa" w:w="68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175</w:t>
            </w:r>
          </w:p>
        </w:tc>
        <w:tc>
          <w:tcPr>
            <w:tcW w:type="dxa" w:w="13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1F4E79"/>
                <w:sz w:val="15"/>
                <w:szCs w:val="15"/>
              </w:rPr>
              <w:t xml:space="preserve">Cross-participant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Contrastive self-supervised learning (wav2vec 2.0-style) across all 175 participants</w:t>
            </w:r>
          </w:p>
          <w:p>
            <w:pPr>
              <w:spacing w:after="30" w:before="0"/>
              <w:ind w:left="220" w:hanging="200"/>
            </w:pPr>
            <w:r>
              <w:rPr>
                <w:rFonts w:ascii="Arial" w:cs="Arial" w:eastAsia="Arial" w:hAnsi="Arial"/>
                <w:b w:val="false"/>
                <w:bCs w:val="false"/>
                <w:i w:val="false"/>
                <w:iCs w:val="false"/>
                <w:color w:val="000000"/>
                <w:sz w:val="15"/>
                <w:szCs w:val="15"/>
              </w:rPr>
              <w:t xml:space="preserve">•  Multi-subject joint training on 4 public MEG/EEG datasets simultaneously</w:t>
            </w:r>
          </w:p>
          <w:p>
            <w:pPr>
              <w:spacing w:after="30" w:before="0"/>
              <w:ind w:left="220" w:hanging="200"/>
            </w:pPr>
            <w:r>
              <w:rPr>
                <w:rFonts w:ascii="Arial" w:cs="Arial" w:eastAsia="Arial" w:hAnsi="Arial"/>
                <w:b w:val="false"/>
                <w:bCs w:val="false"/>
                <w:i w:val="false"/>
                <w:iCs w:val="false"/>
                <w:color w:val="000000"/>
                <w:sz w:val="15"/>
                <w:szCs w:val="15"/>
              </w:rPr>
              <w:t xml:space="preserve">•  Subject-independent evaluation — no participant-specific fine-tuning at test time</w:t>
            </w:r>
          </w:p>
          <w:p>
            <w:pPr>
              <w:spacing w:after="30" w:before="0"/>
              <w:ind w:left="220" w:hanging="200"/>
            </w:pPr>
            <w:r>
              <w:rPr>
                <w:rFonts w:ascii="Arial" w:cs="Arial" w:eastAsia="Arial" w:hAnsi="Arial"/>
                <w:b w:val="false"/>
                <w:bCs w:val="false"/>
                <w:i w:val="false"/>
                <w:iCs w:val="false"/>
                <w:color w:val="000000"/>
                <w:sz w:val="15"/>
                <w:szCs w:val="15"/>
              </w:rPr>
              <w:t xml:space="preserve">•  Zero-shot segment-level speech decoding across participants</w:t>
            </w:r>
          </w:p>
        </w:tc>
        <w:tc>
          <w:tcPr>
            <w:tcW w:type="dxa" w:w="3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Top-1 accuracy: </w:t>
            </w:r>
            <w:r>
              <w:rPr>
                <w:rFonts w:ascii="Arial" w:cs="Arial" w:eastAsia="Arial" w:hAnsi="Arial"/>
                <w:b w:val="false"/>
                <w:bCs w:val="false"/>
                <w:i w:val="false"/>
                <w:iCs w:val="false"/>
                <w:color w:val="000000"/>
                <w:sz w:val="16"/>
                <w:szCs w:val="16"/>
              </w:rPr>
              <w:t xml:space="preserve">41% (subject-independent; chance ~1%)</w:t>
            </w:r>
          </w:p>
          <w:p>
            <w:pPr>
              <w:spacing w:after="40" w:before="0"/>
            </w:pPr>
            <w:r>
              <w:rPr>
                <w:rFonts w:ascii="Arial" w:cs="Arial" w:eastAsia="Arial" w:hAnsi="Arial"/>
                <w:b/>
                <w:bCs/>
                <w:i w:val="false"/>
                <w:iCs w:val="false"/>
                <w:color w:val="000000"/>
                <w:sz w:val="16"/>
                <w:szCs w:val="16"/>
              </w:rPr>
              <w:t xml:space="preserve">Top-10 accuracy: </w:t>
            </w:r>
            <w:r>
              <w:rPr>
                <w:rFonts w:ascii="Arial" w:cs="Arial" w:eastAsia="Arial" w:hAnsi="Arial"/>
                <w:b w:val="false"/>
                <w:bCs w:val="false"/>
                <w:i w:val="false"/>
                <w:iCs w:val="false"/>
                <w:color w:val="000000"/>
                <w:sz w:val="16"/>
                <w:szCs w:val="16"/>
              </w:rPr>
              <w:t xml:space="preserve">~70% across 175 participants</w:t>
            </w:r>
          </w:p>
          <w:p>
            <w:pPr>
              <w:spacing w:after="40" w:before="0"/>
            </w:pPr>
            <w:r>
              <w:rPr>
                <w:rFonts w:ascii="Arial" w:cs="Arial" w:eastAsia="Arial" w:hAnsi="Arial"/>
                <w:b/>
                <w:bCs/>
                <w:i w:val="false"/>
                <w:iCs w:val="false"/>
                <w:color w:val="000000"/>
                <w:sz w:val="16"/>
                <w:szCs w:val="16"/>
              </w:rPr>
              <w:t xml:space="preserve">Scale: </w:t>
            </w:r>
            <w:r>
              <w:rPr>
                <w:rFonts w:ascii="Arial" w:cs="Arial" w:eastAsia="Arial" w:hAnsi="Arial"/>
                <w:b w:val="false"/>
                <w:bCs w:val="false"/>
                <w:i w:val="false"/>
                <w:iCs w:val="false"/>
                <w:color w:val="000000"/>
                <w:sz w:val="16"/>
                <w:szCs w:val="16"/>
              </w:rPr>
              <w:t xml:space="preserve">4 public datasets — GWilliams, Schoffelen, Broderick, Armeni</w:t>
            </w:r>
          </w:p>
          <w:p>
            <w:pPr>
              <w:spacing w:after="30" w:before="0"/>
            </w:pPr>
            <w:r>
              <w:rPr>
                <w:rFonts w:ascii="Arial" w:cs="Arial" w:eastAsia="Arial" w:hAnsi="Arial"/>
                <w:b w:val="false"/>
                <w:bCs w:val="false"/>
                <w:i/>
                <w:iCs/>
                <w:color w:val="595959"/>
                <w:sz w:val="14"/>
                <w:szCs w:val="14"/>
              </w:rPr>
              <w:t xml:space="preserve">Nature Machine Intelligence 2023 — largest non-invasive multi-subject study at publication</w:t>
            </w:r>
          </w:p>
        </w:tc>
        <w:tc>
          <w:tcPr>
            <w:tcW w:type="dxa" w:w="39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First large-scale cross-participant non-invasive speech decoding using contrastive SSL. 175 participants across 4 public datasets. Establishes that SSL enables genuine cross-participant generalization without per-participant calibration.</w:t>
            </w:r>
          </w:p>
        </w:tc>
      </w:tr>
      <w:tr>
        <w:tc>
          <w:tcPr>
            <w:tcW w:type="dxa" w:w="19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d'Ascoli et al.</w:t>
            </w:r>
          </w:p>
          <w:p>
            <w:pPr>
              <w:spacing w:after="0" w:before="0"/>
            </w:pPr>
            <w:r>
              <w:rPr>
                <w:rFonts w:ascii="Arial" w:cs="Arial" w:eastAsia="Arial" w:hAnsi="Arial"/>
                <w:b w:val="false"/>
                <w:bCs w:val="false"/>
                <w:i w:val="false"/>
                <w:iCs w:val="false"/>
                <w:color w:val="595959"/>
                <w:sz w:val="15"/>
                <w:szCs w:val="15"/>
              </w:rPr>
              <w:t xml:space="preserve">(2025)</w:t>
            </w:r>
          </w:p>
        </w:tc>
        <w:tc>
          <w:tcPr>
            <w:tcW w:type="dxa" w:w="1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EEG / MEG</w:t>
            </w:r>
          </w:p>
        </w:tc>
        <w:tc>
          <w:tcPr>
            <w:tcW w:type="dxa" w:w="68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1F4E79"/>
                <w:sz w:val="16"/>
                <w:szCs w:val="16"/>
              </w:rPr>
              <w:t xml:space="preserve">723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1F4E79"/>
                <w:sz w:val="15"/>
                <w:szCs w:val="15"/>
              </w:rPr>
              <w:t xml:space="preserve">Cross-participant</w:t>
            </w:r>
            <w:r>
              <w:rPr>
                <w:rFonts w:ascii="Arial" w:cs="Arial" w:eastAsia="Arial" w:hAnsi="Arial"/>
                <w:b w:val="false"/>
                <w:bCs w:val="false"/>
                <w:i w:val="false"/>
                <w:iCs w:val="false"/>
                <w:color w:val="000000"/>
                <w:sz w:val="15"/>
                <w:szCs w:val="15"/>
              </w:rPr>
              <w:t xml:space="preserve"> + </w:t>
            </w:r>
            <w:r>
              <w:rPr>
                <w:rFonts w:ascii="Arial" w:cs="Arial" w:eastAsia="Arial" w:hAnsi="Arial"/>
                <w:b/>
                <w:bCs/>
                <w:i w:val="false"/>
                <w:iCs w:val="false"/>
                <w:color w:val="843C0C"/>
                <w:sz w:val="15"/>
                <w:szCs w:val="15"/>
              </w:rPr>
              <w:t xml:space="preserve">Cross-language</w:t>
            </w:r>
          </w:p>
        </w:tc>
        <w:tc>
          <w:tcPr>
            <w:tcW w:type="dxa" w:w="24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CNN+Transformer joint training across 723 participants from 7 datasets</w:t>
            </w:r>
          </w:p>
          <w:p>
            <w:pPr>
              <w:spacing w:after="30" w:before="0"/>
              <w:ind w:left="220" w:hanging="200"/>
            </w:pPr>
            <w:r>
              <w:rPr>
                <w:rFonts w:ascii="Arial" w:cs="Arial" w:eastAsia="Arial" w:hAnsi="Arial"/>
                <w:b w:val="false"/>
                <w:bCs w:val="false"/>
                <w:i w:val="false"/>
                <w:iCs w:val="false"/>
                <w:color w:val="000000"/>
                <w:sz w:val="15"/>
                <w:szCs w:val="15"/>
              </w:rPr>
              <w:t xml:space="preserve">•  Three languages: English, French, Dutch — same model architecture</w:t>
            </w:r>
          </w:p>
          <w:p>
            <w:pPr>
              <w:spacing w:after="30" w:before="0"/>
              <w:ind w:left="220" w:hanging="200"/>
            </w:pPr>
            <w:r>
              <w:rPr>
                <w:rFonts w:ascii="Arial" w:cs="Arial" w:eastAsia="Arial" w:hAnsi="Arial"/>
                <w:b w:val="false"/>
                <w:bCs w:val="false"/>
                <w:i w:val="false"/>
                <w:iCs w:val="false"/>
                <w:color w:val="000000"/>
                <w:sz w:val="15"/>
                <w:szCs w:val="15"/>
              </w:rPr>
              <w:t xml:space="preserve">•  Performance scales with number of participants — demonstrated scaling law for neural decoding</w:t>
            </w:r>
          </w:p>
          <w:p>
            <w:pPr>
              <w:spacing w:after="30" w:before="0"/>
              <w:ind w:left="220" w:hanging="200"/>
            </w:pPr>
            <w:r>
              <w:rPr>
                <w:rFonts w:ascii="Arial" w:cs="Arial" w:eastAsia="Arial" w:hAnsi="Arial"/>
                <w:b w:val="false"/>
                <w:bCs w:val="false"/>
                <w:i w:val="false"/>
                <w:iCs w:val="false"/>
                <w:color w:val="000000"/>
                <w:sz w:val="15"/>
                <w:szCs w:val="15"/>
              </w:rPr>
              <w:t xml:space="preserve">•  Cross-participant evaluation on held-out participants from each dataset</w:t>
            </w:r>
          </w:p>
        </w:tc>
        <w:tc>
          <w:tcPr>
            <w:tcW w:type="dxa" w:w="3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Top-1 accuracy: </w:t>
            </w:r>
            <w:r>
              <w:rPr>
                <w:rFonts w:ascii="Arial" w:cs="Arial" w:eastAsia="Arial" w:hAnsi="Arial"/>
                <w:b w:val="false"/>
                <w:bCs w:val="false"/>
                <w:i w:val="false"/>
                <w:iCs w:val="false"/>
                <w:color w:val="000000"/>
                <w:sz w:val="16"/>
                <w:szCs w:val="16"/>
              </w:rPr>
              <w:t xml:space="preserve">Reported across 7 datasets and 3 languages</w:t>
            </w:r>
          </w:p>
          <w:p>
            <w:pPr>
              <w:spacing w:after="40" w:before="0"/>
            </w:pPr>
            <w:r>
              <w:rPr>
                <w:rFonts w:ascii="Arial" w:cs="Arial" w:eastAsia="Arial" w:hAnsi="Arial"/>
                <w:b/>
                <w:bCs/>
                <w:i w:val="false"/>
                <w:iCs w:val="false"/>
                <w:color w:val="000000"/>
                <w:sz w:val="16"/>
                <w:szCs w:val="16"/>
              </w:rPr>
              <w:t xml:space="preserve">Scaling: </w:t>
            </w:r>
            <w:r>
              <w:rPr>
                <w:rFonts w:ascii="Arial" w:cs="Arial" w:eastAsia="Arial" w:hAnsi="Arial"/>
                <w:b w:val="false"/>
                <w:bCs w:val="false"/>
                <w:i w:val="false"/>
                <w:iCs w:val="false"/>
                <w:color w:val="000000"/>
                <w:sz w:val="16"/>
                <w:szCs w:val="16"/>
              </w:rPr>
              <w:t xml:space="preserve">Performance improves consistently with more training participants</w:t>
            </w:r>
          </w:p>
          <w:p>
            <w:pPr>
              <w:spacing w:after="40" w:before="0"/>
            </w:pPr>
            <w:r>
              <w:rPr>
                <w:rFonts w:ascii="Arial" w:cs="Arial" w:eastAsia="Arial" w:hAnsi="Arial"/>
                <w:b/>
                <w:bCs/>
                <w:i w:val="false"/>
                <w:iCs w:val="false"/>
                <w:color w:val="000000"/>
                <w:sz w:val="16"/>
                <w:szCs w:val="16"/>
              </w:rPr>
              <w:t xml:space="preserve">Cross-language: </w:t>
            </w:r>
            <w:r>
              <w:rPr>
                <w:rFonts w:ascii="Arial" w:cs="Arial" w:eastAsia="Arial" w:hAnsi="Arial"/>
                <w:b w:val="false"/>
                <w:bCs w:val="false"/>
                <w:i w:val="false"/>
                <w:iCs w:val="false"/>
                <w:color w:val="000000"/>
                <w:sz w:val="16"/>
                <w:szCs w:val="16"/>
              </w:rPr>
              <w:t xml:space="preserve">Single model architecture generalizes across English, French, Dutch</w:t>
            </w:r>
          </w:p>
          <w:p>
            <w:pPr>
              <w:spacing w:after="30" w:before="0"/>
            </w:pPr>
            <w:r>
              <w:rPr>
                <w:rFonts w:ascii="Arial" w:cs="Arial" w:eastAsia="Arial" w:hAnsi="Arial"/>
                <w:b w:val="false"/>
                <w:bCs w:val="false"/>
                <w:i/>
                <w:iCs/>
                <w:color w:val="595959"/>
                <w:sz w:val="14"/>
                <w:szCs w:val="14"/>
              </w:rPr>
              <w:t xml:space="preserve">Nature Communications 2025 — largest non-invasive decoding study to date</w:t>
            </w:r>
          </w:p>
        </w:tc>
        <w:tc>
          <w:tcPr>
            <w:tcW w:type="dxa" w:w="39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Largest non-invasive neural decoding study (n=723). First systematic cross-language evaluation of non-invasive brain-to-speech decoding. Demonstrates neural scaling laws analogous to NLP. Establishes that data pooling across participants and languages improves single-model performance.</w:t>
            </w:r>
          </w:p>
        </w:tc>
      </w:tr>
      <w:tr>
        <w:tc>
          <w:tcPr>
            <w:tcW w:type="dxa" w:w="19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Kostas et al.</w:t>
            </w:r>
          </w:p>
          <w:p>
            <w:pPr>
              <w:spacing w:after="0" w:before="0"/>
            </w:pPr>
            <w:r>
              <w:rPr>
                <w:rFonts w:ascii="Arial" w:cs="Arial" w:eastAsia="Arial" w:hAnsi="Arial"/>
                <w:b w:val="false"/>
                <w:bCs w:val="false"/>
                <w:i w:val="false"/>
                <w:iCs w:val="false"/>
                <w:color w:val="595959"/>
                <w:sz w:val="15"/>
                <w:szCs w:val="15"/>
              </w:rPr>
              <w:t xml:space="preserve">(2021) — BENDR</w:t>
            </w:r>
          </w:p>
        </w:tc>
        <w:tc>
          <w:tcPr>
            <w:tcW w:type="dxa" w:w="1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val="false"/>
                <w:bCs w:val="false"/>
                <w:i w:val="false"/>
                <w:iCs w:val="false"/>
                <w:color w:val="000000"/>
                <w:sz w:val="15"/>
                <w:szCs w:val="15"/>
              </w:rPr>
              <w:t xml:space="preserve">EEG</w:t>
            </w:r>
          </w:p>
        </w:tc>
        <w:tc>
          <w:tcPr>
            <w:tcW w:type="dxa" w:w="68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5"/>
                <w:szCs w:val="15"/>
              </w:rPr>
              <w:t xml:space="preserve">Large-scale</w:t>
            </w:r>
          </w:p>
        </w:tc>
        <w:tc>
          <w:tcPr>
            <w:tcW w:type="dxa" w:w="13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1F4E79"/>
                <w:sz w:val="15"/>
                <w:szCs w:val="15"/>
              </w:rPr>
              <w:t xml:space="preserve">Cross-participant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Contrastive self-supervised pre-training across large unlabeled multi-participant EEG corpora</w:t>
            </w:r>
          </w:p>
          <w:p>
            <w:pPr>
              <w:spacing w:after="30" w:before="0"/>
              <w:ind w:left="220" w:hanging="200"/>
            </w:pPr>
            <w:r>
              <w:rPr>
                <w:rFonts w:ascii="Arial" w:cs="Arial" w:eastAsia="Arial" w:hAnsi="Arial"/>
                <w:b w:val="false"/>
                <w:bCs w:val="false"/>
                <w:i w:val="false"/>
                <w:iCs w:val="false"/>
                <w:color w:val="000000"/>
                <w:sz w:val="15"/>
                <w:szCs w:val="15"/>
              </w:rPr>
              <w:t xml:space="preserve">•  wav2vec 2.0-style temporal contrastive objective applied to EEG signals</w:t>
            </w:r>
          </w:p>
          <w:p>
            <w:pPr>
              <w:spacing w:after="30" w:before="0"/>
              <w:ind w:left="220" w:hanging="200"/>
            </w:pPr>
            <w:r>
              <w:rPr>
                <w:rFonts w:ascii="Arial" w:cs="Arial" w:eastAsia="Arial" w:hAnsi="Arial"/>
                <w:b w:val="false"/>
                <w:bCs w:val="false"/>
                <w:i w:val="false"/>
                <w:iCs w:val="false"/>
                <w:color w:val="000000"/>
                <w:sz w:val="15"/>
                <w:szCs w:val="15"/>
              </w:rPr>
              <w:t xml:space="preserve">•  Downstream fine-tuning with small labeled data per task</w:t>
            </w:r>
          </w:p>
          <w:p>
            <w:pPr>
              <w:spacing w:after="30" w:before="0"/>
              <w:ind w:left="220" w:hanging="200"/>
            </w:pPr>
            <w:r>
              <w:rPr>
                <w:rFonts w:ascii="Arial" w:cs="Arial" w:eastAsia="Arial" w:hAnsi="Arial"/>
                <w:b w:val="false"/>
                <w:bCs w:val="false"/>
                <w:i w:val="false"/>
                <w:iCs w:val="false"/>
                <w:color w:val="000000"/>
                <w:sz w:val="15"/>
                <w:szCs w:val="15"/>
              </w:rPr>
              <w:t xml:space="preserve">•  Shared pre-trained representations generalize across participants and tasks</w:t>
            </w:r>
          </w:p>
        </w:tc>
        <w:tc>
          <w:tcPr>
            <w:tcW w:type="dxa" w:w="3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Accuracy gain: </w:t>
            </w:r>
            <w:r>
              <w:rPr>
                <w:rFonts w:ascii="Arial" w:cs="Arial" w:eastAsia="Arial" w:hAnsi="Arial"/>
                <w:b w:val="false"/>
                <w:bCs w:val="false"/>
                <w:i w:val="false"/>
                <w:iCs w:val="false"/>
                <w:color w:val="000000"/>
                <w:sz w:val="16"/>
                <w:szCs w:val="16"/>
              </w:rPr>
              <w:t xml:space="preserve">+5–15% over supervised baselines on downstream tasks in limited-label regime</w:t>
            </w:r>
          </w:p>
          <w:p>
            <w:pPr>
              <w:spacing w:after="40" w:before="0"/>
            </w:pPr>
            <w:r>
              <w:rPr>
                <w:rFonts w:ascii="Arial" w:cs="Arial" w:eastAsia="Arial" w:hAnsi="Arial"/>
                <w:b/>
                <w:bCs/>
                <w:i w:val="false"/>
                <w:iCs w:val="false"/>
                <w:color w:val="000000"/>
                <w:sz w:val="16"/>
                <w:szCs w:val="16"/>
              </w:rPr>
              <w:t xml:space="preserve">Cross-participant: </w:t>
            </w:r>
            <w:r>
              <w:rPr>
                <w:rFonts w:ascii="Arial" w:cs="Arial" w:eastAsia="Arial" w:hAnsi="Arial"/>
                <w:b w:val="false"/>
                <w:bCs w:val="false"/>
                <w:i w:val="false"/>
                <w:iCs w:val="false"/>
                <w:color w:val="000000"/>
                <w:sz w:val="16"/>
                <w:szCs w:val="16"/>
              </w:rPr>
              <w:t xml:space="preserve">Pre-trained representations transfer without per-participant retraining</w:t>
            </w:r>
          </w:p>
          <w:p>
            <w:pPr>
              <w:spacing w:after="30" w:before="0"/>
            </w:pPr>
            <w:r>
              <w:rPr>
                <w:rFonts w:ascii="Arial" w:cs="Arial" w:eastAsia="Arial" w:hAnsi="Arial"/>
                <w:b w:val="false"/>
                <w:bCs w:val="false"/>
                <w:i/>
                <w:iCs/>
                <w:color w:val="595959"/>
                <w:sz w:val="14"/>
                <w:szCs w:val="14"/>
              </w:rPr>
              <w:t xml:space="preserve">Frontiers in Human Neuroscience 2021 — EEG foundation model precursor</w:t>
            </w:r>
          </w:p>
        </w:tc>
        <w:tc>
          <w:tcPr>
            <w:tcW w:type="dxa" w:w="39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Demonstrates that contrastive SSL pre-training on large EEG corpora produces cross-participant generalizable representations. Analogous to wav2vec for audio. Establishes the methodological foundation for EEG foundation models.</w:t>
            </w:r>
          </w:p>
        </w:tc>
      </w:tr>
      <w:tr>
        <w:tc>
          <w:tcPr>
            <w:tcW w:type="dxa" w:w="19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Saha et al.</w:t>
            </w:r>
          </w:p>
          <w:p>
            <w:pPr>
              <w:spacing w:after="0" w:before="0"/>
            </w:pPr>
            <w:r>
              <w:rPr>
                <w:rFonts w:ascii="Arial" w:cs="Arial" w:eastAsia="Arial" w:hAnsi="Arial"/>
                <w:b w:val="false"/>
                <w:bCs w:val="false"/>
                <w:i w:val="false"/>
                <w:iCs w:val="false"/>
                <w:color w:val="595959"/>
                <w:sz w:val="15"/>
                <w:szCs w:val="15"/>
              </w:rPr>
              <w:t xml:space="preserve">(2019)</w:t>
            </w:r>
          </w:p>
        </w:tc>
        <w:tc>
          <w:tcPr>
            <w:tcW w:type="dxa" w:w="1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EEG</w:t>
            </w:r>
          </w:p>
        </w:tc>
        <w:tc>
          <w:tcPr>
            <w:tcW w:type="dxa" w:w="68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000000"/>
                <w:sz w:val="15"/>
                <w:szCs w:val="15"/>
              </w:rPr>
              <w:t xml:space="preserve">10</w:t>
            </w:r>
          </w:p>
        </w:tc>
        <w:tc>
          <w:tcPr>
            <w:tcW w:type="dxa" w:w="13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1F4E79"/>
                <w:sz w:val="15"/>
                <w:szCs w:val="15"/>
              </w:rPr>
              <w:t xml:space="preserve">Cross-participant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Hierarchical CNN+LSTM architecture trained in subject-independent mode</w:t>
            </w:r>
          </w:p>
          <w:p>
            <w:pPr>
              <w:spacing w:after="30" w:before="0"/>
              <w:ind w:left="220" w:hanging="200"/>
            </w:pPr>
            <w:r>
              <w:rPr>
                <w:rFonts w:ascii="Arial" w:cs="Arial" w:eastAsia="Arial" w:hAnsi="Arial"/>
                <w:b w:val="false"/>
                <w:bCs w:val="false"/>
                <w:i w:val="false"/>
                <w:iCs w:val="false"/>
                <w:color w:val="000000"/>
                <w:sz w:val="15"/>
                <w:szCs w:val="15"/>
              </w:rPr>
              <w:t xml:space="preserve">•  Leave-one-subject-out cross-validation across all 10 participants</w:t>
            </w:r>
          </w:p>
          <w:p>
            <w:pPr>
              <w:spacing w:after="30" w:before="0"/>
              <w:ind w:left="220" w:hanging="200"/>
            </w:pPr>
            <w:r>
              <w:rPr>
                <w:rFonts w:ascii="Arial" w:cs="Arial" w:eastAsia="Arial" w:hAnsi="Arial"/>
                <w:b w:val="false"/>
                <w:bCs w:val="false"/>
                <w:i w:val="false"/>
                <w:iCs w:val="false"/>
                <w:color w:val="000000"/>
                <w:sz w:val="15"/>
                <w:szCs w:val="15"/>
              </w:rPr>
              <w:t xml:space="preserve">•  Learned representations generalize across participant-specific neural variation</w:t>
            </w:r>
          </w:p>
        </w:tc>
        <w:tc>
          <w:tcPr>
            <w:tcW w:type="dxa" w:w="3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Accuracy: </w:t>
            </w:r>
            <w:r>
              <w:rPr>
                <w:rFonts w:ascii="Arial" w:cs="Arial" w:eastAsia="Arial" w:hAnsi="Arial"/>
                <w:b w:val="false"/>
                <w:bCs w:val="false"/>
                <w:i w:val="false"/>
                <w:iCs w:val="false"/>
                <w:color w:val="000000"/>
                <w:sz w:val="16"/>
                <w:szCs w:val="16"/>
              </w:rPr>
              <w:t xml:space="preserve">~70–75% (subject-independent, closed-set phonological categories)</w:t>
            </w:r>
          </w:p>
          <w:p>
            <w:pPr>
              <w:spacing w:after="40" w:before="0"/>
            </w:pPr>
            <w:r>
              <w:rPr>
                <w:rFonts w:ascii="Arial" w:cs="Arial" w:eastAsia="Arial" w:hAnsi="Arial"/>
                <w:b/>
                <w:bCs/>
                <w:i w:val="false"/>
                <w:iCs w:val="false"/>
                <w:color w:val="000000"/>
                <w:sz w:val="16"/>
                <w:szCs w:val="16"/>
              </w:rPr>
              <w:t xml:space="preserve">Comparison: </w:t>
            </w:r>
            <w:r>
              <w:rPr>
                <w:rFonts w:ascii="Arial" w:cs="Arial" w:eastAsia="Arial" w:hAnsi="Arial"/>
                <w:b w:val="false"/>
                <w:bCs w:val="false"/>
                <w:i w:val="false"/>
                <w:iCs w:val="false"/>
                <w:color w:val="000000"/>
                <w:sz w:val="16"/>
                <w:szCs w:val="16"/>
              </w:rPr>
              <w:t xml:space="preserve">Outperforms subject-specific models on unseen participants</w:t>
            </w:r>
          </w:p>
          <w:p>
            <w:pPr>
              <w:spacing w:after="30" w:before="0"/>
            </w:pPr>
            <w:r>
              <w:rPr>
                <w:rFonts w:ascii="Arial" w:cs="Arial" w:eastAsia="Arial" w:hAnsi="Arial"/>
                <w:b w:val="false"/>
                <w:bCs w:val="false"/>
                <w:i/>
                <w:iCs/>
                <w:color w:val="595959"/>
                <w:sz w:val="14"/>
                <w:szCs w:val="14"/>
              </w:rPr>
              <w:t xml:space="preserve">Interspeech 2019 — early cross-participant EEG imagined speech classification</w:t>
            </w:r>
          </w:p>
        </w:tc>
        <w:tc>
          <w:tcPr>
            <w:tcW w:type="dxa" w:w="39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Early demonstration of cross-participant subject-independent EEG imagined speech classification using hierarchical deep learning. Established that CNN+LSTM representations can generalize across individuals in closed-set paradigms.</w:t>
            </w:r>
          </w:p>
        </w:tc>
      </w:tr>
      <w:tr>
        <w:tc>
          <w:tcPr>
            <w:tcW w:type="dxa" w:w="19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Agarwal &amp; Kumar</w:t>
            </w:r>
          </w:p>
          <w:p>
            <w:pPr>
              <w:spacing w:after="0" w:before="0"/>
            </w:pPr>
            <w:r>
              <w:rPr>
                <w:rFonts w:ascii="Arial" w:cs="Arial" w:eastAsia="Arial" w:hAnsi="Arial"/>
                <w:b w:val="false"/>
                <w:bCs w:val="false"/>
                <w:i w:val="false"/>
                <w:iCs w:val="false"/>
                <w:color w:val="595959"/>
                <w:sz w:val="15"/>
                <w:szCs w:val="15"/>
              </w:rPr>
              <w:t xml:space="preserve">(2022)</w:t>
            </w:r>
          </w:p>
        </w:tc>
        <w:tc>
          <w:tcPr>
            <w:tcW w:type="dxa" w:w="1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EEG</w:t>
            </w:r>
          </w:p>
        </w:tc>
        <w:tc>
          <w:tcPr>
            <w:tcW w:type="dxa" w:w="68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000000"/>
                <w:sz w:val="15"/>
                <w:szCs w:val="15"/>
              </w:rPr>
              <w:t xml:space="preserve">13</w:t>
            </w:r>
          </w:p>
        </w:tc>
        <w:tc>
          <w:tcPr>
            <w:tcW w:type="dxa" w:w="13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1F4E79"/>
                <w:sz w:val="15"/>
                <w:szCs w:val="15"/>
              </w:rPr>
              <w:t xml:space="preserve">Cross-participant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Subject-independent LSTM trained across 13 participants</w:t>
            </w:r>
          </w:p>
          <w:p>
            <w:pPr>
              <w:spacing w:after="30" w:before="0"/>
              <w:ind w:left="220" w:hanging="200"/>
            </w:pPr>
            <w:r>
              <w:rPr>
                <w:rFonts w:ascii="Arial" w:cs="Arial" w:eastAsia="Arial" w:hAnsi="Arial"/>
                <w:b w:val="false"/>
                <w:bCs w:val="false"/>
                <w:i w:val="false"/>
                <w:iCs w:val="false"/>
                <w:color w:val="000000"/>
                <w:sz w:val="15"/>
                <w:szCs w:val="15"/>
              </w:rPr>
              <w:t xml:space="preserve">•  Cross-subject evaluation using leave-one-out protocol</w:t>
            </w:r>
          </w:p>
          <w:p>
            <w:pPr>
              <w:spacing w:after="30" w:before="0"/>
              <w:ind w:left="220" w:hanging="200"/>
            </w:pPr>
            <w:r>
              <w:rPr>
                <w:rFonts w:ascii="Arial" w:cs="Arial" w:eastAsia="Arial" w:hAnsi="Arial"/>
                <w:b w:val="false"/>
                <w:bCs w:val="false"/>
                <w:i w:val="false"/>
                <w:iCs w:val="false"/>
                <w:color w:val="000000"/>
                <w:sz w:val="15"/>
                <w:szCs w:val="15"/>
              </w:rPr>
              <w:t xml:space="preserve">•  Achieves subject-independence without per-participant calibration</w:t>
            </w:r>
          </w:p>
        </w:tc>
        <w:tc>
          <w:tcPr>
            <w:tcW w:type="dxa" w:w="3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Accuracy: </w:t>
            </w:r>
            <w:r>
              <w:rPr>
                <w:rFonts w:ascii="Arial" w:cs="Arial" w:eastAsia="Arial" w:hAnsi="Arial"/>
                <w:b w:val="false"/>
                <w:bCs w:val="false"/>
                <w:i w:val="false"/>
                <w:iCs w:val="false"/>
                <w:color w:val="000000"/>
                <w:sz w:val="16"/>
                <w:szCs w:val="16"/>
              </w:rPr>
              <w:t xml:space="preserve">73.56% (5-class imagined speech, subject-independent)</w:t>
            </w:r>
          </w:p>
          <w:p>
            <w:pPr>
              <w:spacing w:after="40" w:before="0"/>
            </w:pPr>
            <w:r>
              <w:rPr>
                <w:rFonts w:ascii="Arial" w:cs="Arial" w:eastAsia="Arial" w:hAnsi="Arial"/>
                <w:b/>
                <w:bCs/>
                <w:i w:val="false"/>
                <w:iCs w:val="false"/>
                <w:color w:val="000000"/>
                <w:sz w:val="16"/>
                <w:szCs w:val="16"/>
              </w:rPr>
              <w:t xml:space="preserve">RT: </w:t>
            </w:r>
            <w:r>
              <w:rPr>
                <w:rFonts w:ascii="Arial" w:cs="Arial" w:eastAsia="Arial" w:hAnsi="Arial"/>
                <w:b w:val="false"/>
                <w:bCs w:val="false"/>
                <w:i w:val="false"/>
                <w:iCs w:val="false"/>
                <w:color w:val="000000"/>
                <w:sz w:val="16"/>
                <w:szCs w:val="16"/>
              </w:rPr>
              <w:t xml:space="preserve">0.14 s prediction time — suitable for real-time BCI</w:t>
            </w:r>
          </w:p>
          <w:p>
            <w:pPr>
              <w:spacing w:after="30" w:before="0"/>
            </w:pPr>
            <w:r>
              <w:rPr>
                <w:rFonts w:ascii="Arial" w:cs="Arial" w:eastAsia="Arial" w:hAnsi="Arial"/>
                <w:b w:val="false"/>
                <w:bCs w:val="false"/>
                <w:i/>
                <w:iCs/>
                <w:color w:val="595959"/>
                <w:sz w:val="14"/>
                <w:szCs w:val="14"/>
              </w:rPr>
              <w:t xml:space="preserve">ETRI Journal 2022 — n=13, largest imagined speech subject-independent EEG study at time</w:t>
            </w:r>
          </w:p>
        </w:tc>
        <w:tc>
          <w:tcPr>
            <w:tcW w:type="dxa" w:w="39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Subject-independent LSTM achieving 73.56% across 13 participants with 0.14 s prediction time — practical for real-time BCI. Demonstrates that cross-participant EEG imagined speech classification is achievable without calibration.</w:t>
            </w:r>
          </w:p>
        </w:tc>
      </w:tr>
      <w:tr>
        <w:tc>
          <w:tcPr>
            <w:tcW w:type="dxa" w:w="19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Mahapatra &amp; Bhuyan</w:t>
            </w:r>
          </w:p>
          <w:p>
            <w:pPr>
              <w:spacing w:after="0" w:before="0"/>
            </w:pPr>
            <w:r>
              <w:rPr>
                <w:rFonts w:ascii="Arial" w:cs="Arial" w:eastAsia="Arial" w:hAnsi="Arial"/>
                <w:b w:val="false"/>
                <w:bCs w:val="false"/>
                <w:i w:val="false"/>
                <w:iCs w:val="false"/>
                <w:color w:val="595959"/>
                <w:sz w:val="15"/>
                <w:szCs w:val="15"/>
              </w:rPr>
              <w:t xml:space="preserve">(2023)</w:t>
            </w:r>
          </w:p>
        </w:tc>
        <w:tc>
          <w:tcPr>
            <w:tcW w:type="dxa" w:w="1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EEG</w:t>
            </w:r>
          </w:p>
        </w:tc>
        <w:tc>
          <w:tcPr>
            <w:tcW w:type="dxa" w:w="68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5"/>
                <w:szCs w:val="15"/>
              </w:rPr>
              <w:t xml:space="preserve">Multiple</w:t>
            </w:r>
          </w:p>
        </w:tc>
        <w:tc>
          <w:tcPr>
            <w:tcW w:type="dxa" w:w="13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1F4E79"/>
                <w:sz w:val="15"/>
                <w:szCs w:val="15"/>
              </w:rPr>
              <w:t xml:space="preserve">Cross-participant
(cross-dataset)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Deep learning model trained on FEIS dataset, transferred to KaraOne dataset</w:t>
            </w:r>
          </w:p>
          <w:p>
            <w:pPr>
              <w:spacing w:after="30" w:before="0"/>
              <w:ind w:left="220" w:hanging="200"/>
            </w:pPr>
            <w:r>
              <w:rPr>
                <w:rFonts w:ascii="Arial" w:cs="Arial" w:eastAsia="Arial" w:hAnsi="Arial"/>
                <w:b w:val="false"/>
                <w:bCs w:val="false"/>
                <w:i w:val="false"/>
                <w:iCs w:val="false"/>
                <w:color w:val="000000"/>
                <w:sz w:val="15"/>
                <w:szCs w:val="15"/>
              </w:rPr>
              <w:t xml:space="preserve">•  Cross-dataset transfer learning — participants from different recording setups</w:t>
            </w:r>
          </w:p>
          <w:p>
            <w:pPr>
              <w:spacing w:after="30" w:before="0"/>
              <w:ind w:left="220" w:hanging="200"/>
            </w:pPr>
            <w:r>
              <w:rPr>
                <w:rFonts w:ascii="Arial" w:cs="Arial" w:eastAsia="Arial" w:hAnsi="Arial"/>
                <w:b w:val="false"/>
                <w:bCs w:val="false"/>
                <w:i w:val="false"/>
                <w:iCs w:val="false"/>
                <w:color w:val="000000"/>
                <w:sz w:val="15"/>
                <w:szCs w:val="15"/>
              </w:rPr>
              <w:t xml:space="preserve">•  Demonstrates generalizability across different EEG equipment and protocols</w:t>
            </w:r>
          </w:p>
        </w:tc>
        <w:tc>
          <w:tcPr>
            <w:tcW w:type="dxa" w:w="3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Accuracy: </w:t>
            </w:r>
            <w:r>
              <w:rPr>
                <w:rFonts w:ascii="Arial" w:cs="Arial" w:eastAsia="Arial" w:hAnsi="Arial"/>
                <w:b w:val="false"/>
                <w:bCs w:val="false"/>
                <w:i w:val="false"/>
                <w:iCs w:val="false"/>
                <w:color w:val="000000"/>
                <w:sz w:val="16"/>
                <w:szCs w:val="16"/>
              </w:rPr>
              <w:t xml:space="preserve">89.01% (FEIS dataset); 82.35% (KaraOne dataset — cross-dataset transfer)</w:t>
            </w:r>
          </w:p>
          <w:p>
            <w:pPr>
              <w:spacing w:after="40" w:before="0"/>
            </w:pPr>
            <w:r>
              <w:rPr>
                <w:rFonts w:ascii="Arial" w:cs="Arial" w:eastAsia="Arial" w:hAnsi="Arial"/>
                <w:b/>
                <w:bCs/>
                <w:i w:val="false"/>
                <w:iCs w:val="false"/>
                <w:color w:val="000000"/>
                <w:sz w:val="16"/>
                <w:szCs w:val="16"/>
              </w:rPr>
              <w:t xml:space="preserve">Transfer: </w:t>
            </w:r>
            <w:r>
              <w:rPr>
                <w:rFonts w:ascii="Arial" w:cs="Arial" w:eastAsia="Arial" w:hAnsi="Arial"/>
                <w:b w:val="false"/>
                <w:bCs w:val="false"/>
                <w:i w:val="false"/>
                <w:iCs w:val="false"/>
                <w:color w:val="000000"/>
                <w:sz w:val="16"/>
                <w:szCs w:val="16"/>
              </w:rPr>
              <w:t xml:space="preserve">Model trained on FEIS maintains &gt;82% on entirely different KaraOne participants</w:t>
            </w:r>
          </w:p>
          <w:p>
            <w:pPr>
              <w:spacing w:after="30" w:before="0"/>
            </w:pPr>
            <w:r>
              <w:rPr>
                <w:rFonts w:ascii="Arial" w:cs="Arial" w:eastAsia="Arial" w:hAnsi="Arial"/>
                <w:b w:val="false"/>
                <w:bCs w:val="false"/>
                <w:i/>
                <w:iCs/>
                <w:color w:val="595959"/>
                <w:sz w:val="14"/>
                <w:szCs w:val="14"/>
              </w:rPr>
              <w:t xml:space="preserve">Journal of Physics Communications 2023</w:t>
            </w:r>
          </w:p>
        </w:tc>
        <w:tc>
          <w:tcPr>
            <w:tcW w:type="dxa" w:w="39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Cross-dataset EEG transfer demonstrates generalizability beyond same-lab recording conditions. 82.35% on KaraOne with model trained on FEIS participants validates that deep transfer learning captures modality-level speech representations.</w:t>
            </w:r>
          </w:p>
        </w:tc>
      </w:tr>
      <w:tr>
        <w:tc>
          <w:tcPr>
            <w:tcW w:type="dxa" w:w="19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Wang et al.</w:t>
            </w:r>
          </w:p>
          <w:p>
            <w:pPr>
              <w:spacing w:after="0" w:before="0"/>
            </w:pPr>
            <w:r>
              <w:rPr>
                <w:rFonts w:ascii="Arial" w:cs="Arial" w:eastAsia="Arial" w:hAnsi="Arial"/>
                <w:b w:val="false"/>
                <w:bCs w:val="false"/>
                <w:i w:val="false"/>
                <w:iCs w:val="false"/>
                <w:color w:val="595959"/>
                <w:sz w:val="15"/>
                <w:szCs w:val="15"/>
              </w:rPr>
              <w:t xml:space="preserve">(2023) — BrainBERT</w:t>
            </w:r>
          </w:p>
        </w:tc>
        <w:tc>
          <w:tcPr>
            <w:tcW w:type="dxa" w:w="1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val="false"/>
                <w:bCs w:val="false"/>
                <w:i w:val="false"/>
                <w:iCs w:val="false"/>
                <w:color w:val="000000"/>
                <w:sz w:val="15"/>
                <w:szCs w:val="15"/>
              </w:rPr>
              <w:t xml:space="preserve">iEEG</w:t>
            </w:r>
          </w:p>
        </w:tc>
        <w:tc>
          <w:tcPr>
            <w:tcW w:type="dxa" w:w="68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5"/>
                <w:szCs w:val="15"/>
              </w:rPr>
              <w:t xml:space="preserve">Multiple</w:t>
            </w:r>
          </w:p>
        </w:tc>
        <w:tc>
          <w:tcPr>
            <w:tcW w:type="dxa" w:w="13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1F4E79"/>
                <w:sz w:val="15"/>
                <w:szCs w:val="15"/>
              </w:rPr>
              <w:t xml:space="preserve">Cross-participant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BERT-style masked self-supervised pre-training on large unlabeled intracranial EEG corpora</w:t>
            </w:r>
          </w:p>
          <w:p>
            <w:pPr>
              <w:spacing w:after="30" w:before="0"/>
              <w:ind w:left="220" w:hanging="200"/>
            </w:pPr>
            <w:r>
              <w:rPr>
                <w:rFonts w:ascii="Arial" w:cs="Arial" w:eastAsia="Arial" w:hAnsi="Arial"/>
                <w:b w:val="false"/>
                <w:bCs w:val="false"/>
                <w:i w:val="false"/>
                <w:iCs w:val="false"/>
                <w:color w:val="000000"/>
                <w:sz w:val="15"/>
                <w:szCs w:val="15"/>
              </w:rPr>
              <w:t xml:space="preserve">•  Cross-participant downstream transfer via shared pre-trained iEEG representations</w:t>
            </w:r>
          </w:p>
          <w:p>
            <w:pPr>
              <w:spacing w:after="30" w:before="0"/>
              <w:ind w:left="220" w:hanging="200"/>
            </w:pPr>
            <w:r>
              <w:rPr>
                <w:rFonts w:ascii="Arial" w:cs="Arial" w:eastAsia="Arial" w:hAnsi="Arial"/>
                <w:b w:val="false"/>
                <w:bCs w:val="false"/>
                <w:i w:val="false"/>
                <w:iCs w:val="false"/>
                <w:color w:val="000000"/>
                <w:sz w:val="15"/>
                <w:szCs w:val="15"/>
              </w:rPr>
              <w:t xml:space="preserve">•  Foundation model architecture — single pre-trained model fine-tuned for multiple tasks and participants</w:t>
            </w:r>
          </w:p>
        </w:tc>
        <w:tc>
          <w:tcPr>
            <w:tcW w:type="dxa" w:w="3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Evidence: </w:t>
            </w:r>
            <w:r>
              <w:rPr>
                <w:rFonts w:ascii="Arial" w:cs="Arial" w:eastAsia="Arial" w:hAnsi="Arial"/>
                <w:b w:val="false"/>
                <w:bCs w:val="false"/>
                <w:i w:val="false"/>
                <w:iCs w:val="false"/>
                <w:color w:val="000000"/>
                <w:sz w:val="16"/>
                <w:szCs w:val="16"/>
              </w:rPr>
              <w:t xml:space="preserve">Downstream decoding accuracy improvements over supervised baselines across multiple participants</w:t>
            </w:r>
          </w:p>
          <w:p>
            <w:pPr>
              <w:spacing w:after="40" w:before="0"/>
            </w:pPr>
            <w:r>
              <w:rPr>
                <w:rFonts w:ascii="Arial" w:cs="Arial" w:eastAsia="Arial" w:hAnsi="Arial"/>
                <w:b/>
                <w:bCs/>
                <w:i w:val="false"/>
                <w:iCs w:val="false"/>
                <w:color w:val="000000"/>
                <w:sz w:val="16"/>
                <w:szCs w:val="16"/>
              </w:rPr>
              <w:t xml:space="preserve">Architecture: </w:t>
            </w:r>
            <w:r>
              <w:rPr>
                <w:rFonts w:ascii="Arial" w:cs="Arial" w:eastAsia="Arial" w:hAnsi="Arial"/>
                <w:b w:val="false"/>
                <w:bCs w:val="false"/>
                <w:i w:val="false"/>
                <w:iCs w:val="false"/>
                <w:color w:val="000000"/>
                <w:sz w:val="16"/>
                <w:szCs w:val="16"/>
              </w:rPr>
              <w:t xml:space="preserve">First iEEG SSL foundation model — enables cross-participant transfer without full retraining</w:t>
            </w:r>
          </w:p>
          <w:p>
            <w:pPr>
              <w:spacing w:after="30" w:before="0"/>
            </w:pPr>
            <w:r>
              <w:rPr>
                <w:rFonts w:ascii="Arial" w:cs="Arial" w:eastAsia="Arial" w:hAnsi="Arial"/>
                <w:b w:val="false"/>
                <w:bCs w:val="false"/>
                <w:i/>
                <w:iCs/>
                <w:color w:val="595959"/>
                <w:sz w:val="14"/>
                <w:szCs w:val="14"/>
              </w:rPr>
              <w:t xml:space="preserve">ICLR 2023 — first neural SSL foundation model for intracranial recordings</w:t>
            </w:r>
          </w:p>
        </w:tc>
        <w:tc>
          <w:tcPr>
            <w:tcW w:type="dxa" w:w="39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First SSL foundation model for intracranial EEG. BERT-style masking pre-training on unlabeled iEEG. Cross-participant transfer without per-participant retraining established as feasible for invasive modalities. Opens foundation model pathway for iEEG speech BCIs.</w:t>
            </w:r>
          </w:p>
        </w:tc>
      </w:tr>
      <w:tr>
        <w:tc>
          <w:tcPr>
            <w:tcW w:type="dxa" w:w="19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Yuan &amp; Makin</w:t>
            </w:r>
          </w:p>
          <w:p>
            <w:pPr>
              <w:spacing w:after="0" w:before="0"/>
            </w:pPr>
            <w:r>
              <w:rPr>
                <w:rFonts w:ascii="Arial" w:cs="Arial" w:eastAsia="Arial" w:hAnsi="Arial"/>
                <w:b w:val="false"/>
                <w:bCs w:val="false"/>
                <w:i w:val="false"/>
                <w:iCs w:val="false"/>
                <w:color w:val="595959"/>
                <w:sz w:val="15"/>
                <w:szCs w:val="15"/>
              </w:rPr>
              <w:t xml:space="preserve">(2024)</w:t>
            </w:r>
          </w:p>
        </w:tc>
        <w:tc>
          <w:tcPr>
            <w:tcW w:type="dxa" w:w="1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ECoG</w:t>
            </w:r>
          </w:p>
        </w:tc>
        <w:tc>
          <w:tcPr>
            <w:tcW w:type="dxa" w:w="68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000000"/>
                <w:sz w:val="15"/>
                <w:szCs w:val="15"/>
              </w:rPr>
              <w:t xml:space="preserve">Multiple</w:t>
            </w:r>
          </w:p>
        </w:tc>
        <w:tc>
          <w:tcPr>
            <w:tcW w:type="dxa" w:w="13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1F4E79"/>
                <w:sz w:val="15"/>
                <w:szCs w:val="15"/>
              </w:rPr>
              <w:t xml:space="preserve">Cross-participant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Self-supervised pre-training on unlabeled ECoG recordings across multiple participants</w:t>
            </w:r>
          </w:p>
          <w:p>
            <w:pPr>
              <w:spacing w:after="30" w:before="0"/>
              <w:ind w:left="220" w:hanging="200"/>
            </w:pPr>
            <w:r>
              <w:rPr>
                <w:rFonts w:ascii="Arial" w:cs="Arial" w:eastAsia="Arial" w:hAnsi="Arial"/>
                <w:b w:val="false"/>
                <w:bCs w:val="false"/>
                <w:i w:val="false"/>
                <w:iCs w:val="false"/>
                <w:color w:val="000000"/>
                <w:sz w:val="15"/>
                <w:szCs w:val="15"/>
              </w:rPr>
              <w:t xml:space="preserve">•  Pre-trained representations transferred to speech decoding tasks</w:t>
            </w:r>
          </w:p>
          <w:p>
            <w:pPr>
              <w:spacing w:after="30" w:before="0"/>
              <w:ind w:left="220" w:hanging="200"/>
            </w:pPr>
            <w:r>
              <w:rPr>
                <w:rFonts w:ascii="Arial" w:cs="Arial" w:eastAsia="Arial" w:hAnsi="Arial"/>
                <w:b w:val="false"/>
                <w:bCs w:val="false"/>
                <w:i w:val="false"/>
                <w:iCs w:val="false"/>
                <w:color w:val="000000"/>
                <w:sz w:val="15"/>
                <w:szCs w:val="15"/>
              </w:rPr>
              <w:t xml:space="preserve">•  Reduces WER compared to supervised-only baselines</w:t>
            </w:r>
          </w:p>
        </w:tc>
        <w:tc>
          <w:tcPr>
            <w:tcW w:type="dxa" w:w="3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WER reduction: </w:t>
            </w:r>
            <w:r>
              <w:rPr>
                <w:rFonts w:ascii="Arial" w:cs="Arial" w:eastAsia="Arial" w:hAnsi="Arial"/>
                <w:b w:val="false"/>
                <w:bCs w:val="false"/>
                <w:i w:val="false"/>
                <w:iCs w:val="false"/>
                <w:color w:val="000000"/>
                <w:sz w:val="16"/>
                <w:szCs w:val="16"/>
              </w:rPr>
              <w:t xml:space="preserve">SSL pre-training reduces WER on ECoG speech decoding tasks vs supervised baselines</w:t>
            </w:r>
          </w:p>
          <w:p>
            <w:pPr>
              <w:spacing w:after="40" w:before="0"/>
            </w:pPr>
            <w:r>
              <w:rPr>
                <w:rFonts w:ascii="Arial" w:cs="Arial" w:eastAsia="Arial" w:hAnsi="Arial"/>
                <w:b/>
                <w:bCs/>
                <w:i w:val="false"/>
                <w:iCs w:val="false"/>
                <w:color w:val="000000"/>
                <w:sz w:val="16"/>
                <w:szCs w:val="16"/>
              </w:rPr>
              <w:t xml:space="preserve">Cross-participant: </w:t>
            </w:r>
            <w:r>
              <w:rPr>
                <w:rFonts w:ascii="Arial" w:cs="Arial" w:eastAsia="Arial" w:hAnsi="Arial"/>
                <w:b w:val="false"/>
                <w:bCs w:val="false"/>
                <w:i w:val="false"/>
                <w:iCs w:val="false"/>
                <w:color w:val="000000"/>
                <w:sz w:val="16"/>
                <w:szCs w:val="16"/>
              </w:rPr>
              <w:t xml:space="preserve">Pre-trained representations generalize across ECoG participants</w:t>
            </w:r>
          </w:p>
          <w:p>
            <w:pPr>
              <w:spacing w:after="30" w:before="0"/>
            </w:pPr>
            <w:r>
              <w:rPr>
                <w:rFonts w:ascii="Arial" w:cs="Arial" w:eastAsia="Arial" w:hAnsi="Arial"/>
                <w:b w:val="false"/>
                <w:bCs w:val="false"/>
                <w:i/>
                <w:iCs/>
                <w:color w:val="595959"/>
                <w:sz w:val="14"/>
                <w:szCs w:val="14"/>
              </w:rPr>
              <w:t xml:space="preserve">arXiv 2024 preprint — verify final journal publication status</w:t>
            </w:r>
          </w:p>
        </w:tc>
        <w:tc>
          <w:tcPr>
            <w:tcW w:type="dxa" w:w="39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SSL pre-training on ECoG reduces WER for speech decoding. Demonstrates that self-supervised representations learned from unlabeled ECoG generalize across participants and improve speech decoding when fine-tuned with limited labeled data.</w:t>
            </w:r>
          </w:p>
        </w:tc>
      </w:tr>
      <w:tr>
        <w:tc>
          <w:tcPr>
            <w:tcW w:type="dxa" w:w="19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Peterson et al.</w:t>
            </w:r>
          </w:p>
          <w:p>
            <w:pPr>
              <w:spacing w:after="0" w:before="0"/>
            </w:pPr>
            <w:r>
              <w:rPr>
                <w:rFonts w:ascii="Arial" w:cs="Arial" w:eastAsia="Arial" w:hAnsi="Arial"/>
                <w:b w:val="false"/>
                <w:bCs w:val="false"/>
                <w:i w:val="false"/>
                <w:iCs w:val="false"/>
                <w:color w:val="595959"/>
                <w:sz w:val="15"/>
                <w:szCs w:val="15"/>
              </w:rPr>
              <w:t xml:space="preserve">(2021)</w:t>
            </w:r>
          </w:p>
        </w:tc>
        <w:tc>
          <w:tcPr>
            <w:tcW w:type="dxa" w:w="1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val="false"/>
                <w:bCs w:val="false"/>
                <w:i w:val="false"/>
                <w:iCs w:val="false"/>
                <w:color w:val="000000"/>
                <w:sz w:val="15"/>
                <w:szCs w:val="15"/>
              </w:rPr>
              <w:t xml:space="preserve">EEG / ECoG</w:t>
            </w:r>
          </w:p>
        </w:tc>
        <w:tc>
          <w:tcPr>
            <w:tcW w:type="dxa" w:w="68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000000"/>
                <w:sz w:val="15"/>
                <w:szCs w:val="15"/>
              </w:rPr>
              <w:t xml:space="preserve">Multiple</w:t>
            </w:r>
          </w:p>
        </w:tc>
        <w:tc>
          <w:tcPr>
            <w:tcW w:type="dxa" w:w="13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1F4E79"/>
                <w:sz w:val="15"/>
                <w:szCs w:val="15"/>
              </w:rPr>
              <w:t xml:space="preserve">Cross-participant</w:t>
            </w:r>
            <w:r>
              <w:rPr>
                <w:rFonts w:ascii="Arial" w:cs="Arial" w:eastAsia="Arial" w:hAnsi="Arial"/>
                <w:b/>
                <w:bCs/>
                <w:i w:val="false"/>
                <w:iCs w:val="false"/>
                <w:color w:val="843C0C"/>
                <w:sz w:val="15"/>
                <w:szCs w:val="15"/>
              </w:rPr>
              <w:t xml:space="preserve">
+
Cross-modal</w:t>
            </w:r>
          </w:p>
        </w:tc>
        <w:tc>
          <w:tcPr>
            <w:tcW w:type="dxa" w:w="24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Generalized neural decoder trained across both EEG and ECoG participants simultaneously</w:t>
            </w:r>
          </w:p>
          <w:p>
            <w:pPr>
              <w:spacing w:after="30" w:before="0"/>
              <w:ind w:left="220" w:hanging="200"/>
            </w:pPr>
            <w:r>
              <w:rPr>
                <w:rFonts w:ascii="Arial" w:cs="Arial" w:eastAsia="Arial" w:hAnsi="Arial"/>
                <w:b w:val="false"/>
                <w:bCs w:val="false"/>
                <w:i w:val="false"/>
                <w:iCs w:val="false"/>
                <w:color w:val="000000"/>
                <w:sz w:val="15"/>
                <w:szCs w:val="15"/>
              </w:rPr>
              <w:t xml:space="preserve">•  CNN + transfer learning enables cross-participant AND cross-modality transfer</w:t>
            </w:r>
          </w:p>
          <w:p>
            <w:pPr>
              <w:spacing w:after="30" w:before="0"/>
              <w:ind w:left="220" w:hanging="200"/>
            </w:pPr>
            <w:r>
              <w:rPr>
                <w:rFonts w:ascii="Arial" w:cs="Arial" w:eastAsia="Arial" w:hAnsi="Arial"/>
                <w:b w:val="false"/>
                <w:bCs w:val="false"/>
                <w:i w:val="false"/>
                <w:iCs w:val="false"/>
                <w:color w:val="000000"/>
                <w:sz w:val="15"/>
                <w:szCs w:val="15"/>
              </w:rPr>
              <w:t xml:space="preserve">•  Single model architecture handles multiple recording modalities</w:t>
            </w:r>
          </w:p>
        </w:tc>
        <w:tc>
          <w:tcPr>
            <w:tcW w:type="dxa" w:w="3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Cross-participant: </w:t>
            </w:r>
            <w:r>
              <w:rPr>
                <w:rFonts w:ascii="Arial" w:cs="Arial" w:eastAsia="Arial" w:hAnsi="Arial"/>
                <w:b w:val="false"/>
                <w:bCs w:val="false"/>
                <w:i w:val="false"/>
                <w:iCs w:val="false"/>
                <w:color w:val="000000"/>
                <w:sz w:val="16"/>
                <w:szCs w:val="16"/>
              </w:rPr>
              <w:t xml:space="preserve">Decoder generalizes across participants within and across modalities</w:t>
            </w:r>
          </w:p>
          <w:p>
            <w:pPr>
              <w:spacing w:after="40" w:before="0"/>
            </w:pPr>
            <w:r>
              <w:rPr>
                <w:rFonts w:ascii="Arial" w:cs="Arial" w:eastAsia="Arial" w:hAnsi="Arial"/>
                <w:b/>
                <w:bCs/>
                <w:i w:val="false"/>
                <w:iCs w:val="false"/>
                <w:color w:val="000000"/>
                <w:sz w:val="16"/>
                <w:szCs w:val="16"/>
              </w:rPr>
              <w:t xml:space="preserve">Cross-modal: </w:t>
            </w:r>
            <w:r>
              <w:rPr>
                <w:rFonts w:ascii="Arial" w:cs="Arial" w:eastAsia="Arial" w:hAnsi="Arial"/>
                <w:b w:val="false"/>
                <w:bCs w:val="false"/>
                <w:i w:val="false"/>
                <w:iCs w:val="false"/>
                <w:color w:val="000000"/>
                <w:sz w:val="16"/>
                <w:szCs w:val="16"/>
              </w:rPr>
              <w:t xml:space="preserve">ECoG-trained model transfers to EEG participants and vice versa</w:t>
            </w:r>
          </w:p>
          <w:p>
            <w:pPr>
              <w:spacing w:after="30" w:before="0"/>
            </w:pPr>
            <w:r>
              <w:rPr>
                <w:rFonts w:ascii="Arial" w:cs="Arial" w:eastAsia="Arial" w:hAnsi="Arial"/>
                <w:b w:val="false"/>
                <w:bCs w:val="false"/>
                <w:i/>
                <w:iCs/>
                <w:color w:val="595959"/>
                <w:sz w:val="14"/>
                <w:szCs w:val="14"/>
              </w:rPr>
              <w:t xml:space="preserve">Journal of Neural Engineering 2021</w:t>
            </w:r>
          </w:p>
        </w:tc>
        <w:tc>
          <w:tcPr>
            <w:tcW w:type="dxa" w:w="39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Demonstrates both cross-participant AND cross-modal generalization simultaneously — rare in this literature. Single CNN decoder architecture handles multiple neural recording modalities. Key evidence for modality-agnostic decoding approaches.</w:t>
            </w:r>
          </w:p>
        </w:tc>
      </w:tr>
      <w:tr>
        <w:tc>
          <w:tcPr>
            <w:tcW w:type="dxa" w:w="19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Caucheteux et al.</w:t>
            </w:r>
          </w:p>
          <w:p>
            <w:pPr>
              <w:spacing w:after="0" w:before="0"/>
            </w:pPr>
            <w:r>
              <w:rPr>
                <w:rFonts w:ascii="Arial" w:cs="Arial" w:eastAsia="Arial" w:hAnsi="Arial"/>
                <w:b w:val="false"/>
                <w:bCs w:val="false"/>
                <w:i w:val="false"/>
                <w:iCs w:val="false"/>
                <w:color w:val="595959"/>
                <w:sz w:val="15"/>
                <w:szCs w:val="15"/>
              </w:rPr>
              <w:t xml:space="preserve">(2022)</w:t>
            </w:r>
          </w:p>
        </w:tc>
        <w:tc>
          <w:tcPr>
            <w:tcW w:type="dxa" w:w="1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MEG / fMRI</w:t>
            </w:r>
          </w:p>
        </w:tc>
        <w:tc>
          <w:tcPr>
            <w:tcW w:type="dxa" w:w="68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000000"/>
                <w:sz w:val="15"/>
                <w:szCs w:val="15"/>
              </w:rPr>
              <w:t xml:space="preserve">Large cohort</w:t>
            </w:r>
          </w:p>
        </w:tc>
        <w:tc>
          <w:tcPr>
            <w:tcW w:type="dxa" w:w="13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1F4E79"/>
                <w:sz w:val="15"/>
                <w:szCs w:val="15"/>
              </w:rPr>
              <w:t xml:space="preserve">Cross-participant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Brain-LLM alignment across large MEG/fMRI cohort</w:t>
            </w:r>
          </w:p>
          <w:p>
            <w:pPr>
              <w:spacing w:after="30" w:before="0"/>
              <w:ind w:left="220" w:hanging="200"/>
            </w:pPr>
            <w:r>
              <w:rPr>
                <w:rFonts w:ascii="Arial" w:cs="Arial" w:eastAsia="Arial" w:hAnsi="Arial"/>
                <w:b w:val="false"/>
                <w:bCs w:val="false"/>
                <w:i w:val="false"/>
                <w:iCs w:val="false"/>
                <w:color w:val="000000"/>
                <w:sz w:val="15"/>
                <w:szCs w:val="15"/>
              </w:rPr>
              <w:t xml:space="preserve">•  Transformer encoding models predict neural responses across participants</w:t>
            </w:r>
          </w:p>
          <w:p>
            <w:pPr>
              <w:spacing w:after="30" w:before="0"/>
              <w:ind w:left="220" w:hanging="200"/>
            </w:pPr>
            <w:r>
              <w:rPr>
                <w:rFonts w:ascii="Arial" w:cs="Arial" w:eastAsia="Arial" w:hAnsi="Arial"/>
                <w:b w:val="false"/>
                <w:bCs w:val="false"/>
                <w:i w:val="false"/>
                <w:iCs w:val="false"/>
                <w:color w:val="000000"/>
                <w:sz w:val="15"/>
                <w:szCs w:val="15"/>
              </w:rPr>
              <w:t xml:space="preserve">•  Cross-participant brain-language model alignment via shared semantic representations</w:t>
            </w:r>
          </w:p>
        </w:tc>
        <w:tc>
          <w:tcPr>
            <w:tcW w:type="dxa" w:w="3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R² scores: </w:t>
            </w:r>
            <w:r>
              <w:rPr>
                <w:rFonts w:ascii="Arial" w:cs="Arial" w:eastAsia="Arial" w:hAnsi="Arial"/>
                <w:b w:val="false"/>
                <w:bCs w:val="false"/>
                <w:i w:val="false"/>
                <w:iCs w:val="false"/>
                <w:color w:val="000000"/>
                <w:sz w:val="16"/>
                <w:szCs w:val="16"/>
              </w:rPr>
              <w:t xml:space="preserve">Alignment between brain and LLM representations reported across participants</w:t>
            </w:r>
          </w:p>
          <w:p>
            <w:pPr>
              <w:spacing w:after="40" w:before="0"/>
            </w:pPr>
            <w:r>
              <w:rPr>
                <w:rFonts w:ascii="Arial" w:cs="Arial" w:eastAsia="Arial" w:hAnsi="Arial"/>
                <w:b/>
                <w:bCs/>
                <w:i w:val="false"/>
                <w:iCs w:val="false"/>
                <w:color w:val="000000"/>
                <w:sz w:val="16"/>
                <w:szCs w:val="16"/>
              </w:rPr>
              <w:t xml:space="preserve">Evidence: </w:t>
            </w:r>
            <w:r>
              <w:rPr>
                <w:rFonts w:ascii="Arial" w:cs="Arial" w:eastAsia="Arial" w:hAnsi="Arial"/>
                <w:b w:val="false"/>
                <w:bCs w:val="false"/>
                <w:i w:val="false"/>
                <w:iCs w:val="false"/>
                <w:color w:val="000000"/>
                <w:sz w:val="16"/>
                <w:szCs w:val="16"/>
              </w:rPr>
              <w:t xml:space="preserve">Convergence between neural speech representations and deep LM layers generalizes cross-participant</w:t>
            </w:r>
          </w:p>
          <w:p>
            <w:pPr>
              <w:spacing w:after="30" w:before="0"/>
            </w:pPr>
            <w:r>
              <w:rPr>
                <w:rFonts w:ascii="Arial" w:cs="Arial" w:eastAsia="Arial" w:hAnsi="Arial"/>
                <w:b w:val="false"/>
                <w:bCs w:val="false"/>
                <w:i/>
                <w:iCs/>
                <w:color w:val="595959"/>
                <w:sz w:val="14"/>
                <w:szCs w:val="14"/>
              </w:rPr>
              <w:t xml:space="preserve">Communications Biology 2022</w:t>
            </w:r>
          </w:p>
        </w:tc>
        <w:tc>
          <w:tcPr>
            <w:tcW w:type="dxa" w:w="39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Cross-participant brain-LLM alignment demonstrates that shared semantic representations underpin speech perception across individuals. Supports theoretical foundation for LLM integration in non-invasive speech decoding.</w:t>
            </w:r>
          </w:p>
        </w:tc>
      </w:tr>
      <w:tr>
        <w:tc>
          <w:tcPr>
            <w:tcW w:type="dxa" w:w="19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Goldstein et al.</w:t>
            </w:r>
          </w:p>
          <w:p>
            <w:pPr>
              <w:spacing w:after="0" w:before="0"/>
            </w:pPr>
            <w:r>
              <w:rPr>
                <w:rFonts w:ascii="Arial" w:cs="Arial" w:eastAsia="Arial" w:hAnsi="Arial"/>
                <w:b w:val="false"/>
                <w:bCs w:val="false"/>
                <w:i w:val="false"/>
                <w:iCs w:val="false"/>
                <w:color w:val="595959"/>
                <w:sz w:val="15"/>
                <w:szCs w:val="15"/>
              </w:rPr>
              <w:t xml:space="preserve">(2022)</w:t>
            </w:r>
          </w:p>
        </w:tc>
        <w:tc>
          <w:tcPr>
            <w:tcW w:type="dxa" w:w="1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ECoG / iEEG</w:t>
            </w:r>
          </w:p>
        </w:tc>
        <w:tc>
          <w:tcPr>
            <w:tcW w:type="dxa" w:w="68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000000"/>
                <w:sz w:val="15"/>
                <w:szCs w:val="15"/>
              </w:rPr>
              <w:t xml:space="preserve">Large cohort</w:t>
            </w:r>
          </w:p>
        </w:tc>
        <w:tc>
          <w:tcPr>
            <w:tcW w:type="dxa" w:w="13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1F4E79"/>
                <w:sz w:val="15"/>
                <w:szCs w:val="15"/>
              </w:rPr>
              <w:t xml:space="preserve">Cross-participant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Transformer encoding models predict ECoG responses during natural conversation across participants</w:t>
            </w:r>
          </w:p>
          <w:p>
            <w:pPr>
              <w:spacing w:after="30" w:before="0"/>
              <w:ind w:left="220" w:hanging="200"/>
            </w:pPr>
            <w:r>
              <w:rPr>
                <w:rFonts w:ascii="Arial" w:cs="Arial" w:eastAsia="Arial" w:hAnsi="Arial"/>
                <w:b w:val="false"/>
                <w:bCs w:val="false"/>
                <w:i w:val="false"/>
                <w:iCs w:val="false"/>
                <w:color w:val="000000"/>
                <w:sz w:val="15"/>
                <w:szCs w:val="15"/>
              </w:rPr>
              <w:t xml:space="preserve">•  Shared computational principles between deep LMs and brain activity generalize cross-participant</w:t>
            </w:r>
          </w:p>
          <w:p>
            <w:pPr>
              <w:spacing w:after="30" w:before="0"/>
              <w:ind w:left="220" w:hanging="200"/>
            </w:pPr>
            <w:r>
              <w:rPr>
                <w:rFonts w:ascii="Arial" w:cs="Arial" w:eastAsia="Arial" w:hAnsi="Arial"/>
                <w:b w:val="false"/>
                <w:bCs w:val="false"/>
                <w:i w:val="false"/>
                <w:iCs w:val="false"/>
                <w:color w:val="000000"/>
                <w:sz w:val="15"/>
                <w:szCs w:val="15"/>
              </w:rPr>
              <w:t xml:space="preserve">•  Naturalistic speech paradigm — not controlled stimuli</w:t>
            </w:r>
          </w:p>
        </w:tc>
        <w:tc>
          <w:tcPr>
            <w:tcW w:type="dxa" w:w="310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R² alignment: </w:t>
            </w:r>
            <w:r>
              <w:rPr>
                <w:rFonts w:ascii="Arial" w:cs="Arial" w:eastAsia="Arial" w:hAnsi="Arial"/>
                <w:b w:val="false"/>
                <w:bCs w:val="false"/>
                <w:i w:val="false"/>
                <w:iCs w:val="false"/>
                <w:color w:val="000000"/>
                <w:sz w:val="16"/>
                <w:szCs w:val="16"/>
              </w:rPr>
              <w:t xml:space="preserve">Cross-participant alignment between LM representations and ECoG activity</w:t>
            </w:r>
          </w:p>
          <w:p>
            <w:pPr>
              <w:spacing w:after="40" w:before="0"/>
            </w:pPr>
            <w:r>
              <w:rPr>
                <w:rFonts w:ascii="Arial" w:cs="Arial" w:eastAsia="Arial" w:hAnsi="Arial"/>
                <w:b/>
                <w:bCs/>
                <w:i w:val="false"/>
                <w:iCs w:val="false"/>
                <w:color w:val="000000"/>
                <w:sz w:val="16"/>
                <w:szCs w:val="16"/>
              </w:rPr>
              <w:t xml:space="preserve">Paradigm: </w:t>
            </w:r>
            <w:r>
              <w:rPr>
                <w:rFonts w:ascii="Arial" w:cs="Arial" w:eastAsia="Arial" w:hAnsi="Arial"/>
                <w:b w:val="false"/>
                <w:bCs w:val="false"/>
                <w:i w:val="false"/>
                <w:iCs w:val="false"/>
                <w:color w:val="000000"/>
                <w:sz w:val="16"/>
                <w:szCs w:val="16"/>
              </w:rPr>
              <w:t xml:space="preserve">Naturalistic conversational speech — first such analysis at scale</w:t>
            </w:r>
          </w:p>
          <w:p>
            <w:pPr>
              <w:spacing w:after="30" w:before="0"/>
            </w:pPr>
            <w:r>
              <w:rPr>
                <w:rFonts w:ascii="Arial" w:cs="Arial" w:eastAsia="Arial" w:hAnsi="Arial"/>
                <w:b w:val="false"/>
                <w:bCs w:val="false"/>
                <w:i/>
                <w:iCs/>
                <w:color w:val="595959"/>
                <w:sz w:val="14"/>
                <w:szCs w:val="14"/>
              </w:rPr>
              <w:t xml:space="preserve">Nature Neuroscience 2022</w:t>
            </w:r>
          </w:p>
        </w:tc>
        <w:tc>
          <w:tcPr>
            <w:tcW w:type="dxa" w:w="39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Cross-participant shared computational principles for language in ECoG. Natural conversation paradigm. Alignment between transformer LM layers and ECoG activity generalizes across participants, supporting universal neural language coding hypothesis.</w:t>
            </w:r>
          </w:p>
        </w:tc>
      </w:tr>
      <w:tr>
        <w:tc>
          <w:tcPr>
            <w:tcW w:type="dxa" w:w="14400"/>
            <w:gridSpan w:val="7"/>
            <w:tcBorders>
              <w:top w:val="single" w:color="1F4E79" w:sz="4"/>
              <w:left w:val="single" w:color="CCCCCC" w:sz="1"/>
              <w:bottom w:val="single" w:color="1F4E79" w:sz="4"/>
              <w:right w:val="single" w:color="CCCCCC" w:sz="1"/>
            </w:tcBorders>
            <w:shd w:fill="E2EFDA" w:val="clear"/>
            <w:tcMar>
              <w:top w:type="dxa" w:w="60"/>
              <w:left w:type="dxa" w:w="120"/>
              <w:bottom w:type="dxa" w:w="60"/>
              <w:right w:type="dxa" w:w="120"/>
            </w:tcMar>
          </w:tcPr>
          <w:p>
            <w:pPr>
              <w:spacing w:after="0" w:before="0"/>
            </w:pPr>
            <w:r>
              <w:rPr>
                <w:rFonts w:ascii="Arial" w:cs="Arial" w:eastAsia="Arial" w:hAnsi="Arial"/>
                <w:b/>
                <w:bCs/>
                <w:i w:val="false"/>
                <w:iCs w:val="false"/>
                <w:color w:val="FFFFFF"/>
                <w:sz w:val="17"/>
                <w:szCs w:val="17"/>
              </w:rPr>
              <w:t xml:space="preserve">SECTION 2 — CROSS-SESSION GENERALIZATION  (2 studies)  |  Longitudinal stability — critical for sustained clinical deployment</w:t>
            </w:r>
          </w:p>
        </w:tc>
      </w:tr>
      <w:tr>
        <w:tc>
          <w:tcPr>
            <w:tcW w:type="dxa" w:w="19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Card et al.</w:t>
            </w:r>
          </w:p>
          <w:p>
            <w:pPr>
              <w:spacing w:after="0" w:before="0"/>
            </w:pPr>
            <w:r>
              <w:rPr>
                <w:rFonts w:ascii="Arial" w:cs="Arial" w:eastAsia="Arial" w:hAnsi="Arial"/>
                <w:b w:val="false"/>
                <w:bCs w:val="false"/>
                <w:i w:val="false"/>
                <w:iCs w:val="false"/>
                <w:color w:val="595959"/>
                <w:sz w:val="15"/>
                <w:szCs w:val="15"/>
              </w:rPr>
              <w:t xml:space="preserve">(2024)</w:t>
            </w:r>
          </w:p>
        </w:tc>
        <w:tc>
          <w:tcPr>
            <w:tcW w:type="dxa" w:w="11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40" w:before="0"/>
            </w:pPr>
            <w:r>
              <w:rPr>
                <w:rFonts w:ascii="Arial" w:cs="Arial" w:eastAsia="Arial" w:hAnsi="Arial"/>
                <w:b w:val="false"/>
                <w:bCs w:val="false"/>
                <w:i w:val="false"/>
                <w:iCs w:val="false"/>
                <w:color w:val="000000"/>
                <w:sz w:val="15"/>
                <w:szCs w:val="15"/>
              </w:rPr>
              <w:t xml:space="preserve">Intracortical</w:t>
            </w:r>
          </w:p>
        </w:tc>
        <w:tc>
          <w:tcPr>
            <w:tcW w:type="dxa" w:w="68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5"/>
                <w:szCs w:val="15"/>
              </w:rPr>
              <w:t xml:space="preserve">1</w:t>
            </w:r>
          </w:p>
        </w:tc>
        <w:tc>
          <w:tcPr>
            <w:tcW w:type="dxa" w:w="13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375623"/>
                <w:sz w:val="15"/>
                <w:szCs w:val="15"/>
              </w:rPr>
              <w:t xml:space="preserve">Cross-session
(longitudinal)</w:t>
            </w:r>
          </w:p>
        </w:tc>
        <w:tc>
          <w:tcPr>
            <w:tcW w:type="dxa" w:w="24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Rapidly calibrating speech neuroprosthesis — 30-minute daily recalibration protocol</w:t>
            </w:r>
          </w:p>
          <w:p>
            <w:pPr>
              <w:spacing w:after="30" w:before="0"/>
              <w:ind w:left="220" w:hanging="200"/>
            </w:pPr>
            <w:r>
              <w:rPr>
                <w:rFonts w:ascii="Arial" w:cs="Arial" w:eastAsia="Arial" w:hAnsi="Arial"/>
                <w:b w:val="false"/>
                <w:bCs w:val="false"/>
                <w:i w:val="false"/>
                <w:iCs w:val="false"/>
                <w:color w:val="000000"/>
                <w:sz w:val="15"/>
                <w:szCs w:val="15"/>
              </w:rPr>
              <w:t xml:space="preserve">•  RNN decoder with online fine-tuning to neural signal drift</w:t>
            </w:r>
          </w:p>
          <w:p>
            <w:pPr>
              <w:spacing w:after="30" w:before="0"/>
              <w:ind w:left="220" w:hanging="200"/>
            </w:pPr>
            <w:r>
              <w:rPr>
                <w:rFonts w:ascii="Arial" w:cs="Arial" w:eastAsia="Arial" w:hAnsi="Arial"/>
                <w:b w:val="false"/>
                <w:bCs w:val="false"/>
                <w:i w:val="false"/>
                <w:iCs w:val="false"/>
                <w:color w:val="000000"/>
                <w:sz w:val="15"/>
                <w:szCs w:val="15"/>
              </w:rPr>
              <w:t xml:space="preserve">•  Consistent vocabulary and task structure maintained across sessions over 8+ months</w:t>
            </w:r>
          </w:p>
        </w:tc>
        <w:tc>
          <w:tcPr>
            <w:tcW w:type="dxa" w:w="31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WER stability: </w:t>
            </w:r>
            <w:r>
              <w:rPr>
                <w:rFonts w:ascii="Arial" w:cs="Arial" w:eastAsia="Arial" w:hAnsi="Arial"/>
                <w:b w:val="false"/>
                <w:bCs w:val="false"/>
                <w:i w:val="false"/>
                <w:iCs w:val="false"/>
                <w:color w:val="000000"/>
                <w:sz w:val="16"/>
                <w:szCs w:val="16"/>
              </w:rPr>
              <w:t xml:space="preserve">2.5% WER sustained across 8+ months of recording sessions</w:t>
            </w:r>
          </w:p>
          <w:p>
            <w:pPr>
              <w:spacing w:after="40" w:before="0"/>
            </w:pPr>
            <w:r>
              <w:rPr>
                <w:rFonts w:ascii="Arial" w:cs="Arial" w:eastAsia="Arial" w:hAnsi="Arial"/>
                <w:b/>
                <w:bCs/>
                <w:i w:val="false"/>
                <w:iCs w:val="false"/>
                <w:color w:val="000000"/>
                <w:sz w:val="16"/>
                <w:szCs w:val="16"/>
              </w:rPr>
              <w:t xml:space="preserve">Accuracy: </w:t>
            </w:r>
            <w:r>
              <w:rPr>
                <w:rFonts w:ascii="Arial" w:cs="Arial" w:eastAsia="Arial" w:hAnsi="Arial"/>
                <w:b w:val="false"/>
                <w:bCs w:val="false"/>
                <w:i w:val="false"/>
                <w:iCs w:val="false"/>
                <w:color w:val="000000"/>
                <w:sz w:val="16"/>
                <w:szCs w:val="16"/>
              </w:rPr>
              <w:t xml:space="preserve">97.5% word accuracy maintained longitudinally without full retraining</w:t>
            </w:r>
          </w:p>
          <w:p>
            <w:pPr>
              <w:spacing w:after="40" w:before="0"/>
            </w:pPr>
            <w:r>
              <w:rPr>
                <w:rFonts w:ascii="Arial" w:cs="Arial" w:eastAsia="Arial" w:hAnsi="Arial"/>
                <w:b/>
                <w:bCs/>
                <w:i w:val="false"/>
                <w:iCs w:val="false"/>
                <w:color w:val="000000"/>
                <w:sz w:val="16"/>
                <w:szCs w:val="16"/>
              </w:rPr>
              <w:t xml:space="preserve">Calibration: </w:t>
            </w:r>
            <w:r>
              <w:rPr>
                <w:rFonts w:ascii="Arial" w:cs="Arial" w:eastAsia="Arial" w:hAnsi="Arial"/>
                <w:b w:val="false"/>
                <w:bCs w:val="false"/>
                <w:i w:val="false"/>
                <w:iCs w:val="false"/>
                <w:color w:val="000000"/>
                <w:sz w:val="16"/>
                <w:szCs w:val="16"/>
              </w:rPr>
              <w:t xml:space="preserve">30-minute daily calibration sufficient for high performance</w:t>
            </w:r>
          </w:p>
          <w:p>
            <w:pPr>
              <w:spacing w:after="30" w:before="0"/>
            </w:pPr>
            <w:r>
              <w:rPr>
                <w:rFonts w:ascii="Arial" w:cs="Arial" w:eastAsia="Arial" w:hAnsi="Arial"/>
                <w:b w:val="false"/>
                <w:bCs w:val="false"/>
                <w:i/>
                <w:iCs/>
                <w:color w:val="595959"/>
                <w:sz w:val="14"/>
                <w:szCs w:val="14"/>
              </w:rPr>
              <w:t xml:space="preserve">NEJM 2024 — demonstrates clinical viability of long-term intracortical BCI</w:t>
            </w:r>
          </w:p>
        </w:tc>
        <w:tc>
          <w:tcPr>
            <w:tcW w:type="dxa" w:w="392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Current best WER (2.5%) is sustained over 8+ months — critical clinical evidence. 30-minute calibration makes daily use feasible. Establishes that cross-session stability is achievable for intracortical speech BCIs without full daily retraining.</w:t>
            </w:r>
          </w:p>
        </w:tc>
      </w:tr>
      <w:tr>
        <w:tc>
          <w:tcPr>
            <w:tcW w:type="dxa" w:w="19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Degenhart et al.</w:t>
            </w:r>
          </w:p>
          <w:p>
            <w:pPr>
              <w:spacing w:after="0" w:before="0"/>
            </w:pPr>
            <w:r>
              <w:rPr>
                <w:rFonts w:ascii="Arial" w:cs="Arial" w:eastAsia="Arial" w:hAnsi="Arial"/>
                <w:b w:val="false"/>
                <w:bCs w:val="false"/>
                <w:i w:val="false"/>
                <w:iCs w:val="false"/>
                <w:color w:val="595959"/>
                <w:sz w:val="15"/>
                <w:szCs w:val="15"/>
              </w:rPr>
              <w:t xml:space="preserve">(2020)</w:t>
            </w:r>
          </w:p>
        </w:tc>
        <w:tc>
          <w:tcPr>
            <w:tcW w:type="dxa" w:w="11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40" w:before="0"/>
            </w:pPr>
            <w:r>
              <w:rPr>
                <w:rFonts w:ascii="Arial" w:cs="Arial" w:eastAsia="Arial" w:hAnsi="Arial"/>
                <w:b w:val="false"/>
                <w:bCs w:val="false"/>
                <w:i w:val="false"/>
                <w:iCs w:val="false"/>
                <w:color w:val="000000"/>
                <w:sz w:val="15"/>
                <w:szCs w:val="15"/>
              </w:rPr>
              <w:t xml:space="preserve">Intracortical</w:t>
            </w:r>
          </w:p>
        </w:tc>
        <w:tc>
          <w:tcPr>
            <w:tcW w:type="dxa" w:w="68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5"/>
                <w:szCs w:val="15"/>
              </w:rPr>
              <w:t xml:space="preserve">2</w:t>
            </w:r>
          </w:p>
        </w:tc>
        <w:tc>
          <w:tcPr>
            <w:tcW w:type="dxa" w:w="13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375623"/>
                <w:sz w:val="15"/>
                <w:szCs w:val="15"/>
              </w:rPr>
              <w:t xml:space="preserve">Cross-session
(manifold alignment)</w:t>
            </w:r>
          </w:p>
        </w:tc>
        <w:tc>
          <w:tcPr>
            <w:tcW w:type="dxa" w:w="24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Low-dimensional neural manifold alignment to compensate for day-to-day neural signal drift</w:t>
            </w:r>
          </w:p>
          <w:p>
            <w:pPr>
              <w:spacing w:after="30" w:before="0"/>
              <w:ind w:left="220" w:hanging="200"/>
            </w:pPr>
            <w:r>
              <w:rPr>
                <w:rFonts w:ascii="Arial" w:cs="Arial" w:eastAsia="Arial" w:hAnsi="Arial"/>
                <w:b w:val="false"/>
                <w:bCs w:val="false"/>
                <w:i w:val="false"/>
                <w:iCs w:val="false"/>
                <w:color w:val="000000"/>
                <w:sz w:val="15"/>
                <w:szCs w:val="15"/>
              </w:rPr>
              <w:t xml:space="preserve">•  Stabilizes decoder performance across sessions without re-collecting labeled data</w:t>
            </w:r>
          </w:p>
          <w:p>
            <w:pPr>
              <w:spacing w:after="30" w:before="0"/>
              <w:ind w:left="220" w:hanging="200"/>
            </w:pPr>
            <w:r>
              <w:rPr>
                <w:rFonts w:ascii="Arial" w:cs="Arial" w:eastAsia="Arial" w:hAnsi="Arial"/>
                <w:b w:val="false"/>
                <w:bCs w:val="false"/>
                <w:i w:val="false"/>
                <w:iCs w:val="false"/>
                <w:color w:val="000000"/>
                <w:sz w:val="15"/>
                <w:szCs w:val="15"/>
              </w:rPr>
              <w:t xml:space="preserve">•  Linear alignment in low-dimensional latent space — computationally efficient</w:t>
            </w:r>
          </w:p>
          <w:p>
            <w:pPr>
              <w:spacing w:after="30" w:before="0"/>
              <w:ind w:left="220" w:hanging="200"/>
            </w:pPr>
            <w:r>
              <w:rPr>
                <w:rFonts w:ascii="Arial" w:cs="Arial" w:eastAsia="Arial" w:hAnsi="Arial"/>
                <w:b w:val="false"/>
                <w:bCs w:val="false"/>
                <w:i w:val="false"/>
                <w:iCs w:val="false"/>
                <w:color w:val="000000"/>
                <w:sz w:val="15"/>
                <w:szCs w:val="15"/>
              </w:rPr>
              <w:t xml:space="preserve">•  No behavioral data required for alignment — fully unsupervised cross-session adaptation</w:t>
            </w:r>
          </w:p>
        </w:tc>
        <w:tc>
          <w:tcPr>
            <w:tcW w:type="dxa" w:w="31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Performance retention: </w:t>
            </w:r>
            <w:r>
              <w:rPr>
                <w:rFonts w:ascii="Arial" w:cs="Arial" w:eastAsia="Arial" w:hAnsi="Arial"/>
                <w:b w:val="false"/>
                <w:bCs w:val="false"/>
                <w:i w:val="false"/>
                <w:iCs w:val="false"/>
                <w:color w:val="000000"/>
                <w:sz w:val="16"/>
                <w:szCs w:val="16"/>
              </w:rPr>
              <w:t xml:space="preserve">~95% of single-session decoding performance maintained across sessions</w:t>
            </w:r>
          </w:p>
          <w:p>
            <w:pPr>
              <w:spacing w:after="40" w:before="0"/>
            </w:pPr>
            <w:r>
              <w:rPr>
                <w:rFonts w:ascii="Arial" w:cs="Arial" w:eastAsia="Arial" w:hAnsi="Arial"/>
                <w:b/>
                <w:bCs/>
                <w:i w:val="false"/>
                <w:iCs w:val="false"/>
                <w:color w:val="000000"/>
                <w:sz w:val="16"/>
                <w:szCs w:val="16"/>
              </w:rPr>
              <w:t xml:space="preserve">Comparison: </w:t>
            </w:r>
            <w:r>
              <w:rPr>
                <w:rFonts w:ascii="Arial" w:cs="Arial" w:eastAsia="Arial" w:hAnsi="Arial"/>
                <w:b w:val="false"/>
                <w:bCs w:val="false"/>
                <w:i w:val="false"/>
                <w:iCs w:val="false"/>
                <w:color w:val="000000"/>
                <w:sz w:val="16"/>
                <w:szCs w:val="16"/>
              </w:rPr>
              <w:t xml:space="preserve">Without alignment, performance degrades substantially across sessions</w:t>
            </w:r>
          </w:p>
          <w:p>
            <w:pPr>
              <w:spacing w:after="40" w:before="0"/>
            </w:pPr>
            <w:r>
              <w:rPr>
                <w:rFonts w:ascii="Arial" w:cs="Arial" w:eastAsia="Arial" w:hAnsi="Arial"/>
                <w:b/>
                <w:bCs/>
                <w:i w:val="false"/>
                <w:iCs w:val="false"/>
                <w:color w:val="000000"/>
                <w:sz w:val="16"/>
                <w:szCs w:val="16"/>
              </w:rPr>
              <w:t xml:space="preserve">Method: </w:t>
            </w:r>
            <w:r>
              <w:rPr>
                <w:rFonts w:ascii="Arial" w:cs="Arial" w:eastAsia="Arial" w:hAnsi="Arial"/>
                <w:b w:val="false"/>
                <w:bCs w:val="false"/>
                <w:i w:val="false"/>
                <w:iCs w:val="false"/>
                <w:color w:val="000000"/>
                <w:sz w:val="16"/>
                <w:szCs w:val="16"/>
              </w:rPr>
              <w:t xml:space="preserve">Unsupervised manifold alignment — no labeled data required</w:t>
            </w:r>
          </w:p>
          <w:p>
            <w:pPr>
              <w:spacing w:after="30" w:before="0"/>
            </w:pPr>
            <w:r>
              <w:rPr>
                <w:rFonts w:ascii="Arial" w:cs="Arial" w:eastAsia="Arial" w:hAnsi="Arial"/>
                <w:b w:val="false"/>
                <w:bCs w:val="false"/>
                <w:i/>
                <w:iCs/>
                <w:color w:val="595959"/>
                <w:sz w:val="14"/>
                <w:szCs w:val="14"/>
              </w:rPr>
              <w:t xml:space="preserve">Nature Biomedical Engineering 2020 — foundational cross-session alignment study</w:t>
            </w:r>
          </w:p>
        </w:tc>
        <w:tc>
          <w:tcPr>
            <w:tcW w:type="dxa" w:w="392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Foundational method for cross-session BCI stability. Manifold alignment preserves ~95% performance without labeled data collection. Addresses one of the major clinical deployment barriers — daily signal drift. Widely cited in subsequent neuroprosthesis work.</w:t>
            </w:r>
          </w:p>
        </w:tc>
      </w:tr>
      <w:tr>
        <w:tc>
          <w:tcPr>
            <w:tcW w:type="dxa" w:w="14400"/>
            <w:gridSpan w:val="7"/>
            <w:tcBorders>
              <w:top w:val="single" w:color="1F4E79" w:sz="4"/>
              <w:left w:val="single" w:color="CCCCCC" w:sz="1"/>
              <w:bottom w:val="single" w:color="1F4E79" w:sz="4"/>
              <w:right w:val="single" w:color="CCCCCC" w:sz="1"/>
            </w:tcBorders>
            <w:shd w:fill="FFF2CC" w:val="clear"/>
            <w:tcMar>
              <w:top w:type="dxa" w:w="60"/>
              <w:left w:type="dxa" w:w="120"/>
              <w:bottom w:type="dxa" w:w="60"/>
              <w:right w:type="dxa" w:w="120"/>
            </w:tcMar>
          </w:tcPr>
          <w:p>
            <w:pPr>
              <w:spacing w:after="0" w:before="0"/>
            </w:pPr>
            <w:r>
              <w:rPr>
                <w:rFonts w:ascii="Arial" w:cs="Arial" w:eastAsia="Arial" w:hAnsi="Arial"/>
                <w:b/>
                <w:bCs/>
                <w:i w:val="false"/>
                <w:iCs w:val="false"/>
                <w:color w:val="FFFFFF"/>
                <w:sz w:val="17"/>
                <w:szCs w:val="17"/>
              </w:rPr>
              <w:t xml:space="preserve">SECTION 3 — CROSS-LANGUAGE GENERALIZATION  (2 studies)  |  Rare — significant gap in the field</w:t>
            </w:r>
          </w:p>
        </w:tc>
      </w:tr>
      <w:tr>
        <w:tc>
          <w:tcPr>
            <w:tcW w:type="dxa" w:w="19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d'Ascoli et al.</w:t>
            </w:r>
          </w:p>
          <w:p>
            <w:pPr>
              <w:spacing w:after="0" w:before="0"/>
            </w:pPr>
            <w:r>
              <w:rPr>
                <w:rFonts w:ascii="Arial" w:cs="Arial" w:eastAsia="Arial" w:hAnsi="Arial"/>
                <w:b w:val="false"/>
                <w:bCs w:val="false"/>
                <w:i w:val="false"/>
                <w:iCs w:val="false"/>
                <w:color w:val="595959"/>
                <w:sz w:val="15"/>
                <w:szCs w:val="15"/>
              </w:rPr>
              <w:t xml:space="preserve">(2025)</w:t>
            </w:r>
          </w:p>
        </w:tc>
        <w:tc>
          <w:tcPr>
            <w:tcW w:type="dxa" w:w="11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EEG / MEG</w:t>
            </w:r>
          </w:p>
        </w:tc>
        <w:tc>
          <w:tcPr>
            <w:tcW w:type="dxa" w:w="68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1F4E79"/>
                <w:sz w:val="16"/>
                <w:szCs w:val="16"/>
              </w:rPr>
              <w:t xml:space="preserve">723</w:t>
            </w:r>
          </w:p>
        </w:tc>
        <w:tc>
          <w:tcPr>
            <w:tcW w:type="dxa" w:w="13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843C0C"/>
                <w:sz w:val="15"/>
                <w:szCs w:val="15"/>
              </w:rPr>
              <w:t xml:space="preserve">Cross-language
</w:t>
            </w:r>
            <w:r>
              <w:rPr>
                <w:rFonts w:ascii="Arial" w:cs="Arial" w:eastAsia="Arial" w:hAnsi="Arial"/>
                <w:b w:val="false"/>
                <w:bCs w:val="false"/>
                <w:i w:val="false"/>
                <w:iCs w:val="false"/>
                <w:color w:val="595959"/>
                <w:sz w:val="14"/>
                <w:szCs w:val="14"/>
              </w:rPr>
              <w:t xml:space="preserve">(+ cross-participant)</w:t>
            </w:r>
          </w:p>
        </w:tc>
        <w:tc>
          <w:tcPr>
            <w:tcW w:type="dxa" w:w="24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Single CNN+Transformer architecture applied across English, French, and Dutch speech datasets</w:t>
            </w:r>
          </w:p>
          <w:p>
            <w:pPr>
              <w:spacing w:after="30" w:before="0"/>
              <w:ind w:left="220" w:hanging="200"/>
            </w:pPr>
            <w:r>
              <w:rPr>
                <w:rFonts w:ascii="Arial" w:cs="Arial" w:eastAsia="Arial" w:hAnsi="Arial"/>
                <w:b w:val="false"/>
                <w:bCs w:val="false"/>
                <w:i w:val="false"/>
                <w:iCs w:val="false"/>
                <w:color w:val="000000"/>
                <w:sz w:val="15"/>
                <w:szCs w:val="15"/>
              </w:rPr>
              <w:t xml:space="preserve">•  No language-specific architectural modifications — same model for all 3 languages</w:t>
            </w:r>
          </w:p>
          <w:p>
            <w:pPr>
              <w:spacing w:after="30" w:before="0"/>
              <w:ind w:left="220" w:hanging="200"/>
            </w:pPr>
            <w:r>
              <w:rPr>
                <w:rFonts w:ascii="Arial" w:cs="Arial" w:eastAsia="Arial" w:hAnsi="Arial"/>
                <w:b w:val="false"/>
                <w:bCs w:val="false"/>
                <w:i w:val="false"/>
                <w:iCs w:val="false"/>
                <w:color w:val="000000"/>
                <w:sz w:val="15"/>
                <w:szCs w:val="15"/>
              </w:rPr>
              <w:t xml:space="preserve">•  Performance scales with training data size across all three languages independently</w:t>
            </w:r>
          </w:p>
        </w:tc>
        <w:tc>
          <w:tcPr>
            <w:tcW w:type="dxa" w:w="31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Languages: </w:t>
            </w:r>
            <w:r>
              <w:rPr>
                <w:rFonts w:ascii="Arial" w:cs="Arial" w:eastAsia="Arial" w:hAnsi="Arial"/>
                <w:b w:val="false"/>
                <w:bCs w:val="false"/>
                <w:i w:val="false"/>
                <w:iCs w:val="false"/>
                <w:color w:val="000000"/>
                <w:sz w:val="16"/>
                <w:szCs w:val="16"/>
              </w:rPr>
              <w:t xml:space="preserve">English, French, Dutch — 3 typologically distinct languages</w:t>
            </w:r>
          </w:p>
          <w:p>
            <w:pPr>
              <w:spacing w:after="40" w:before="0"/>
            </w:pPr>
            <w:r>
              <w:rPr>
                <w:rFonts w:ascii="Arial" w:cs="Arial" w:eastAsia="Arial" w:hAnsi="Arial"/>
                <w:b/>
                <w:bCs/>
                <w:i w:val="false"/>
                <w:iCs w:val="false"/>
                <w:color w:val="000000"/>
                <w:sz w:val="16"/>
                <w:szCs w:val="16"/>
              </w:rPr>
              <w:t xml:space="preserve">Architecture: </w:t>
            </w:r>
            <w:r>
              <w:rPr>
                <w:rFonts w:ascii="Arial" w:cs="Arial" w:eastAsia="Arial" w:hAnsi="Arial"/>
                <w:b w:val="false"/>
                <w:bCs w:val="false"/>
                <w:i w:val="false"/>
                <w:iCs w:val="false"/>
                <w:color w:val="000000"/>
                <w:sz w:val="16"/>
                <w:szCs w:val="16"/>
              </w:rPr>
              <w:t xml:space="preserve">Single model generalizes across all three language datasets</w:t>
            </w:r>
          </w:p>
          <w:p>
            <w:pPr>
              <w:spacing w:after="40" w:before="0"/>
            </w:pPr>
            <w:r>
              <w:rPr>
                <w:rFonts w:ascii="Arial" w:cs="Arial" w:eastAsia="Arial" w:hAnsi="Arial"/>
                <w:b/>
                <w:bCs/>
                <w:i w:val="false"/>
                <w:iCs w:val="false"/>
                <w:color w:val="000000"/>
                <w:sz w:val="16"/>
                <w:szCs w:val="16"/>
              </w:rPr>
              <w:t xml:space="preserve">Scaling: </w:t>
            </w:r>
            <w:r>
              <w:rPr>
                <w:rFonts w:ascii="Arial" w:cs="Arial" w:eastAsia="Arial" w:hAnsi="Arial"/>
                <w:b w:val="false"/>
                <w:bCs w:val="false"/>
                <w:i w:val="false"/>
                <w:iCs w:val="false"/>
                <w:color w:val="000000"/>
                <w:sz w:val="16"/>
                <w:szCs w:val="16"/>
              </w:rPr>
              <w:t xml:space="preserve">Performance improves consistently with more data per language</w:t>
            </w:r>
          </w:p>
          <w:p>
            <w:pPr>
              <w:spacing w:after="30" w:before="0"/>
            </w:pPr>
            <w:r>
              <w:rPr>
                <w:rFonts w:ascii="Arial" w:cs="Arial" w:eastAsia="Arial" w:hAnsi="Arial"/>
                <w:b w:val="false"/>
                <w:bCs w:val="false"/>
                <w:i/>
                <w:iCs/>
                <w:color w:val="595959"/>
                <w:sz w:val="14"/>
                <w:szCs w:val="14"/>
              </w:rPr>
              <w:t xml:space="preserve">Nature Communications 2025 — only systematic cross-language non-invasive decoding study in this review</w:t>
            </w:r>
          </w:p>
        </w:tc>
        <w:tc>
          <w:tcPr>
            <w:tcW w:type="dxa" w:w="392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Only study in this review with explicit cross-language evaluation at scale. Single model architecture works across English, French, and Dutch without language-specific tuning. Critical gap addressed — the field has been almost exclusively English-language.</w:t>
            </w:r>
          </w:p>
        </w:tc>
      </w:tr>
      <w:tr>
        <w:tc>
          <w:tcPr>
            <w:tcW w:type="dxa" w:w="19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Zhu et al.</w:t>
            </w:r>
          </w:p>
          <w:p>
            <w:pPr>
              <w:spacing w:after="0" w:before="0"/>
            </w:pPr>
            <w:r>
              <w:rPr>
                <w:rFonts w:ascii="Arial" w:cs="Arial" w:eastAsia="Arial" w:hAnsi="Arial"/>
                <w:b w:val="false"/>
                <w:bCs w:val="false"/>
                <w:i w:val="false"/>
                <w:iCs w:val="false"/>
                <w:color w:val="595959"/>
                <w:sz w:val="15"/>
                <w:szCs w:val="15"/>
              </w:rPr>
              <w:t xml:space="preserve">(2021)</w:t>
            </w:r>
          </w:p>
        </w:tc>
        <w:tc>
          <w:tcPr>
            <w:tcW w:type="dxa" w:w="11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40" w:before="0"/>
            </w:pPr>
            <w:r>
              <w:rPr>
                <w:rFonts w:ascii="Arial" w:cs="Arial" w:eastAsia="Arial" w:hAnsi="Arial"/>
                <w:b w:val="false"/>
                <w:bCs w:val="false"/>
                <w:i w:val="false"/>
                <w:iCs w:val="false"/>
                <w:color w:val="000000"/>
                <w:sz w:val="15"/>
                <w:szCs w:val="15"/>
              </w:rPr>
              <w:t xml:space="preserve">HD-sEMG</w:t>
            </w:r>
          </w:p>
        </w:tc>
        <w:tc>
          <w:tcPr>
            <w:tcW w:type="dxa" w:w="68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000000"/>
                <w:sz w:val="15"/>
                <w:szCs w:val="15"/>
              </w:rPr>
              <w:t xml:space="preserve">Multiple</w:t>
            </w:r>
          </w:p>
        </w:tc>
        <w:tc>
          <w:tcPr>
            <w:tcW w:type="dxa" w:w="13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843C0C"/>
                <w:sz w:val="15"/>
                <w:szCs w:val="15"/>
              </w:rPr>
              <w:t xml:space="preserve">Cross-language
</w:t>
            </w:r>
            <w:r>
              <w:rPr>
                <w:rFonts w:ascii="Arial" w:cs="Arial" w:eastAsia="Arial" w:hAnsi="Arial"/>
                <w:b w:val="false"/>
                <w:bCs w:val="false"/>
                <w:i w:val="false"/>
                <w:iCs w:val="false"/>
                <w:color w:val="595959"/>
                <w:sz w:val="14"/>
                <w:szCs w:val="14"/>
              </w:rPr>
              <w:t xml:space="preserve">(implicit: EN+ZH)</w:t>
            </w:r>
          </w:p>
        </w:tc>
        <w:tc>
          <w:tcPr>
            <w:tcW w:type="dxa" w:w="24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CNN-based HD-sEMG electrode configuration optimization applied to both English and Chinese digit classification</w:t>
            </w:r>
          </w:p>
          <w:p>
            <w:pPr>
              <w:spacing w:after="30" w:before="0"/>
              <w:ind w:left="220" w:hanging="200"/>
            </w:pPr>
            <w:r>
              <w:rPr>
                <w:rFonts w:ascii="Arial" w:cs="Arial" w:eastAsia="Arial" w:hAnsi="Arial"/>
                <w:b w:val="false"/>
                <w:bCs w:val="false"/>
                <w:i w:val="false"/>
                <w:iCs w:val="false"/>
                <w:color w:val="000000"/>
                <w:sz w:val="15"/>
                <w:szCs w:val="15"/>
              </w:rPr>
              <w:t xml:space="preserve">•  Single optimized electrode configuration performs across two typologically distinct languages</w:t>
            </w:r>
          </w:p>
          <w:p>
            <w:pPr>
              <w:spacing w:after="30" w:before="0"/>
              <w:ind w:left="220" w:hanging="200"/>
            </w:pPr>
            <w:r>
              <w:rPr>
                <w:rFonts w:ascii="Arial" w:cs="Arial" w:eastAsia="Arial" w:hAnsi="Arial"/>
                <w:b w:val="false"/>
                <w:bCs w:val="false"/>
                <w:i w:val="false"/>
                <w:iCs w:val="false"/>
                <w:color w:val="000000"/>
                <w:sz w:val="15"/>
                <w:szCs w:val="15"/>
              </w:rPr>
              <w:t xml:space="preserve">•  Tests generalizability of peripheral articulatory representation across language families</w:t>
            </w:r>
          </w:p>
        </w:tc>
        <w:tc>
          <w:tcPr>
            <w:tcW w:type="dxa" w:w="31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Accuracy: </w:t>
            </w:r>
            <w:r>
              <w:rPr>
                <w:rFonts w:ascii="Arial" w:cs="Arial" w:eastAsia="Arial" w:hAnsi="Arial"/>
                <w:b w:val="false"/>
                <w:bCs w:val="false"/>
                <w:i w:val="false"/>
                <w:iCs w:val="false"/>
                <w:color w:val="000000"/>
                <w:sz w:val="16"/>
                <w:szCs w:val="16"/>
              </w:rPr>
              <w:t xml:space="preserve">87–90% classification accuracy for both English and Chinese digit sets</w:t>
            </w:r>
          </w:p>
          <w:p>
            <w:pPr>
              <w:spacing w:after="40" w:before="0"/>
            </w:pPr>
            <w:r>
              <w:rPr>
                <w:rFonts w:ascii="Arial" w:cs="Arial" w:eastAsia="Arial" w:hAnsi="Arial"/>
                <w:b/>
                <w:bCs/>
                <w:i w:val="false"/>
                <w:iCs w:val="false"/>
                <w:color w:val="000000"/>
                <w:sz w:val="16"/>
                <w:szCs w:val="16"/>
              </w:rPr>
              <w:t xml:space="preserve">Cross-language: </w:t>
            </w:r>
            <w:r>
              <w:rPr>
                <w:rFonts w:ascii="Arial" w:cs="Arial" w:eastAsia="Arial" w:hAnsi="Arial"/>
                <w:b w:val="false"/>
                <w:bCs w:val="false"/>
                <w:i w:val="false"/>
                <w:iCs w:val="false"/>
                <w:color w:val="000000"/>
                <w:sz w:val="16"/>
                <w:szCs w:val="16"/>
              </w:rPr>
              <w:t xml:space="preserve">Single electrode configuration performs comparably for both languages</w:t>
            </w:r>
          </w:p>
          <w:p>
            <w:pPr>
              <w:spacing w:after="30" w:before="0"/>
            </w:pPr>
            <w:r>
              <w:rPr>
                <w:rFonts w:ascii="Arial" w:cs="Arial" w:eastAsia="Arial" w:hAnsi="Arial"/>
                <w:b w:val="false"/>
                <w:bCs w:val="false"/>
                <w:i/>
                <w:iCs/>
                <w:color w:val="595959"/>
                <w:sz w:val="14"/>
                <w:szCs w:val="14"/>
              </w:rPr>
              <w:t xml:space="preserve">Journal of Neural Engineering 2021 — English+Chinese HD-sEMG digit classification</w:t>
            </w:r>
          </w:p>
        </w:tc>
        <w:tc>
          <w:tcPr>
            <w:tcW w:type="dxa" w:w="392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Implicit cross-language evaluation: same HD-sEMG electrode configuration achieves 87–90% accuracy for both English and Chinese digit classification. Suggests peripheral articulatory representations are partially language-independent. Only HD-sEMG cross-language study in this review.</w:t>
            </w:r>
          </w:p>
        </w:tc>
      </w:tr>
      <w:tr>
        <w:tc>
          <w:tcPr>
            <w:tcW w:type="dxa" w:w="14400"/>
            <w:gridSpan w:val="7"/>
            <w:tcBorders>
              <w:top w:val="single" w:color="1F4E79" w:sz="4"/>
              <w:left w:val="single" w:color="CCCCCC" w:sz="1"/>
              <w:bottom w:val="single" w:color="1F4E79" w:sz="4"/>
              <w:right w:val="single" w:color="CCCCCC" w:sz="1"/>
            </w:tcBorders>
            <w:shd w:fill="FCE4D6" w:val="clear"/>
            <w:tcMar>
              <w:top w:type="dxa" w:w="60"/>
              <w:left w:type="dxa" w:w="120"/>
              <w:bottom w:type="dxa" w:w="60"/>
              <w:right w:type="dxa" w:w="120"/>
            </w:tcMar>
          </w:tcPr>
          <w:p>
            <w:pPr>
              <w:spacing w:after="0" w:before="0"/>
            </w:pPr>
            <w:r>
              <w:rPr>
                <w:rFonts w:ascii="Arial" w:cs="Arial" w:eastAsia="Arial" w:hAnsi="Arial"/>
                <w:b/>
                <w:bCs/>
                <w:i w:val="false"/>
                <w:iCs w:val="false"/>
                <w:color w:val="FFFFFF"/>
                <w:sz w:val="17"/>
                <w:szCs w:val="17"/>
              </w:rPr>
              <w:t xml:space="preserve">SECTION 4 — CROSS-MODAL AND CROSS-TASK GENERALIZATION  (5 studies)  |  Transfer between speech modes or recording modalities</w:t>
            </w:r>
          </w:p>
        </w:tc>
      </w:tr>
      <w:tr>
        <w:tc>
          <w:tcPr>
            <w:tcW w:type="dxa" w:w="19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de Borman et al.</w:t>
            </w:r>
          </w:p>
          <w:p>
            <w:pPr>
              <w:spacing w:after="0" w:before="0"/>
            </w:pPr>
            <w:r>
              <w:rPr>
                <w:rFonts w:ascii="Arial" w:cs="Arial" w:eastAsia="Arial" w:hAnsi="Arial"/>
                <w:b w:val="false"/>
                <w:bCs w:val="false"/>
                <w:i w:val="false"/>
                <w:iCs w:val="false"/>
                <w:color w:val="595959"/>
                <w:sz w:val="15"/>
                <w:szCs w:val="15"/>
              </w:rPr>
              <w:t xml:space="preserve">(2024)</w:t>
            </w:r>
          </w:p>
        </w:tc>
        <w:tc>
          <w:tcPr>
            <w:tcW w:type="dxa" w:w="11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ECoG</w:t>
            </w:r>
          </w:p>
        </w:tc>
        <w:tc>
          <w:tcPr>
            <w:tcW w:type="dxa" w:w="68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000000"/>
                <w:sz w:val="15"/>
                <w:szCs w:val="15"/>
              </w:rPr>
              <w:t xml:space="preserve">16</w:t>
            </w:r>
          </w:p>
        </w:tc>
        <w:tc>
          <w:tcPr>
            <w:tcW w:type="dxa" w:w="13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843C0C"/>
                <w:sz w:val="15"/>
                <w:szCs w:val="15"/>
              </w:rPr>
              <w:t xml:space="preserve">Cross-modal
</w:t>
            </w:r>
            <w:r>
              <w:rPr>
                <w:rFonts w:ascii="Arial" w:cs="Arial" w:eastAsia="Arial" w:hAnsi="Arial"/>
                <w:b w:val="false"/>
                <w:bCs w:val="false"/>
                <w:i w:val="false"/>
                <w:iCs w:val="false"/>
                <w:color w:val="595959"/>
                <w:sz w:val="14"/>
                <w:szCs w:val="14"/>
              </w:rPr>
              <w:t xml:space="preserve">(speech modes)
+
Cross-participant</w:t>
            </w:r>
          </w:p>
        </w:tc>
        <w:tc>
          <w:tcPr>
            <w:tcW w:type="dxa" w:w="24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Linear model trained on one speech mode (overt) transferred to another (imagined or perceived)</w:t>
            </w:r>
          </w:p>
          <w:p>
            <w:pPr>
              <w:spacing w:after="30" w:before="0"/>
              <w:ind w:left="220" w:hanging="200"/>
            </w:pPr>
            <w:r>
              <w:rPr>
                <w:rFonts w:ascii="Arial" w:cs="Arial" w:eastAsia="Arial" w:hAnsi="Arial"/>
                <w:b w:val="false"/>
                <w:bCs w:val="false"/>
                <w:i w:val="false"/>
                <w:iCs w:val="false"/>
                <w:color w:val="000000"/>
                <w:sz w:val="15"/>
                <w:szCs w:val="15"/>
              </w:rPr>
              <w:t xml:space="preserve">•  Speech event detection transferred across performed, perceived, and imagined speech modalities</w:t>
            </w:r>
          </w:p>
          <w:p>
            <w:pPr>
              <w:spacing w:after="30" w:before="0"/>
              <w:ind w:left="220" w:hanging="200"/>
            </w:pPr>
            <w:r>
              <w:rPr>
                <w:rFonts w:ascii="Arial" w:cs="Arial" w:eastAsia="Arial" w:hAnsi="Arial"/>
                <w:b w:val="false"/>
                <w:bCs w:val="false"/>
                <w:i w:val="false"/>
                <w:iCs w:val="false"/>
                <w:color w:val="000000"/>
                <w:sz w:val="15"/>
                <w:szCs w:val="15"/>
              </w:rPr>
              <w:t xml:space="preserve">•  Cross-participant transfer evaluated simultaneously with cross-mode transfer</w:t>
            </w:r>
          </w:p>
          <w:p>
            <w:pPr>
              <w:spacing w:after="30" w:before="0"/>
              <w:ind w:left="220" w:hanging="200"/>
            </w:pPr>
            <w:r>
              <w:rPr>
                <w:rFonts w:ascii="Arial" w:cs="Arial" w:eastAsia="Arial" w:hAnsi="Arial"/>
                <w:b w:val="false"/>
                <w:bCs w:val="false"/>
                <w:i w:val="false"/>
                <w:iCs w:val="false"/>
                <w:color w:val="000000"/>
                <w:sz w:val="15"/>
                <w:szCs w:val="15"/>
              </w:rPr>
              <w:t xml:space="preserve">•  Frequency band contributions differ across speech modes — informs transfer strategy</w:t>
            </w:r>
          </w:p>
        </w:tc>
        <w:tc>
          <w:tcPr>
            <w:tcW w:type="dxa" w:w="31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Detection accuracy: </w:t>
            </w:r>
            <w:r>
              <w:rPr>
                <w:rFonts w:ascii="Arial" w:cs="Arial" w:eastAsia="Arial" w:hAnsi="Arial"/>
                <w:b w:val="false"/>
                <w:bCs w:val="false"/>
                <w:i w:val="false"/>
                <w:iCs w:val="false"/>
                <w:color w:val="000000"/>
                <w:sz w:val="16"/>
                <w:szCs w:val="16"/>
              </w:rPr>
              <w:t xml:space="preserve">Per-electrode and per-subject detection reported across all 16 participants</w:t>
            </w:r>
          </w:p>
          <w:p>
            <w:pPr>
              <w:spacing w:after="40" w:before="0"/>
            </w:pPr>
            <w:r>
              <w:rPr>
                <w:rFonts w:ascii="Arial" w:cs="Arial" w:eastAsia="Arial" w:hAnsi="Arial"/>
                <w:b/>
                <w:bCs/>
                <w:i w:val="false"/>
                <w:iCs w:val="false"/>
                <w:color w:val="000000"/>
                <w:sz w:val="16"/>
                <w:szCs w:val="16"/>
              </w:rPr>
              <w:t xml:space="preserve">Cross-mode: </w:t>
            </w:r>
            <w:r>
              <w:rPr>
                <w:rFonts w:ascii="Arial" w:cs="Arial" w:eastAsia="Arial" w:hAnsi="Arial"/>
                <w:b w:val="false"/>
                <w:bCs w:val="false"/>
                <w:i w:val="false"/>
                <w:iCs w:val="false"/>
                <w:color w:val="000000"/>
                <w:sz w:val="16"/>
                <w:szCs w:val="16"/>
              </w:rPr>
              <w:t xml:space="preserve">Transfer from overt→imagined and overt→perceived quantified</w:t>
            </w:r>
          </w:p>
          <w:p>
            <w:pPr>
              <w:spacing w:after="40" w:before="0"/>
            </w:pPr>
            <w:r>
              <w:rPr>
                <w:rFonts w:ascii="Arial" w:cs="Arial" w:eastAsia="Arial" w:hAnsi="Arial"/>
                <w:b/>
                <w:bCs/>
                <w:i w:val="false"/>
                <w:iCs w:val="false"/>
                <w:color w:val="000000"/>
                <w:sz w:val="16"/>
                <w:szCs w:val="16"/>
              </w:rPr>
              <w:t xml:space="preserve">Finding: </w:t>
            </w:r>
            <w:r>
              <w:rPr>
                <w:rFonts w:ascii="Arial" w:cs="Arial" w:eastAsia="Arial" w:hAnsi="Arial"/>
                <w:b w:val="false"/>
                <w:bCs w:val="false"/>
                <w:i w:val="false"/>
                <w:iCs w:val="false"/>
                <w:color w:val="000000"/>
                <w:sz w:val="16"/>
                <w:szCs w:val="16"/>
              </w:rPr>
              <w:t xml:space="preserve">Different brain regions and spectral bands contribute differentially to each speech mode</w:t>
            </w:r>
          </w:p>
          <w:p>
            <w:pPr>
              <w:spacing w:after="30" w:before="0"/>
            </w:pPr>
            <w:r>
              <w:rPr>
                <w:rFonts w:ascii="Arial" w:cs="Arial" w:eastAsia="Arial" w:hAnsi="Arial"/>
                <w:b w:val="false"/>
                <w:bCs w:val="false"/>
                <w:i/>
                <w:iCs/>
                <w:color w:val="595959"/>
                <w:sz w:val="14"/>
                <w:szCs w:val="14"/>
              </w:rPr>
              <w:t xml:space="preserve">Communications Biology 2024</w:t>
            </w:r>
          </w:p>
        </w:tc>
        <w:tc>
          <w:tcPr>
            <w:tcW w:type="dxa" w:w="392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16-participant ECoG study examining transfer between speech production modes. Overt speech decoders partially transfer to imagined speech but with performance reduction — quantifies the gap. Cross-mode and cross-participant transfer combined in single study.</w:t>
            </w:r>
          </w:p>
        </w:tc>
      </w:tr>
      <w:tr>
        <w:tc>
          <w:tcPr>
            <w:tcW w:type="dxa" w:w="19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Tang &amp; Huth</w:t>
            </w:r>
          </w:p>
          <w:p>
            <w:pPr>
              <w:spacing w:after="0" w:before="0"/>
            </w:pPr>
            <w:r>
              <w:rPr>
                <w:rFonts w:ascii="Arial" w:cs="Arial" w:eastAsia="Arial" w:hAnsi="Arial"/>
                <w:b w:val="false"/>
                <w:bCs w:val="false"/>
                <w:i w:val="false"/>
                <w:iCs w:val="false"/>
                <w:color w:val="595959"/>
                <w:sz w:val="15"/>
                <w:szCs w:val="15"/>
              </w:rPr>
              <w:t xml:space="preserve">(2025)</w:t>
            </w:r>
          </w:p>
        </w:tc>
        <w:tc>
          <w:tcPr>
            <w:tcW w:type="dxa" w:w="11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40" w:before="0"/>
            </w:pPr>
            <w:r>
              <w:rPr>
                <w:rFonts w:ascii="Arial" w:cs="Arial" w:eastAsia="Arial" w:hAnsi="Arial"/>
                <w:b w:val="false"/>
                <w:bCs w:val="false"/>
                <w:i w:val="false"/>
                <w:iCs w:val="false"/>
                <w:color w:val="000000"/>
                <w:sz w:val="15"/>
                <w:szCs w:val="15"/>
              </w:rPr>
              <w:t xml:space="preserve">Multi-modal</w:t>
            </w:r>
          </w:p>
        </w:tc>
        <w:tc>
          <w:tcPr>
            <w:tcW w:type="dxa" w:w="68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000000"/>
                <w:sz w:val="15"/>
                <w:szCs w:val="15"/>
              </w:rPr>
              <w:t xml:space="preserve">Multiple</w:t>
            </w:r>
          </w:p>
        </w:tc>
        <w:tc>
          <w:tcPr>
            <w:tcW w:type="dxa" w:w="13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843C0C"/>
                <w:sz w:val="15"/>
                <w:szCs w:val="15"/>
              </w:rPr>
              <w:t xml:space="preserve">Cross-modal
</w:t>
            </w:r>
            <w:r>
              <w:rPr>
                <w:rFonts w:ascii="Arial" w:cs="Arial" w:eastAsia="Arial" w:hAnsi="Arial"/>
                <w:b w:val="false"/>
                <w:bCs w:val="false"/>
                <w:i w:val="false"/>
                <w:iCs w:val="false"/>
                <w:color w:val="595959"/>
                <w:sz w:val="14"/>
                <w:szCs w:val="14"/>
              </w:rPr>
              <w:t xml:space="preserve">(recording modality)
+
Cross-participant</w:t>
            </w:r>
          </w:p>
        </w:tc>
        <w:tc>
          <w:tcPr>
            <w:tcW w:type="dxa" w:w="24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SSL + Transformer architecture applied simultaneously across EEG, MEG, and fMRI</w:t>
            </w:r>
          </w:p>
          <w:p>
            <w:pPr>
              <w:spacing w:after="30" w:before="0"/>
              <w:ind w:left="220" w:hanging="200"/>
            </w:pPr>
            <w:r>
              <w:rPr>
                <w:rFonts w:ascii="Arial" w:cs="Arial" w:eastAsia="Arial" w:hAnsi="Arial"/>
                <w:b w:val="false"/>
                <w:bCs w:val="false"/>
                <w:i w:val="false"/>
                <w:iCs w:val="false"/>
                <w:color w:val="000000"/>
                <w:sz w:val="15"/>
                <w:szCs w:val="15"/>
              </w:rPr>
              <w:t xml:space="preserve">•  Single model decodes semantic language representations across three non-invasive modalities</w:t>
            </w:r>
          </w:p>
          <w:p>
            <w:pPr>
              <w:spacing w:after="30" w:before="0"/>
              <w:ind w:left="220" w:hanging="200"/>
            </w:pPr>
            <w:r>
              <w:rPr>
                <w:rFonts w:ascii="Arial" w:cs="Arial" w:eastAsia="Arial" w:hAnsi="Arial"/>
                <w:b w:val="false"/>
                <w:bCs w:val="false"/>
                <w:i w:val="false"/>
                <w:iCs w:val="false"/>
                <w:color w:val="000000"/>
                <w:sz w:val="15"/>
                <w:szCs w:val="15"/>
              </w:rPr>
              <w:t xml:space="preserve">•  Cross-participant cross-modal semantic decoding via shared latent representation</w:t>
            </w:r>
          </w:p>
          <w:p>
            <w:pPr>
              <w:spacing w:after="30" w:before="0"/>
              <w:ind w:left="220" w:hanging="200"/>
            </w:pPr>
            <w:r>
              <w:rPr>
                <w:rFonts w:ascii="Arial" w:cs="Arial" w:eastAsia="Arial" w:hAnsi="Arial"/>
                <w:b w:val="false"/>
                <w:bCs w:val="false"/>
                <w:i w:val="false"/>
                <w:iCs w:val="false"/>
                <w:color w:val="000000"/>
                <w:sz w:val="15"/>
                <w:szCs w:val="15"/>
              </w:rPr>
              <w:t xml:space="preserve">•  Each modality provides complementary spatial/temporal coverage of speech language networks</w:t>
            </w:r>
          </w:p>
        </w:tc>
        <w:tc>
          <w:tcPr>
            <w:tcW w:type="dxa" w:w="31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Cross-modal: </w:t>
            </w:r>
            <w:r>
              <w:rPr>
                <w:rFonts w:ascii="Arial" w:cs="Arial" w:eastAsia="Arial" w:hAnsi="Arial"/>
                <w:b w:val="false"/>
                <w:bCs w:val="false"/>
                <w:i w:val="false"/>
                <w:iCs w:val="false"/>
                <w:color w:val="000000"/>
                <w:sz w:val="16"/>
                <w:szCs w:val="16"/>
              </w:rPr>
              <w:t xml:space="preserve">Semantic accuracy demonstrated across EEG, MEG, and fMRI simultaneously</w:t>
            </w:r>
          </w:p>
          <w:p>
            <w:pPr>
              <w:spacing w:after="40" w:before="0"/>
            </w:pPr>
            <w:r>
              <w:rPr>
                <w:rFonts w:ascii="Arial" w:cs="Arial" w:eastAsia="Arial" w:hAnsi="Arial"/>
                <w:b/>
                <w:bCs/>
                <w:i w:val="false"/>
                <w:iCs w:val="false"/>
                <w:color w:val="000000"/>
                <w:sz w:val="16"/>
                <w:szCs w:val="16"/>
              </w:rPr>
              <w:t xml:space="preserve">Cross-participant: </w:t>
            </w:r>
            <w:r>
              <w:rPr>
                <w:rFonts w:ascii="Arial" w:cs="Arial" w:eastAsia="Arial" w:hAnsi="Arial"/>
                <w:b w:val="false"/>
                <w:bCs w:val="false"/>
                <w:i w:val="false"/>
                <w:iCs w:val="false"/>
                <w:color w:val="000000"/>
                <w:sz w:val="16"/>
                <w:szCs w:val="16"/>
              </w:rPr>
              <w:t xml:space="preserve">Cross-participant generalization demonstrated alongside cross-modal</w:t>
            </w:r>
          </w:p>
          <w:p>
            <w:pPr>
              <w:spacing w:after="30" w:before="0"/>
            </w:pPr>
            <w:r>
              <w:rPr>
                <w:rFonts w:ascii="Arial" w:cs="Arial" w:eastAsia="Arial" w:hAnsi="Arial"/>
                <w:b w:val="false"/>
                <w:bCs w:val="false"/>
                <w:i/>
                <w:iCs/>
                <w:color w:val="595959"/>
                <w:sz w:val="14"/>
                <w:szCs w:val="14"/>
              </w:rPr>
              <w:t xml:space="preserve">Current Biology 2025</w:t>
            </w:r>
          </w:p>
        </w:tc>
        <w:tc>
          <w:tcPr>
            <w:tcW w:type="dxa" w:w="392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First systematic cross-participant AND cross-modal semantic decoding across EEG, MEG, and fMRI simultaneously. Demonstrates that shared semantic neural representations generalize both across individuals and across recording modalities — critical evidence for modality-agnostic decoder design.</w:t>
            </w:r>
          </w:p>
        </w:tc>
      </w:tr>
      <w:tr>
        <w:tc>
          <w:tcPr>
            <w:tcW w:type="dxa" w:w="19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Martin et al.</w:t>
            </w:r>
          </w:p>
          <w:p>
            <w:pPr>
              <w:spacing w:after="0" w:before="0"/>
            </w:pPr>
            <w:r>
              <w:rPr>
                <w:rFonts w:ascii="Arial" w:cs="Arial" w:eastAsia="Arial" w:hAnsi="Arial"/>
                <w:b w:val="false"/>
                <w:bCs w:val="false"/>
                <w:i w:val="false"/>
                <w:iCs w:val="false"/>
                <w:color w:val="595959"/>
                <w:sz w:val="15"/>
                <w:szCs w:val="15"/>
              </w:rPr>
              <w:t xml:space="preserve">(2025)</w:t>
            </w:r>
          </w:p>
        </w:tc>
        <w:tc>
          <w:tcPr>
            <w:tcW w:type="dxa" w:w="11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ECoG</w:t>
            </w:r>
          </w:p>
        </w:tc>
        <w:tc>
          <w:tcPr>
            <w:tcW w:type="dxa" w:w="68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000000"/>
                <w:sz w:val="15"/>
                <w:szCs w:val="15"/>
              </w:rPr>
              <w:t xml:space="preserve">Multiple</w:t>
            </w:r>
          </w:p>
        </w:tc>
        <w:tc>
          <w:tcPr>
            <w:tcW w:type="dxa" w:w="13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843C0C"/>
                <w:sz w:val="15"/>
                <w:szCs w:val="15"/>
              </w:rPr>
              <w:t xml:space="preserve">Cross-modal
</w:t>
            </w:r>
            <w:r>
              <w:rPr>
                <w:rFonts w:ascii="Arial" w:cs="Arial" w:eastAsia="Arial" w:hAnsi="Arial"/>
                <w:b w:val="false"/>
                <w:bCs w:val="false"/>
                <w:i w:val="false"/>
                <w:iCs w:val="false"/>
                <w:color w:val="595959"/>
                <w:sz w:val="14"/>
                <w:szCs w:val="14"/>
              </w:rPr>
              <w:t xml:space="preserve">(electrode config)
+
Cross-participant</w:t>
            </w:r>
          </w:p>
        </w:tc>
        <w:tc>
          <w:tcPr>
            <w:tcW w:type="dxa" w:w="24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CNN-based speech mode classifier transfers across electrode configurations and participant anatomies</w:t>
            </w:r>
          </w:p>
          <w:p>
            <w:pPr>
              <w:spacing w:after="30" w:before="0"/>
              <w:ind w:left="220" w:hanging="200"/>
            </w:pPr>
            <w:r>
              <w:rPr>
                <w:rFonts w:ascii="Arial" w:cs="Arial" w:eastAsia="Arial" w:hAnsi="Arial"/>
                <w:b w:val="false"/>
                <w:bCs w:val="false"/>
                <w:i w:val="false"/>
                <w:iCs w:val="false"/>
                <w:color w:val="000000"/>
                <w:sz w:val="15"/>
                <w:szCs w:val="15"/>
              </w:rPr>
              <w:t xml:space="preserve">•  Cross-electrode transfer using domain adaptation</w:t>
            </w:r>
          </w:p>
          <w:p>
            <w:pPr>
              <w:spacing w:after="30" w:before="0"/>
              <w:ind w:left="220" w:hanging="200"/>
            </w:pPr>
            <w:r>
              <w:rPr>
                <w:rFonts w:ascii="Arial" w:cs="Arial" w:eastAsia="Arial" w:hAnsi="Arial"/>
                <w:b w:val="false"/>
                <w:bCs w:val="false"/>
                <w:i w:val="false"/>
                <w:iCs w:val="false"/>
                <w:color w:val="000000"/>
                <w:sz w:val="15"/>
                <w:szCs w:val="15"/>
              </w:rPr>
              <w:t xml:space="preserve">•  Cross-participant transfer evaluated across multiple ECoG electrode placements</w:t>
            </w:r>
          </w:p>
        </w:tc>
        <w:tc>
          <w:tcPr>
            <w:tcW w:type="dxa" w:w="31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Transfer: </w:t>
            </w:r>
            <w:r>
              <w:rPr>
                <w:rFonts w:ascii="Arial" w:cs="Arial" w:eastAsia="Arial" w:hAnsi="Arial"/>
                <w:b w:val="false"/>
                <w:bCs w:val="false"/>
                <w:i w:val="false"/>
                <w:iCs w:val="false"/>
                <w:color w:val="000000"/>
                <w:sz w:val="16"/>
                <w:szCs w:val="16"/>
              </w:rPr>
              <w:t xml:space="preserve">Classification accuracy maintained across electrode configurations</w:t>
            </w:r>
          </w:p>
          <w:p>
            <w:pPr>
              <w:spacing w:after="40" w:before="0"/>
            </w:pPr>
            <w:r>
              <w:rPr>
                <w:rFonts w:ascii="Arial" w:cs="Arial" w:eastAsia="Arial" w:hAnsi="Arial"/>
                <w:b/>
                <w:bCs/>
                <w:i w:val="false"/>
                <w:iCs w:val="false"/>
                <w:color w:val="000000"/>
                <w:sz w:val="16"/>
                <w:szCs w:val="16"/>
              </w:rPr>
              <w:t xml:space="preserve">Cross-participant: </w:t>
            </w:r>
            <w:r>
              <w:rPr>
                <w:rFonts w:ascii="Arial" w:cs="Arial" w:eastAsia="Arial" w:hAnsi="Arial"/>
                <w:b w:val="false"/>
                <w:bCs w:val="false"/>
                <w:i w:val="false"/>
                <w:iCs w:val="false"/>
                <w:color w:val="000000"/>
                <w:sz w:val="16"/>
                <w:szCs w:val="16"/>
              </w:rPr>
              <w:t xml:space="preserve">Transfer across participant anatomical variability demonstrated</w:t>
            </w:r>
          </w:p>
          <w:p>
            <w:pPr>
              <w:spacing w:after="30" w:before="0"/>
            </w:pPr>
            <w:r>
              <w:rPr>
                <w:rFonts w:ascii="Arial" w:cs="Arial" w:eastAsia="Arial" w:hAnsi="Arial"/>
                <w:b w:val="false"/>
                <w:bCs w:val="false"/>
                <w:i/>
                <w:iCs/>
                <w:color w:val="595959"/>
                <w:sz w:val="14"/>
                <w:szCs w:val="14"/>
              </w:rPr>
              <w:t xml:space="preserve">Journal of Neural Engineering 2025 — early access</w:t>
            </w:r>
          </w:p>
        </w:tc>
        <w:tc>
          <w:tcPr>
            <w:tcW w:type="dxa" w:w="392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Cross-electrode and cross-participant transfer for ECoG speech mode classification. Addresses the practical clinical challenge that electrode placement varies across participants. CNN domain adaptation enables generalization across anatomical variability.</w:t>
            </w:r>
          </w:p>
        </w:tc>
      </w:tr>
      <w:tr>
        <w:tc>
          <w:tcPr>
            <w:tcW w:type="dxa" w:w="19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000000"/>
                <w:sz w:val="16"/>
                <w:szCs w:val="16"/>
              </w:rPr>
              <w:t xml:space="preserve">Alonso-Vazquez et al.</w:t>
            </w:r>
          </w:p>
          <w:p>
            <w:pPr>
              <w:spacing w:after="0" w:before="0"/>
            </w:pPr>
            <w:r>
              <w:rPr>
                <w:rFonts w:ascii="Arial" w:cs="Arial" w:eastAsia="Arial" w:hAnsi="Arial"/>
                <w:b w:val="false"/>
                <w:bCs w:val="false"/>
                <w:i w:val="false"/>
                <w:iCs w:val="false"/>
                <w:color w:val="595959"/>
                <w:sz w:val="15"/>
                <w:szCs w:val="15"/>
              </w:rPr>
              <w:t xml:space="preserve">(2025)</w:t>
            </w:r>
          </w:p>
        </w:tc>
        <w:tc>
          <w:tcPr>
            <w:tcW w:type="dxa" w:w="11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EEG</w:t>
            </w:r>
          </w:p>
        </w:tc>
        <w:tc>
          <w:tcPr>
            <w:tcW w:type="dxa" w:w="68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Not reported</w:t>
            </w:r>
          </w:p>
        </w:tc>
        <w:tc>
          <w:tcPr>
            <w:tcW w:type="dxa" w:w="13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843C0C"/>
                <w:sz w:val="15"/>
                <w:szCs w:val="15"/>
              </w:rPr>
              <w:t xml:space="preserve">Cross-modal
(task: overt→imagined)</w:t>
            </w:r>
          </w:p>
        </w:tc>
        <w:tc>
          <w:tcPr>
            <w:tcW w:type="dxa" w:w="24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30" w:before="0"/>
              <w:ind w:left="220" w:hanging="200"/>
            </w:pPr>
            <w:r>
              <w:rPr>
                <w:rFonts w:ascii="Arial" w:cs="Arial" w:eastAsia="Arial" w:hAnsi="Arial"/>
                <w:b w:val="false"/>
                <w:bCs w:val="false"/>
                <w:i w:val="false"/>
                <w:iCs w:val="false"/>
                <w:color w:val="000000"/>
                <w:sz w:val="15"/>
                <w:szCs w:val="15"/>
              </w:rPr>
              <w:t xml:space="preserve">•  Multi-condition EEG data used to improve imagined speech decoding via pronounced speech transfer</w:t>
            </w:r>
          </w:p>
          <w:p>
            <w:pPr>
              <w:spacing w:after="30" w:before="0"/>
              <w:ind w:left="220" w:hanging="200"/>
            </w:pPr>
            <w:r>
              <w:rPr>
                <w:rFonts w:ascii="Arial" w:cs="Arial" w:eastAsia="Arial" w:hAnsi="Arial"/>
                <w:b w:val="false"/>
                <w:bCs w:val="false"/>
                <w:i w:val="false"/>
                <w:iCs w:val="false"/>
                <w:color w:val="000000"/>
                <w:sz w:val="15"/>
                <w:szCs w:val="15"/>
              </w:rPr>
              <w:t xml:space="preserve">•  Pronounced (overt) speech EEG data augments imagined speech decoding via domain adaptation</w:t>
            </w:r>
          </w:p>
          <w:p>
            <w:pPr>
              <w:spacing w:after="30" w:before="0"/>
              <w:ind w:left="220" w:hanging="200"/>
            </w:pPr>
            <w:r>
              <w:rPr>
                <w:rFonts w:ascii="Arial" w:cs="Arial" w:eastAsia="Arial" w:hAnsi="Arial"/>
                <w:b w:val="false"/>
                <w:bCs w:val="false"/>
                <w:i w:val="false"/>
                <w:iCs w:val="false"/>
                <w:color w:val="000000"/>
                <w:sz w:val="15"/>
                <w:szCs w:val="15"/>
              </w:rPr>
              <w:t xml:space="preserve">•  Transfer learning from data-rich overt condition to data-scarce imagined condition</w:t>
            </w:r>
          </w:p>
        </w:tc>
        <w:tc>
          <w:tcPr>
            <w:tcW w:type="dxa" w:w="31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40" w:before="0"/>
            </w:pPr>
            <w:r>
              <w:rPr>
                <w:rFonts w:ascii="Arial" w:cs="Arial" w:eastAsia="Arial" w:hAnsi="Arial"/>
                <w:b/>
                <w:bCs/>
                <w:i w:val="false"/>
                <w:iCs w:val="false"/>
                <w:color w:val="000000"/>
                <w:sz w:val="16"/>
                <w:szCs w:val="16"/>
              </w:rPr>
              <w:t xml:space="preserve">Transfer: </w:t>
            </w:r>
            <w:r>
              <w:rPr>
                <w:rFonts w:ascii="Arial" w:cs="Arial" w:eastAsia="Arial" w:hAnsi="Arial"/>
                <w:b w:val="false"/>
                <w:bCs w:val="false"/>
                <w:i w:val="false"/>
                <w:iCs w:val="false"/>
                <w:color w:val="000000"/>
                <w:sz w:val="16"/>
                <w:szCs w:val="16"/>
              </w:rPr>
              <w:t xml:space="preserve">Accuracy improvement for imagined speech decoding when using multi-condition data</w:t>
            </w:r>
          </w:p>
          <w:p>
            <w:pPr>
              <w:spacing w:after="40" w:before="0"/>
            </w:pPr>
            <w:r>
              <w:rPr>
                <w:rFonts w:ascii="Arial" w:cs="Arial" w:eastAsia="Arial" w:hAnsi="Arial"/>
                <w:b/>
                <w:bCs/>
                <w:i w:val="false"/>
                <w:iCs w:val="false"/>
                <w:color w:val="000000"/>
                <w:sz w:val="16"/>
                <w:szCs w:val="16"/>
              </w:rPr>
              <w:t xml:space="preserve">Method: </w:t>
            </w:r>
            <w:r>
              <w:rPr>
                <w:rFonts w:ascii="Arial" w:cs="Arial" w:eastAsia="Arial" w:hAnsi="Arial"/>
                <w:b w:val="false"/>
                <w:bCs w:val="false"/>
                <w:i w:val="false"/>
                <w:iCs w:val="false"/>
                <w:color w:val="000000"/>
                <w:sz w:val="16"/>
                <w:szCs w:val="16"/>
              </w:rPr>
              <w:t xml:space="preserve">Overt→imagined speech transfer via domain adaptation and data augmentation</w:t>
            </w:r>
          </w:p>
          <w:p>
            <w:pPr>
              <w:spacing w:after="30" w:before="0"/>
            </w:pPr>
            <w:r>
              <w:rPr>
                <w:rFonts w:ascii="Arial" w:cs="Arial" w:eastAsia="Arial" w:hAnsi="Arial"/>
                <w:b w:val="false"/>
                <w:bCs w:val="false"/>
                <w:i/>
                <w:iCs/>
                <w:color w:val="595959"/>
                <w:sz w:val="14"/>
                <w:szCs w:val="14"/>
              </w:rPr>
              <w:t xml:space="preserve">Frontiers in Neuroinformatics 2025</w:t>
            </w:r>
          </w:p>
        </w:tc>
        <w:tc>
          <w:tcPr>
            <w:tcW w:type="dxa" w:w="392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rFonts w:ascii="Arial" w:cs="Arial" w:eastAsia="Arial" w:hAnsi="Arial"/>
                <w:b w:val="false"/>
                <w:bCs w:val="false"/>
                <w:i w:val="false"/>
                <w:iCs w:val="false"/>
                <w:color w:val="000000"/>
                <w:sz w:val="15"/>
                <w:szCs w:val="15"/>
              </w:rPr>
              <w:t xml:space="preserve">Addresses data scarcity in imagined speech by transferring from the richer overt speech condition. Overt speech data is easier to collect and label — transferring representations to imagined speech reduces calibration burden. Important for clinical applications where imagined speech is the target but overt is available for training.</w:t>
            </w:r>
          </w:p>
        </w:tc>
      </w:tr>
    </w:tbl>
    <w:p>
      <w:pPr>
        <w:spacing w:after="0" w:before="120"/>
      </w:pPr>
      <w:r>
        <w:rPr>
          <w:rFonts w:ascii="Arial" w:cs="Arial" w:eastAsia="Arial" w:hAnsi="Arial"/>
          <w:b/>
          <w:bCs/>
          <w:i w:val="false"/>
          <w:iCs w:val="false"/>
          <w:color w:val="000000"/>
          <w:sz w:val="16"/>
          <w:szCs w:val="16"/>
        </w:rPr>
        <w:t xml:space="preserve">Notes. </w:t>
      </w:r>
      <w:r>
        <w:rPr>
          <w:rFonts w:ascii="Arial" w:cs="Arial" w:eastAsia="Arial" w:hAnsi="Arial"/>
          <w:b w:val="false"/>
          <w:bCs w:val="false"/>
          <w:i w:val="false"/>
          <w:iCs w:val="false"/>
          <w:color w:val="595959"/>
          <w:sz w:val="16"/>
          <w:szCs w:val="16"/>
        </w:rPr>
        <w:t xml:space="preserve">The scarcity of generalization evidence is itself a key finding of this review. Of 71 included studies, 40 (56%) demonstrate no cross-participant, cross-session, or cross-language generalization. Cross-session evidence comes from only 2 studies, both single-participant intracortical systems. Cross-language evidence comes from only 2 studies. This distribution directly informs the answer to RQ3 and grounds the Discussion's argument that generalization — not peak benchmark performance — is the critical unresolved challenge for clinical deployment of brain-to-speech AI systems.</w:t>
      </w:r>
    </w:p>
    <w:sectPr>
      <w:headerReference w:type="default" r:id="rId7"/>
      <w:footerReference w:type="default" r:id="rId8"/>
      <w:pgSz w:w="15840" w:h="12240" w:orient="landscape"/>
      <w:pgMar w:top="720" w:right="540" w:bottom="72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b w:val="false"/>
        <w:bCs w:val="false"/>
        <w:i w:val="false"/>
        <w:iCs w:val="false"/>
        <w:color w:val="595959"/>
        <w:sz w:val="16"/>
        <w:szCs w:val="16"/>
      </w:rPr>
      <w:t xml:space="preserve">Adeika &amp; Osuagwu  |  Morgan State University  |  Department of Electrical and Computer Engineering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b w:val="false"/>
        <w:bCs w:val="false"/>
        <w:i w:val="false"/>
        <w:iCs w:val="false"/>
        <w:color w:val="595959"/>
        <w:sz w:val="16"/>
        <w:szCs w:val="16"/>
      </w:rPr>
      <w:t xml:space="preserve">Paper 1 — AI for Brain-to-Speech Decoding  |  Table 4: Generalization Evidence Summary  |  21 studies, 2015–2026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2026-05-01T05:26:34.209Z</dcterms:created>
  <dcterms:modified xsi:type="dcterms:W3CDTF">2026-05-01T05:26:34.209Z</dcterms:modified>
</cp:coreProperties>
</file>

<file path=docProps/custom.xml><?xml version="1.0" encoding="utf-8"?>
<Properties xmlns="http://schemas.openxmlformats.org/officeDocument/2006/custom-properties" xmlns:vt="http://schemas.openxmlformats.org/officeDocument/2006/docPropsVTypes"/>
</file>